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9</w:t>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项目预算安排情况及绩效目标</w:t>
      </w:r>
      <w:r>
        <w:tab/>
      </w:r>
      <w:r>
        <w:fldChar w:fldCharType="begin"/>
      </w:r>
      <w:r>
        <w:instrText xml:space="preserve">PAGEREF _Toc_3_3_0000000014 \h</w:instrText>
      </w:r>
      <w:r>
        <w:fldChar w:fldCharType="separate"/>
      </w:r>
      <w:r>
        <w:t>19</w:t>
      </w:r>
      <w:r>
        <w:fldChar w:fldCharType="end"/>
      </w:r>
      <w:r>
        <w:fldChar w:fldCharType="end"/>
      </w:r>
    </w:p>
    <w:p>
      <w:pPr>
        <w:pStyle w:val="2"/>
        <w:tabs>
          <w:tab w:val="right" w:leader="dot" w:pos="14562"/>
        </w:tabs>
        <w:rPr>
          <w:rFonts w:hint="default" w:eastAsia="方正仿宋_GBK"/>
          <w:lang w:val="en-US" w:eastAsia="zh-CN"/>
        </w:rPr>
      </w:pPr>
      <w:r>
        <w:rPr>
          <w:rFonts w:hint="eastAsia"/>
          <w:lang w:val="en-US" w:eastAsia="zh-CN"/>
        </w:rPr>
        <w:t>六、</w:t>
      </w:r>
      <w:r>
        <w:t>政府采购预算情况</w:t>
      </w:r>
      <w:r>
        <w:fldChar w:fldCharType="begin"/>
      </w:r>
      <w:r>
        <w:instrText xml:space="preserve"> HYPERLINK \l "_Toc_3_3_0000000015" </w:instrText>
      </w:r>
      <w:r>
        <w:fldChar w:fldCharType="separate"/>
      </w:r>
      <w:r>
        <w:tab/>
      </w:r>
      <w:r>
        <w:fldChar w:fldCharType="end"/>
      </w:r>
      <w:r>
        <w:rPr>
          <w:rFonts w:hint="eastAsia"/>
          <w:lang w:val="en-US" w:eastAsia="zh-CN"/>
        </w:rPr>
        <w:t>47</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w:t>
      </w:r>
      <w:r>
        <w:rPr>
          <w:rFonts w:hint="eastAsia"/>
          <w:lang w:val="en-US" w:eastAsia="zh-CN"/>
        </w:rPr>
        <w:t>名词解释</w:t>
      </w:r>
      <w:r>
        <w:tab/>
      </w:r>
      <w:r>
        <w:fldChar w:fldCharType="begin"/>
      </w:r>
      <w:r>
        <w:instrText xml:space="preserve">PAGEREF _Toc_3_3_0000000017 \h</w:instrText>
      </w:r>
      <w:r>
        <w:fldChar w:fldCharType="separate"/>
      </w:r>
      <w:r>
        <w:t>4</w:t>
      </w:r>
      <w:r>
        <w:fldChar w:fldCharType="end"/>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fldChar w:fldCharType="end"/>
      </w:r>
      <w:r>
        <w:fldChar w:fldCharType="end"/>
      </w:r>
      <w:r>
        <w:rPr>
          <w:rFonts w:hint="eastAsia"/>
          <w:lang w:val="en-US" w:eastAsia="zh-CN"/>
        </w:rPr>
        <w:t>9</w:t>
      </w:r>
    </w:p>
    <w:p>
      <w:pPr>
        <w:pStyle w:val="2"/>
        <w:tabs>
          <w:tab w:val="right" w:leader="dot" w:pos="14562"/>
        </w:tabs>
      </w:pPr>
    </w:p>
    <w:p>
      <w:pPr>
        <w:spacing w:before="0" w:after="0" w:line="240" w:lineRule="auto"/>
        <w:ind w:firstLine="0"/>
        <w:jc w:val="center"/>
        <w:outlineLvl w:val="9"/>
        <w:sectPr>
          <w:pgSz w:w="16840" w:h="11900" w:orient="landscape"/>
          <w:pgMar w:top="1587" w:right="1134" w:bottom="1361" w:left="1134" w:header="720" w:footer="720" w:gutter="0"/>
          <w:pgNumType w:start="1"/>
          <w:cols w:space="720" w:num="1"/>
        </w:sectPr>
      </w:pPr>
      <w:r>
        <w:fldChar w:fldCharType="end"/>
      </w:r>
      <w:bookmarkStart w:id="0" w:name="_GoBack"/>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3098.22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3103.49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3098.22</w:t>
            </w:r>
          </w:p>
        </w:tc>
        <w:tc>
          <w:tcPr>
            <w:tcW w:w="4535" w:type="dxa"/>
            <w:vAlign w:val="center"/>
          </w:tcPr>
          <w:p>
            <w:pPr>
              <w:pStyle w:val="14"/>
            </w:pPr>
            <w:r>
              <w:t>本年支出合计</w:t>
            </w:r>
          </w:p>
        </w:tc>
        <w:tc>
          <w:tcPr>
            <w:tcW w:w="2126" w:type="dxa"/>
            <w:vAlign w:val="center"/>
          </w:tcPr>
          <w:p>
            <w:pPr>
              <w:pStyle w:val="15"/>
            </w:pPr>
            <w:r>
              <w:t>4464.32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1366.10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4464.32</w:t>
            </w:r>
          </w:p>
        </w:tc>
        <w:tc>
          <w:tcPr>
            <w:tcW w:w="4535" w:type="dxa"/>
            <w:vAlign w:val="center"/>
          </w:tcPr>
          <w:p>
            <w:pPr>
              <w:pStyle w:val="14"/>
            </w:pPr>
            <w:r>
              <w:t>支出总计</w:t>
            </w:r>
          </w:p>
        </w:tc>
        <w:tc>
          <w:tcPr>
            <w:tcW w:w="2126" w:type="dxa"/>
            <w:vAlign w:val="center"/>
          </w:tcPr>
          <w:p>
            <w:pPr>
              <w:pStyle w:val="15"/>
            </w:pPr>
            <w:r>
              <w:t>4464.32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4464.32</w:t>
            </w:r>
          </w:p>
        </w:tc>
        <w:tc>
          <w:tcPr>
            <w:tcW w:w="1134" w:type="dxa"/>
            <w:vAlign w:val="center"/>
          </w:tcPr>
          <w:p>
            <w:pPr>
              <w:pStyle w:val="15"/>
            </w:pPr>
            <w:r>
              <w:t>3098.22</w:t>
            </w:r>
          </w:p>
        </w:tc>
        <w:tc>
          <w:tcPr>
            <w:tcW w:w="1134" w:type="dxa"/>
            <w:vAlign w:val="center"/>
          </w:tcPr>
          <w:p>
            <w:pPr>
              <w:pStyle w:val="15"/>
            </w:pPr>
            <w:r>
              <w:t>3098.22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1366.10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366.12</w:t>
            </w:r>
          </w:p>
        </w:tc>
        <w:tc>
          <w:tcPr>
            <w:tcW w:w="1134" w:type="dxa"/>
            <w:vAlign w:val="center"/>
          </w:tcPr>
          <w:p>
            <w:pPr>
              <w:pStyle w:val="11"/>
            </w:pPr>
            <w:r>
              <w:t>366.12</w:t>
            </w:r>
          </w:p>
        </w:tc>
        <w:tc>
          <w:tcPr>
            <w:tcW w:w="1134" w:type="dxa"/>
            <w:vAlign w:val="center"/>
          </w:tcPr>
          <w:p>
            <w:pPr>
              <w:pStyle w:val="11"/>
            </w:pPr>
            <w:r>
              <w:t>366.12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366.12</w:t>
            </w:r>
          </w:p>
        </w:tc>
        <w:tc>
          <w:tcPr>
            <w:tcW w:w="1134" w:type="dxa"/>
            <w:vAlign w:val="center"/>
          </w:tcPr>
          <w:p>
            <w:pPr>
              <w:pStyle w:val="11"/>
            </w:pPr>
            <w:r>
              <w:t>366.12</w:t>
            </w:r>
          </w:p>
        </w:tc>
        <w:tc>
          <w:tcPr>
            <w:tcW w:w="1134" w:type="dxa"/>
            <w:vAlign w:val="center"/>
          </w:tcPr>
          <w:p>
            <w:pPr>
              <w:pStyle w:val="11"/>
            </w:pPr>
            <w:r>
              <w:t>366.12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55.60</w:t>
            </w:r>
          </w:p>
        </w:tc>
        <w:tc>
          <w:tcPr>
            <w:tcW w:w="1134" w:type="dxa"/>
            <w:vAlign w:val="center"/>
          </w:tcPr>
          <w:p>
            <w:pPr>
              <w:pStyle w:val="11"/>
            </w:pPr>
            <w:r>
              <w:t>55.60</w:t>
            </w:r>
          </w:p>
        </w:tc>
        <w:tc>
          <w:tcPr>
            <w:tcW w:w="1134" w:type="dxa"/>
            <w:vAlign w:val="center"/>
          </w:tcPr>
          <w:p>
            <w:pPr>
              <w:pStyle w:val="11"/>
            </w:pPr>
            <w:r>
              <w:t>55.60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129.96</w:t>
            </w:r>
          </w:p>
        </w:tc>
        <w:tc>
          <w:tcPr>
            <w:tcW w:w="1134" w:type="dxa"/>
            <w:vAlign w:val="center"/>
          </w:tcPr>
          <w:p>
            <w:pPr>
              <w:pStyle w:val="11"/>
            </w:pPr>
            <w:r>
              <w:t>129.96</w:t>
            </w:r>
          </w:p>
        </w:tc>
        <w:tc>
          <w:tcPr>
            <w:tcW w:w="1134" w:type="dxa"/>
            <w:vAlign w:val="center"/>
          </w:tcPr>
          <w:p>
            <w:pPr>
              <w:pStyle w:val="11"/>
            </w:pPr>
            <w:r>
              <w:t>129.96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180.56</w:t>
            </w:r>
          </w:p>
        </w:tc>
        <w:tc>
          <w:tcPr>
            <w:tcW w:w="1134" w:type="dxa"/>
            <w:vAlign w:val="center"/>
          </w:tcPr>
          <w:p>
            <w:pPr>
              <w:pStyle w:val="11"/>
            </w:pPr>
            <w:r>
              <w:t>180.56</w:t>
            </w:r>
          </w:p>
        </w:tc>
        <w:tc>
          <w:tcPr>
            <w:tcW w:w="1134" w:type="dxa"/>
            <w:vAlign w:val="center"/>
          </w:tcPr>
          <w:p>
            <w:pPr>
              <w:pStyle w:val="11"/>
            </w:pPr>
            <w:r>
              <w:t>180.56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62.24</w:t>
            </w:r>
          </w:p>
        </w:tc>
        <w:tc>
          <w:tcPr>
            <w:tcW w:w="1134" w:type="dxa"/>
            <w:vAlign w:val="center"/>
          </w:tcPr>
          <w:p>
            <w:pPr>
              <w:pStyle w:val="11"/>
            </w:pPr>
            <w:r>
              <w:t>62.24</w:t>
            </w:r>
          </w:p>
        </w:tc>
        <w:tc>
          <w:tcPr>
            <w:tcW w:w="1134" w:type="dxa"/>
            <w:vAlign w:val="center"/>
          </w:tcPr>
          <w:p>
            <w:pPr>
              <w:pStyle w:val="11"/>
            </w:pPr>
            <w:r>
              <w:t>62.24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62.24</w:t>
            </w:r>
          </w:p>
        </w:tc>
        <w:tc>
          <w:tcPr>
            <w:tcW w:w="1134" w:type="dxa"/>
            <w:vAlign w:val="center"/>
          </w:tcPr>
          <w:p>
            <w:pPr>
              <w:pStyle w:val="11"/>
            </w:pPr>
            <w:r>
              <w:t>62.24</w:t>
            </w:r>
          </w:p>
        </w:tc>
        <w:tc>
          <w:tcPr>
            <w:tcW w:w="1134" w:type="dxa"/>
            <w:vAlign w:val="center"/>
          </w:tcPr>
          <w:p>
            <w:pPr>
              <w:pStyle w:val="11"/>
            </w:pPr>
            <w:r>
              <w:t>62.24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62.24</w:t>
            </w:r>
          </w:p>
        </w:tc>
        <w:tc>
          <w:tcPr>
            <w:tcW w:w="1134" w:type="dxa"/>
            <w:vAlign w:val="center"/>
          </w:tcPr>
          <w:p>
            <w:pPr>
              <w:pStyle w:val="11"/>
            </w:pPr>
            <w:r>
              <w:t>62.24</w:t>
            </w:r>
          </w:p>
        </w:tc>
        <w:tc>
          <w:tcPr>
            <w:tcW w:w="1134" w:type="dxa"/>
            <w:vAlign w:val="center"/>
          </w:tcPr>
          <w:p>
            <w:pPr>
              <w:pStyle w:val="11"/>
            </w:pPr>
            <w:r>
              <w:t>62.24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3103.49</w:t>
            </w:r>
          </w:p>
        </w:tc>
        <w:tc>
          <w:tcPr>
            <w:tcW w:w="1134" w:type="dxa"/>
            <w:vAlign w:val="center"/>
          </w:tcPr>
          <w:p>
            <w:pPr>
              <w:pStyle w:val="11"/>
            </w:pPr>
            <w:r>
              <w:t>2521.05</w:t>
            </w:r>
          </w:p>
        </w:tc>
        <w:tc>
          <w:tcPr>
            <w:tcW w:w="1134" w:type="dxa"/>
            <w:vAlign w:val="center"/>
          </w:tcPr>
          <w:p>
            <w:pPr>
              <w:pStyle w:val="11"/>
            </w:pPr>
            <w:r>
              <w:t>2521.05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2838.05</w:t>
            </w:r>
          </w:p>
        </w:tc>
        <w:tc>
          <w:tcPr>
            <w:tcW w:w="1134" w:type="dxa"/>
            <w:vAlign w:val="center"/>
          </w:tcPr>
          <w:p>
            <w:pPr>
              <w:pStyle w:val="11"/>
            </w:pPr>
            <w:r>
              <w:t>2521.05</w:t>
            </w:r>
          </w:p>
        </w:tc>
        <w:tc>
          <w:tcPr>
            <w:tcW w:w="1134" w:type="dxa"/>
            <w:vAlign w:val="center"/>
          </w:tcPr>
          <w:p>
            <w:pPr>
              <w:pStyle w:val="11"/>
            </w:pPr>
            <w:r>
              <w:t>2521.05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392.09</w:t>
            </w:r>
          </w:p>
        </w:tc>
        <w:tc>
          <w:tcPr>
            <w:tcW w:w="1134" w:type="dxa"/>
            <w:vAlign w:val="center"/>
          </w:tcPr>
          <w:p>
            <w:pPr>
              <w:pStyle w:val="11"/>
            </w:pPr>
            <w:r>
              <w:t>392.09</w:t>
            </w:r>
          </w:p>
        </w:tc>
        <w:tc>
          <w:tcPr>
            <w:tcW w:w="1134" w:type="dxa"/>
            <w:vAlign w:val="center"/>
          </w:tcPr>
          <w:p>
            <w:pPr>
              <w:pStyle w:val="11"/>
            </w:pPr>
            <w:r>
              <w:t>392.09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14.55</w:t>
            </w:r>
          </w:p>
        </w:tc>
        <w:tc>
          <w:tcPr>
            <w:tcW w:w="1134" w:type="dxa"/>
            <w:vAlign w:val="center"/>
          </w:tcPr>
          <w:p>
            <w:pPr>
              <w:pStyle w:val="11"/>
            </w:pPr>
            <w:r>
              <w:t>14.55</w:t>
            </w:r>
          </w:p>
        </w:tc>
        <w:tc>
          <w:tcPr>
            <w:tcW w:w="1134" w:type="dxa"/>
            <w:vAlign w:val="center"/>
          </w:tcPr>
          <w:p>
            <w:pPr>
              <w:pStyle w:val="11"/>
            </w:pPr>
            <w:r>
              <w:t>14.55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1152.00</w:t>
            </w:r>
          </w:p>
        </w:tc>
        <w:tc>
          <w:tcPr>
            <w:tcW w:w="1134" w:type="dxa"/>
            <w:vAlign w:val="center"/>
          </w:tcPr>
          <w:p>
            <w:pPr>
              <w:pStyle w:val="11"/>
            </w:pPr>
            <w:r>
              <w:t>835.00</w:t>
            </w:r>
          </w:p>
        </w:tc>
        <w:tc>
          <w:tcPr>
            <w:tcW w:w="1134" w:type="dxa"/>
            <w:vAlign w:val="center"/>
          </w:tcPr>
          <w:p>
            <w:pPr>
              <w:pStyle w:val="11"/>
            </w:pPr>
            <w:r>
              <w:t>835.00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1279.41</w:t>
            </w:r>
          </w:p>
        </w:tc>
        <w:tc>
          <w:tcPr>
            <w:tcW w:w="1134" w:type="dxa"/>
            <w:vAlign w:val="center"/>
          </w:tcPr>
          <w:p>
            <w:pPr>
              <w:pStyle w:val="11"/>
            </w:pPr>
            <w:r>
              <w:t>1279.41</w:t>
            </w:r>
          </w:p>
        </w:tc>
        <w:tc>
          <w:tcPr>
            <w:tcW w:w="1134" w:type="dxa"/>
            <w:vAlign w:val="center"/>
          </w:tcPr>
          <w:p>
            <w:pPr>
              <w:pStyle w:val="11"/>
            </w:pPr>
            <w:r>
              <w:t>1279.41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265.44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265.44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148.81</w:t>
            </w:r>
          </w:p>
        </w:tc>
        <w:tc>
          <w:tcPr>
            <w:tcW w:w="1134" w:type="dxa"/>
            <w:vAlign w:val="center"/>
          </w:tcPr>
          <w:p>
            <w:pPr>
              <w:pStyle w:val="11"/>
            </w:pPr>
            <w:r>
              <w:t>148.81</w:t>
            </w:r>
          </w:p>
        </w:tc>
        <w:tc>
          <w:tcPr>
            <w:tcW w:w="1134" w:type="dxa"/>
            <w:vAlign w:val="center"/>
          </w:tcPr>
          <w:p>
            <w:pPr>
              <w:pStyle w:val="11"/>
            </w:pPr>
            <w:r>
              <w:t>148.81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148.81</w:t>
            </w:r>
          </w:p>
        </w:tc>
        <w:tc>
          <w:tcPr>
            <w:tcW w:w="1134" w:type="dxa"/>
            <w:vAlign w:val="center"/>
          </w:tcPr>
          <w:p>
            <w:pPr>
              <w:pStyle w:val="11"/>
            </w:pPr>
            <w:r>
              <w:t>148.81</w:t>
            </w:r>
          </w:p>
        </w:tc>
        <w:tc>
          <w:tcPr>
            <w:tcW w:w="1134" w:type="dxa"/>
            <w:vAlign w:val="center"/>
          </w:tcPr>
          <w:p>
            <w:pPr>
              <w:pStyle w:val="11"/>
            </w:pPr>
            <w:r>
              <w:t>148.81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148.81</w:t>
            </w:r>
          </w:p>
        </w:tc>
        <w:tc>
          <w:tcPr>
            <w:tcW w:w="1134" w:type="dxa"/>
            <w:vAlign w:val="center"/>
          </w:tcPr>
          <w:p>
            <w:pPr>
              <w:pStyle w:val="11"/>
            </w:pPr>
            <w:r>
              <w:t>148.81</w:t>
            </w:r>
          </w:p>
        </w:tc>
        <w:tc>
          <w:tcPr>
            <w:tcW w:w="1134" w:type="dxa"/>
            <w:vAlign w:val="center"/>
          </w:tcPr>
          <w:p>
            <w:pPr>
              <w:pStyle w:val="11"/>
            </w:pPr>
            <w:r>
              <w:t>148.81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783.66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783.66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2240704</w:t>
            </w:r>
          </w:p>
        </w:tc>
        <w:tc>
          <w:tcPr>
            <w:tcW w:w="1559" w:type="dxa"/>
            <w:vAlign w:val="center"/>
          </w:tcPr>
          <w:p>
            <w:pPr>
              <w:pStyle w:val="12"/>
            </w:pPr>
            <w:r>
              <w:t>自然灾害灾后重建补助</w:t>
            </w:r>
          </w:p>
        </w:tc>
        <w:tc>
          <w:tcPr>
            <w:tcW w:w="1134" w:type="dxa"/>
            <w:vAlign w:val="center"/>
          </w:tcPr>
          <w:p>
            <w:pPr>
              <w:pStyle w:val="11"/>
            </w:pPr>
            <w:r>
              <w:t>163.16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620.50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4464.32</w:t>
            </w:r>
          </w:p>
        </w:tc>
        <w:tc>
          <w:tcPr>
            <w:tcW w:w="1361" w:type="dxa"/>
            <w:vAlign w:val="center"/>
          </w:tcPr>
          <w:p>
            <w:pPr>
              <w:pStyle w:val="15"/>
            </w:pPr>
            <w:r>
              <w:t>2248.67</w:t>
            </w:r>
          </w:p>
        </w:tc>
        <w:tc>
          <w:tcPr>
            <w:tcW w:w="1361" w:type="dxa"/>
            <w:vAlign w:val="center"/>
          </w:tcPr>
          <w:p>
            <w:pPr>
              <w:pStyle w:val="15"/>
            </w:pPr>
            <w:r>
              <w:t>2215.65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366.12</w:t>
            </w:r>
          </w:p>
        </w:tc>
        <w:tc>
          <w:tcPr>
            <w:tcW w:w="1361" w:type="dxa"/>
            <w:vAlign w:val="center"/>
          </w:tcPr>
          <w:p>
            <w:pPr>
              <w:pStyle w:val="11"/>
            </w:pPr>
            <w:r>
              <w:t>366.12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366.12</w:t>
            </w:r>
          </w:p>
        </w:tc>
        <w:tc>
          <w:tcPr>
            <w:tcW w:w="1361" w:type="dxa"/>
            <w:vAlign w:val="center"/>
          </w:tcPr>
          <w:p>
            <w:pPr>
              <w:pStyle w:val="11"/>
            </w:pPr>
            <w:r>
              <w:t>366.12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55.60</w:t>
            </w:r>
          </w:p>
        </w:tc>
        <w:tc>
          <w:tcPr>
            <w:tcW w:w="1361" w:type="dxa"/>
            <w:vAlign w:val="center"/>
          </w:tcPr>
          <w:p>
            <w:pPr>
              <w:pStyle w:val="11"/>
            </w:pPr>
            <w:r>
              <w:t>55.60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129.96</w:t>
            </w:r>
          </w:p>
        </w:tc>
        <w:tc>
          <w:tcPr>
            <w:tcW w:w="1361" w:type="dxa"/>
            <w:vAlign w:val="center"/>
          </w:tcPr>
          <w:p>
            <w:pPr>
              <w:pStyle w:val="11"/>
            </w:pPr>
            <w:r>
              <w:t>129.96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180.56</w:t>
            </w:r>
          </w:p>
        </w:tc>
        <w:tc>
          <w:tcPr>
            <w:tcW w:w="1361" w:type="dxa"/>
            <w:vAlign w:val="center"/>
          </w:tcPr>
          <w:p>
            <w:pPr>
              <w:pStyle w:val="11"/>
            </w:pPr>
            <w:r>
              <w:t>180.56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62.24</w:t>
            </w:r>
          </w:p>
        </w:tc>
        <w:tc>
          <w:tcPr>
            <w:tcW w:w="1361" w:type="dxa"/>
            <w:vAlign w:val="center"/>
          </w:tcPr>
          <w:p>
            <w:pPr>
              <w:pStyle w:val="11"/>
            </w:pPr>
            <w:r>
              <w:t>62.24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62.24</w:t>
            </w:r>
          </w:p>
        </w:tc>
        <w:tc>
          <w:tcPr>
            <w:tcW w:w="1361" w:type="dxa"/>
            <w:vAlign w:val="center"/>
          </w:tcPr>
          <w:p>
            <w:pPr>
              <w:pStyle w:val="11"/>
            </w:pPr>
            <w:r>
              <w:t>62.24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62.24</w:t>
            </w:r>
          </w:p>
        </w:tc>
        <w:tc>
          <w:tcPr>
            <w:tcW w:w="1361" w:type="dxa"/>
            <w:vAlign w:val="center"/>
          </w:tcPr>
          <w:p>
            <w:pPr>
              <w:pStyle w:val="11"/>
            </w:pPr>
            <w:r>
              <w:t>62.24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3103.49</w:t>
            </w:r>
          </w:p>
        </w:tc>
        <w:tc>
          <w:tcPr>
            <w:tcW w:w="1361" w:type="dxa"/>
            <w:vAlign w:val="center"/>
          </w:tcPr>
          <w:p>
            <w:pPr>
              <w:pStyle w:val="11"/>
            </w:pPr>
            <w:r>
              <w:t>1671.50</w:t>
            </w:r>
          </w:p>
        </w:tc>
        <w:tc>
          <w:tcPr>
            <w:tcW w:w="1361" w:type="dxa"/>
            <w:vAlign w:val="center"/>
          </w:tcPr>
          <w:p>
            <w:pPr>
              <w:pStyle w:val="11"/>
            </w:pPr>
            <w:r>
              <w:t>1431.99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2838.05</w:t>
            </w:r>
          </w:p>
        </w:tc>
        <w:tc>
          <w:tcPr>
            <w:tcW w:w="1361" w:type="dxa"/>
            <w:vAlign w:val="center"/>
          </w:tcPr>
          <w:p>
            <w:pPr>
              <w:pStyle w:val="11"/>
            </w:pPr>
            <w:r>
              <w:t>1671.50</w:t>
            </w:r>
          </w:p>
        </w:tc>
        <w:tc>
          <w:tcPr>
            <w:tcW w:w="1361" w:type="dxa"/>
            <w:vAlign w:val="center"/>
          </w:tcPr>
          <w:p>
            <w:pPr>
              <w:pStyle w:val="11"/>
            </w:pPr>
            <w:r>
              <w:t>1166.55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392.09</w:t>
            </w:r>
          </w:p>
        </w:tc>
        <w:tc>
          <w:tcPr>
            <w:tcW w:w="1361" w:type="dxa"/>
            <w:vAlign w:val="center"/>
          </w:tcPr>
          <w:p>
            <w:pPr>
              <w:pStyle w:val="11"/>
            </w:pPr>
            <w:r>
              <w:t>392.09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14.55</w:t>
            </w:r>
          </w:p>
        </w:tc>
        <w:tc>
          <w:tcPr>
            <w:tcW w:w="1361" w:type="dxa"/>
            <w:vAlign w:val="center"/>
          </w:tcPr>
          <w:p>
            <w:pPr>
              <w:pStyle w:val="11"/>
            </w:pPr>
          </w:p>
        </w:tc>
        <w:tc>
          <w:tcPr>
            <w:tcW w:w="1361" w:type="dxa"/>
            <w:vAlign w:val="center"/>
          </w:tcPr>
          <w:p>
            <w:pPr>
              <w:pStyle w:val="11"/>
            </w:pPr>
            <w:r>
              <w:t>14.55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1152.00</w:t>
            </w:r>
          </w:p>
        </w:tc>
        <w:tc>
          <w:tcPr>
            <w:tcW w:w="1361" w:type="dxa"/>
            <w:vAlign w:val="center"/>
          </w:tcPr>
          <w:p>
            <w:pPr>
              <w:pStyle w:val="11"/>
            </w:pPr>
          </w:p>
        </w:tc>
        <w:tc>
          <w:tcPr>
            <w:tcW w:w="1361" w:type="dxa"/>
            <w:vAlign w:val="center"/>
          </w:tcPr>
          <w:p>
            <w:pPr>
              <w:pStyle w:val="11"/>
            </w:pPr>
            <w:r>
              <w:t>1152.00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1279.41</w:t>
            </w:r>
          </w:p>
        </w:tc>
        <w:tc>
          <w:tcPr>
            <w:tcW w:w="1361" w:type="dxa"/>
            <w:vAlign w:val="center"/>
          </w:tcPr>
          <w:p>
            <w:pPr>
              <w:pStyle w:val="11"/>
            </w:pPr>
            <w:r>
              <w:t>1279.41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265.44</w:t>
            </w:r>
          </w:p>
        </w:tc>
        <w:tc>
          <w:tcPr>
            <w:tcW w:w="1361" w:type="dxa"/>
            <w:vAlign w:val="center"/>
          </w:tcPr>
          <w:p>
            <w:pPr>
              <w:pStyle w:val="11"/>
            </w:pPr>
          </w:p>
        </w:tc>
        <w:tc>
          <w:tcPr>
            <w:tcW w:w="1361" w:type="dxa"/>
            <w:vAlign w:val="center"/>
          </w:tcPr>
          <w:p>
            <w:pPr>
              <w:pStyle w:val="11"/>
            </w:pPr>
            <w:r>
              <w:t>265.44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265.44</w:t>
            </w:r>
          </w:p>
        </w:tc>
        <w:tc>
          <w:tcPr>
            <w:tcW w:w="1361" w:type="dxa"/>
            <w:vAlign w:val="center"/>
          </w:tcPr>
          <w:p>
            <w:pPr>
              <w:pStyle w:val="11"/>
            </w:pPr>
          </w:p>
        </w:tc>
        <w:tc>
          <w:tcPr>
            <w:tcW w:w="1361" w:type="dxa"/>
            <w:vAlign w:val="center"/>
          </w:tcPr>
          <w:p>
            <w:pPr>
              <w:pStyle w:val="11"/>
            </w:pPr>
            <w:r>
              <w:t>265.44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148.81</w:t>
            </w:r>
          </w:p>
        </w:tc>
        <w:tc>
          <w:tcPr>
            <w:tcW w:w="1361" w:type="dxa"/>
            <w:vAlign w:val="center"/>
          </w:tcPr>
          <w:p>
            <w:pPr>
              <w:pStyle w:val="11"/>
            </w:pPr>
            <w:r>
              <w:t>148.81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148.81</w:t>
            </w:r>
          </w:p>
        </w:tc>
        <w:tc>
          <w:tcPr>
            <w:tcW w:w="1361" w:type="dxa"/>
            <w:vAlign w:val="center"/>
          </w:tcPr>
          <w:p>
            <w:pPr>
              <w:pStyle w:val="11"/>
            </w:pPr>
            <w:r>
              <w:t>148.81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148.81</w:t>
            </w:r>
          </w:p>
        </w:tc>
        <w:tc>
          <w:tcPr>
            <w:tcW w:w="1361" w:type="dxa"/>
            <w:vAlign w:val="center"/>
          </w:tcPr>
          <w:p>
            <w:pPr>
              <w:pStyle w:val="11"/>
            </w:pPr>
            <w:r>
              <w:t>148.81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783.66</w:t>
            </w:r>
          </w:p>
        </w:tc>
        <w:tc>
          <w:tcPr>
            <w:tcW w:w="1361" w:type="dxa"/>
            <w:vAlign w:val="center"/>
          </w:tcPr>
          <w:p>
            <w:pPr>
              <w:pStyle w:val="11"/>
            </w:pPr>
          </w:p>
        </w:tc>
        <w:tc>
          <w:tcPr>
            <w:tcW w:w="1361" w:type="dxa"/>
            <w:vAlign w:val="center"/>
          </w:tcPr>
          <w:p>
            <w:pPr>
              <w:pStyle w:val="11"/>
            </w:pPr>
            <w:r>
              <w:t>783.66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783.66</w:t>
            </w:r>
          </w:p>
        </w:tc>
        <w:tc>
          <w:tcPr>
            <w:tcW w:w="1361" w:type="dxa"/>
            <w:vAlign w:val="center"/>
          </w:tcPr>
          <w:p>
            <w:pPr>
              <w:pStyle w:val="11"/>
            </w:pPr>
          </w:p>
        </w:tc>
        <w:tc>
          <w:tcPr>
            <w:tcW w:w="1361" w:type="dxa"/>
            <w:vAlign w:val="center"/>
          </w:tcPr>
          <w:p>
            <w:pPr>
              <w:pStyle w:val="11"/>
            </w:pPr>
            <w:r>
              <w:t>783.66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2240704</w:t>
            </w:r>
          </w:p>
        </w:tc>
        <w:tc>
          <w:tcPr>
            <w:tcW w:w="4535" w:type="dxa"/>
            <w:vAlign w:val="center"/>
          </w:tcPr>
          <w:p>
            <w:pPr>
              <w:pStyle w:val="12"/>
            </w:pPr>
            <w:r>
              <w:t>自然灾害灾后重建补助</w:t>
            </w:r>
          </w:p>
        </w:tc>
        <w:tc>
          <w:tcPr>
            <w:tcW w:w="1361" w:type="dxa"/>
            <w:vAlign w:val="center"/>
          </w:tcPr>
          <w:p>
            <w:pPr>
              <w:pStyle w:val="11"/>
            </w:pPr>
            <w:r>
              <w:t>163.16</w:t>
            </w:r>
          </w:p>
        </w:tc>
        <w:tc>
          <w:tcPr>
            <w:tcW w:w="1361" w:type="dxa"/>
            <w:vAlign w:val="center"/>
          </w:tcPr>
          <w:p>
            <w:pPr>
              <w:pStyle w:val="11"/>
            </w:pPr>
          </w:p>
        </w:tc>
        <w:tc>
          <w:tcPr>
            <w:tcW w:w="1361" w:type="dxa"/>
            <w:vAlign w:val="center"/>
          </w:tcPr>
          <w:p>
            <w:pPr>
              <w:pStyle w:val="11"/>
            </w:pPr>
            <w:r>
              <w:t>163.16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620.50</w:t>
            </w:r>
          </w:p>
        </w:tc>
        <w:tc>
          <w:tcPr>
            <w:tcW w:w="1361" w:type="dxa"/>
            <w:vAlign w:val="center"/>
          </w:tcPr>
          <w:p>
            <w:pPr>
              <w:pStyle w:val="11"/>
            </w:pPr>
          </w:p>
        </w:tc>
        <w:tc>
          <w:tcPr>
            <w:tcW w:w="1361" w:type="dxa"/>
            <w:vAlign w:val="center"/>
          </w:tcPr>
          <w:p>
            <w:pPr>
              <w:pStyle w:val="11"/>
            </w:pPr>
            <w:r>
              <w:t>620.50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3098.22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366.12</w:t>
            </w:r>
          </w:p>
        </w:tc>
        <w:tc>
          <w:tcPr>
            <w:tcW w:w="1474" w:type="dxa"/>
            <w:vAlign w:val="center"/>
          </w:tcPr>
          <w:p>
            <w:pPr>
              <w:pStyle w:val="11"/>
            </w:pPr>
            <w:r>
              <w:t>366.12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62.24</w:t>
            </w:r>
          </w:p>
        </w:tc>
        <w:tc>
          <w:tcPr>
            <w:tcW w:w="1474" w:type="dxa"/>
            <w:vAlign w:val="center"/>
          </w:tcPr>
          <w:p>
            <w:pPr>
              <w:pStyle w:val="11"/>
            </w:pPr>
            <w:r>
              <w:t>62.24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3103.49</w:t>
            </w:r>
          </w:p>
        </w:tc>
        <w:tc>
          <w:tcPr>
            <w:tcW w:w="1474" w:type="dxa"/>
            <w:vAlign w:val="center"/>
          </w:tcPr>
          <w:p>
            <w:pPr>
              <w:pStyle w:val="11"/>
            </w:pPr>
            <w:r>
              <w:t>3103.49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148.81</w:t>
            </w:r>
          </w:p>
        </w:tc>
        <w:tc>
          <w:tcPr>
            <w:tcW w:w="1474" w:type="dxa"/>
            <w:vAlign w:val="center"/>
          </w:tcPr>
          <w:p>
            <w:pPr>
              <w:pStyle w:val="11"/>
            </w:pPr>
            <w:r>
              <w:t>148.81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783.66</w:t>
            </w:r>
          </w:p>
        </w:tc>
        <w:tc>
          <w:tcPr>
            <w:tcW w:w="1474" w:type="dxa"/>
            <w:vAlign w:val="center"/>
          </w:tcPr>
          <w:p>
            <w:pPr>
              <w:pStyle w:val="11"/>
            </w:pPr>
            <w:r>
              <w:t>783.66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3098.22</w:t>
            </w:r>
          </w:p>
        </w:tc>
        <w:tc>
          <w:tcPr>
            <w:tcW w:w="3402" w:type="dxa"/>
            <w:vAlign w:val="center"/>
          </w:tcPr>
          <w:p>
            <w:pPr>
              <w:pStyle w:val="14"/>
            </w:pPr>
            <w:r>
              <w:t>本年支出合计</w:t>
            </w:r>
          </w:p>
        </w:tc>
        <w:tc>
          <w:tcPr>
            <w:tcW w:w="1474" w:type="dxa"/>
            <w:vAlign w:val="center"/>
          </w:tcPr>
          <w:p>
            <w:pPr>
              <w:pStyle w:val="15"/>
            </w:pPr>
            <w:r>
              <w:t>4464.32</w:t>
            </w:r>
          </w:p>
        </w:tc>
        <w:tc>
          <w:tcPr>
            <w:tcW w:w="1474" w:type="dxa"/>
            <w:vAlign w:val="center"/>
          </w:tcPr>
          <w:p>
            <w:pPr>
              <w:pStyle w:val="15"/>
            </w:pPr>
            <w:r>
              <w:t>4464.32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1366.10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1366.10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4464.32</w:t>
            </w:r>
          </w:p>
        </w:tc>
        <w:tc>
          <w:tcPr>
            <w:tcW w:w="3402" w:type="dxa"/>
            <w:vAlign w:val="center"/>
          </w:tcPr>
          <w:p>
            <w:pPr>
              <w:pStyle w:val="14"/>
            </w:pPr>
            <w:r>
              <w:t>支出总计</w:t>
            </w:r>
          </w:p>
        </w:tc>
        <w:tc>
          <w:tcPr>
            <w:tcW w:w="1474" w:type="dxa"/>
            <w:vAlign w:val="center"/>
          </w:tcPr>
          <w:p>
            <w:pPr>
              <w:pStyle w:val="15"/>
            </w:pPr>
            <w:r>
              <w:t>4464.32</w:t>
            </w:r>
          </w:p>
        </w:tc>
        <w:tc>
          <w:tcPr>
            <w:tcW w:w="1474" w:type="dxa"/>
            <w:vAlign w:val="center"/>
          </w:tcPr>
          <w:p>
            <w:pPr>
              <w:pStyle w:val="15"/>
            </w:pPr>
            <w:r>
              <w:t>4464.32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4464.32</w:t>
            </w:r>
          </w:p>
        </w:tc>
        <w:tc>
          <w:tcPr>
            <w:tcW w:w="2551" w:type="dxa"/>
            <w:vAlign w:val="center"/>
          </w:tcPr>
          <w:p>
            <w:pPr>
              <w:pStyle w:val="15"/>
            </w:pPr>
            <w:r>
              <w:t>2248.67</w:t>
            </w:r>
          </w:p>
        </w:tc>
        <w:tc>
          <w:tcPr>
            <w:tcW w:w="2551" w:type="dxa"/>
            <w:vAlign w:val="center"/>
          </w:tcPr>
          <w:p>
            <w:pPr>
              <w:pStyle w:val="15"/>
            </w:pPr>
            <w:r>
              <w:t>2215.65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366.12</w:t>
            </w:r>
          </w:p>
        </w:tc>
        <w:tc>
          <w:tcPr>
            <w:tcW w:w="2551" w:type="dxa"/>
            <w:vAlign w:val="center"/>
          </w:tcPr>
          <w:p>
            <w:pPr>
              <w:pStyle w:val="11"/>
            </w:pPr>
            <w:r>
              <w:t>366.12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366.12</w:t>
            </w:r>
          </w:p>
        </w:tc>
        <w:tc>
          <w:tcPr>
            <w:tcW w:w="2551" w:type="dxa"/>
            <w:vAlign w:val="center"/>
          </w:tcPr>
          <w:p>
            <w:pPr>
              <w:pStyle w:val="11"/>
            </w:pPr>
            <w:r>
              <w:t>366.12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55.60</w:t>
            </w:r>
          </w:p>
        </w:tc>
        <w:tc>
          <w:tcPr>
            <w:tcW w:w="2551" w:type="dxa"/>
            <w:vAlign w:val="center"/>
          </w:tcPr>
          <w:p>
            <w:pPr>
              <w:pStyle w:val="11"/>
            </w:pPr>
            <w:r>
              <w:t>55.60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129.96</w:t>
            </w:r>
          </w:p>
        </w:tc>
        <w:tc>
          <w:tcPr>
            <w:tcW w:w="2551" w:type="dxa"/>
            <w:vAlign w:val="center"/>
          </w:tcPr>
          <w:p>
            <w:pPr>
              <w:pStyle w:val="11"/>
            </w:pPr>
            <w:r>
              <w:t>129.96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180.56</w:t>
            </w:r>
          </w:p>
        </w:tc>
        <w:tc>
          <w:tcPr>
            <w:tcW w:w="2551" w:type="dxa"/>
            <w:vAlign w:val="center"/>
          </w:tcPr>
          <w:p>
            <w:pPr>
              <w:pStyle w:val="11"/>
            </w:pPr>
            <w:r>
              <w:t>180.56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62.24</w:t>
            </w:r>
          </w:p>
        </w:tc>
        <w:tc>
          <w:tcPr>
            <w:tcW w:w="2551" w:type="dxa"/>
            <w:vAlign w:val="center"/>
          </w:tcPr>
          <w:p>
            <w:pPr>
              <w:pStyle w:val="11"/>
            </w:pPr>
            <w:r>
              <w:t>62.24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62.24</w:t>
            </w:r>
          </w:p>
        </w:tc>
        <w:tc>
          <w:tcPr>
            <w:tcW w:w="2551" w:type="dxa"/>
            <w:vAlign w:val="center"/>
          </w:tcPr>
          <w:p>
            <w:pPr>
              <w:pStyle w:val="11"/>
            </w:pPr>
            <w:r>
              <w:t>62.24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62.24</w:t>
            </w:r>
          </w:p>
        </w:tc>
        <w:tc>
          <w:tcPr>
            <w:tcW w:w="2551" w:type="dxa"/>
            <w:vAlign w:val="center"/>
          </w:tcPr>
          <w:p>
            <w:pPr>
              <w:pStyle w:val="11"/>
            </w:pPr>
            <w:r>
              <w:t>62.24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3103.49</w:t>
            </w:r>
          </w:p>
        </w:tc>
        <w:tc>
          <w:tcPr>
            <w:tcW w:w="2551" w:type="dxa"/>
            <w:vAlign w:val="center"/>
          </w:tcPr>
          <w:p>
            <w:pPr>
              <w:pStyle w:val="11"/>
            </w:pPr>
            <w:r>
              <w:t>1671.50</w:t>
            </w:r>
          </w:p>
        </w:tc>
        <w:tc>
          <w:tcPr>
            <w:tcW w:w="2551" w:type="dxa"/>
            <w:vAlign w:val="center"/>
          </w:tcPr>
          <w:p>
            <w:pPr>
              <w:pStyle w:val="11"/>
            </w:pPr>
            <w:r>
              <w:t>1431.99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2838.05</w:t>
            </w:r>
          </w:p>
        </w:tc>
        <w:tc>
          <w:tcPr>
            <w:tcW w:w="2551" w:type="dxa"/>
            <w:vAlign w:val="center"/>
          </w:tcPr>
          <w:p>
            <w:pPr>
              <w:pStyle w:val="11"/>
            </w:pPr>
            <w:r>
              <w:t>1671.50</w:t>
            </w:r>
          </w:p>
        </w:tc>
        <w:tc>
          <w:tcPr>
            <w:tcW w:w="2551" w:type="dxa"/>
            <w:vAlign w:val="center"/>
          </w:tcPr>
          <w:p>
            <w:pPr>
              <w:pStyle w:val="11"/>
            </w:pPr>
            <w:r>
              <w:t>1166.55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392.09</w:t>
            </w:r>
          </w:p>
        </w:tc>
        <w:tc>
          <w:tcPr>
            <w:tcW w:w="2551" w:type="dxa"/>
            <w:vAlign w:val="center"/>
          </w:tcPr>
          <w:p>
            <w:pPr>
              <w:pStyle w:val="11"/>
            </w:pPr>
            <w:r>
              <w:t>392.09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14.55</w:t>
            </w:r>
          </w:p>
        </w:tc>
        <w:tc>
          <w:tcPr>
            <w:tcW w:w="2551" w:type="dxa"/>
            <w:vAlign w:val="center"/>
          </w:tcPr>
          <w:p>
            <w:pPr>
              <w:pStyle w:val="11"/>
            </w:pPr>
          </w:p>
        </w:tc>
        <w:tc>
          <w:tcPr>
            <w:tcW w:w="2551" w:type="dxa"/>
            <w:vAlign w:val="center"/>
          </w:tcPr>
          <w:p>
            <w:pPr>
              <w:pStyle w:val="11"/>
            </w:pPr>
            <w:r>
              <w:t>14.55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1152.00</w:t>
            </w:r>
          </w:p>
        </w:tc>
        <w:tc>
          <w:tcPr>
            <w:tcW w:w="2551" w:type="dxa"/>
            <w:vAlign w:val="center"/>
          </w:tcPr>
          <w:p>
            <w:pPr>
              <w:pStyle w:val="11"/>
            </w:pPr>
          </w:p>
        </w:tc>
        <w:tc>
          <w:tcPr>
            <w:tcW w:w="2551" w:type="dxa"/>
            <w:vAlign w:val="center"/>
          </w:tcPr>
          <w:p>
            <w:pPr>
              <w:pStyle w:val="11"/>
            </w:pPr>
            <w:r>
              <w:t>1152.00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1279.41</w:t>
            </w:r>
          </w:p>
        </w:tc>
        <w:tc>
          <w:tcPr>
            <w:tcW w:w="2551" w:type="dxa"/>
            <w:vAlign w:val="center"/>
          </w:tcPr>
          <w:p>
            <w:pPr>
              <w:pStyle w:val="11"/>
            </w:pPr>
            <w:r>
              <w:t>1279.41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265.44</w:t>
            </w:r>
          </w:p>
        </w:tc>
        <w:tc>
          <w:tcPr>
            <w:tcW w:w="2551" w:type="dxa"/>
            <w:vAlign w:val="center"/>
          </w:tcPr>
          <w:p>
            <w:pPr>
              <w:pStyle w:val="11"/>
            </w:pPr>
          </w:p>
        </w:tc>
        <w:tc>
          <w:tcPr>
            <w:tcW w:w="2551" w:type="dxa"/>
            <w:vAlign w:val="center"/>
          </w:tcPr>
          <w:p>
            <w:pPr>
              <w:pStyle w:val="11"/>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265.44</w:t>
            </w:r>
          </w:p>
        </w:tc>
        <w:tc>
          <w:tcPr>
            <w:tcW w:w="2551" w:type="dxa"/>
            <w:vAlign w:val="center"/>
          </w:tcPr>
          <w:p>
            <w:pPr>
              <w:pStyle w:val="11"/>
            </w:pPr>
          </w:p>
        </w:tc>
        <w:tc>
          <w:tcPr>
            <w:tcW w:w="2551" w:type="dxa"/>
            <w:vAlign w:val="center"/>
          </w:tcPr>
          <w:p>
            <w:pPr>
              <w:pStyle w:val="11"/>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148.81</w:t>
            </w:r>
          </w:p>
        </w:tc>
        <w:tc>
          <w:tcPr>
            <w:tcW w:w="2551" w:type="dxa"/>
            <w:vAlign w:val="center"/>
          </w:tcPr>
          <w:p>
            <w:pPr>
              <w:pStyle w:val="11"/>
            </w:pPr>
            <w:r>
              <w:t>148.81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148.81</w:t>
            </w:r>
          </w:p>
        </w:tc>
        <w:tc>
          <w:tcPr>
            <w:tcW w:w="2551" w:type="dxa"/>
            <w:vAlign w:val="center"/>
          </w:tcPr>
          <w:p>
            <w:pPr>
              <w:pStyle w:val="11"/>
            </w:pPr>
            <w:r>
              <w:t>148.81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148.81</w:t>
            </w:r>
          </w:p>
        </w:tc>
        <w:tc>
          <w:tcPr>
            <w:tcW w:w="2551" w:type="dxa"/>
            <w:vAlign w:val="center"/>
          </w:tcPr>
          <w:p>
            <w:pPr>
              <w:pStyle w:val="11"/>
            </w:pPr>
            <w:r>
              <w:t>148.81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783.66</w:t>
            </w:r>
          </w:p>
        </w:tc>
        <w:tc>
          <w:tcPr>
            <w:tcW w:w="2551" w:type="dxa"/>
            <w:vAlign w:val="center"/>
          </w:tcPr>
          <w:p>
            <w:pPr>
              <w:pStyle w:val="11"/>
            </w:pPr>
          </w:p>
        </w:tc>
        <w:tc>
          <w:tcPr>
            <w:tcW w:w="2551" w:type="dxa"/>
            <w:vAlign w:val="center"/>
          </w:tcPr>
          <w:p>
            <w:pPr>
              <w:pStyle w:val="11"/>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783.66</w:t>
            </w:r>
          </w:p>
        </w:tc>
        <w:tc>
          <w:tcPr>
            <w:tcW w:w="2551" w:type="dxa"/>
            <w:vAlign w:val="center"/>
          </w:tcPr>
          <w:p>
            <w:pPr>
              <w:pStyle w:val="11"/>
            </w:pPr>
          </w:p>
        </w:tc>
        <w:tc>
          <w:tcPr>
            <w:tcW w:w="2551" w:type="dxa"/>
            <w:vAlign w:val="center"/>
          </w:tcPr>
          <w:p>
            <w:pPr>
              <w:pStyle w:val="11"/>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2240704</w:t>
            </w:r>
          </w:p>
        </w:tc>
        <w:tc>
          <w:tcPr>
            <w:tcW w:w="4535" w:type="dxa"/>
            <w:vAlign w:val="center"/>
          </w:tcPr>
          <w:p>
            <w:pPr>
              <w:pStyle w:val="12"/>
            </w:pPr>
            <w:r>
              <w:t>自然灾害灾后重建补助</w:t>
            </w:r>
          </w:p>
        </w:tc>
        <w:tc>
          <w:tcPr>
            <w:tcW w:w="2551" w:type="dxa"/>
            <w:vAlign w:val="center"/>
          </w:tcPr>
          <w:p>
            <w:pPr>
              <w:pStyle w:val="11"/>
            </w:pPr>
            <w:r>
              <w:t>163.16</w:t>
            </w:r>
          </w:p>
        </w:tc>
        <w:tc>
          <w:tcPr>
            <w:tcW w:w="2551" w:type="dxa"/>
            <w:vAlign w:val="center"/>
          </w:tcPr>
          <w:p>
            <w:pPr>
              <w:pStyle w:val="11"/>
            </w:pPr>
          </w:p>
        </w:tc>
        <w:tc>
          <w:tcPr>
            <w:tcW w:w="2551" w:type="dxa"/>
            <w:vAlign w:val="center"/>
          </w:tcPr>
          <w:p>
            <w:pPr>
              <w:pStyle w:val="11"/>
            </w:pPr>
            <w:r>
              <w:t>163.16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620.50</w:t>
            </w:r>
          </w:p>
        </w:tc>
        <w:tc>
          <w:tcPr>
            <w:tcW w:w="2551" w:type="dxa"/>
            <w:vAlign w:val="center"/>
          </w:tcPr>
          <w:p>
            <w:pPr>
              <w:pStyle w:val="11"/>
            </w:pPr>
          </w:p>
        </w:tc>
        <w:tc>
          <w:tcPr>
            <w:tcW w:w="2551" w:type="dxa"/>
            <w:vAlign w:val="center"/>
          </w:tcPr>
          <w:p>
            <w:pPr>
              <w:pStyle w:val="11"/>
            </w:pPr>
            <w:r>
              <w:t>620.50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val="en-US" w:eastAsia="zh-CN"/>
              </w:rPr>
              <w:t>部门</w:t>
            </w:r>
            <w:r>
              <w:t>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2248.67</w:t>
            </w:r>
          </w:p>
        </w:tc>
        <w:tc>
          <w:tcPr>
            <w:tcW w:w="2551" w:type="dxa"/>
            <w:vAlign w:val="center"/>
          </w:tcPr>
          <w:p>
            <w:pPr>
              <w:pStyle w:val="15"/>
            </w:pPr>
            <w:r>
              <w:t>2125.44</w:t>
            </w:r>
          </w:p>
        </w:tc>
        <w:tc>
          <w:tcPr>
            <w:tcW w:w="2551" w:type="dxa"/>
            <w:vAlign w:val="center"/>
          </w:tcPr>
          <w:p>
            <w:pPr>
              <w:pStyle w:val="15"/>
            </w:pPr>
            <w:r>
              <w:t>123.23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1939.05</w:t>
            </w:r>
          </w:p>
        </w:tc>
        <w:tc>
          <w:tcPr>
            <w:tcW w:w="2551" w:type="dxa"/>
            <w:vAlign w:val="center"/>
          </w:tcPr>
          <w:p>
            <w:pPr>
              <w:pStyle w:val="11"/>
            </w:pPr>
            <w:r>
              <w:t>1939.05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699.36</w:t>
            </w:r>
          </w:p>
        </w:tc>
        <w:tc>
          <w:tcPr>
            <w:tcW w:w="2551" w:type="dxa"/>
            <w:vAlign w:val="center"/>
          </w:tcPr>
          <w:p>
            <w:pPr>
              <w:pStyle w:val="11"/>
            </w:pPr>
            <w:r>
              <w:t>699.36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122.30</w:t>
            </w:r>
          </w:p>
        </w:tc>
        <w:tc>
          <w:tcPr>
            <w:tcW w:w="2551" w:type="dxa"/>
            <w:vAlign w:val="center"/>
          </w:tcPr>
          <w:p>
            <w:pPr>
              <w:pStyle w:val="11"/>
            </w:pPr>
            <w:r>
              <w:t>122.30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19.58</w:t>
            </w:r>
          </w:p>
        </w:tc>
        <w:tc>
          <w:tcPr>
            <w:tcW w:w="2551" w:type="dxa"/>
            <w:vAlign w:val="center"/>
          </w:tcPr>
          <w:p>
            <w:pPr>
              <w:pStyle w:val="11"/>
            </w:pPr>
            <w:r>
              <w:t>19.58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695.65</w:t>
            </w:r>
          </w:p>
        </w:tc>
        <w:tc>
          <w:tcPr>
            <w:tcW w:w="2551" w:type="dxa"/>
            <w:vAlign w:val="center"/>
          </w:tcPr>
          <w:p>
            <w:pPr>
              <w:pStyle w:val="11"/>
            </w:pPr>
            <w:r>
              <w:t>695.65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180.56</w:t>
            </w:r>
          </w:p>
        </w:tc>
        <w:tc>
          <w:tcPr>
            <w:tcW w:w="2551" w:type="dxa"/>
            <w:vAlign w:val="center"/>
          </w:tcPr>
          <w:p>
            <w:pPr>
              <w:pStyle w:val="11"/>
            </w:pPr>
            <w:r>
              <w:t>180.56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62.24</w:t>
            </w:r>
          </w:p>
        </w:tc>
        <w:tc>
          <w:tcPr>
            <w:tcW w:w="2551" w:type="dxa"/>
            <w:vAlign w:val="center"/>
          </w:tcPr>
          <w:p>
            <w:pPr>
              <w:pStyle w:val="11"/>
            </w:pPr>
            <w:r>
              <w:t>62.24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148.81</w:t>
            </w:r>
          </w:p>
        </w:tc>
        <w:tc>
          <w:tcPr>
            <w:tcW w:w="2551" w:type="dxa"/>
            <w:vAlign w:val="center"/>
          </w:tcPr>
          <w:p>
            <w:pPr>
              <w:pStyle w:val="11"/>
            </w:pPr>
            <w:r>
              <w:t>148.81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123.23</w:t>
            </w:r>
          </w:p>
        </w:tc>
        <w:tc>
          <w:tcPr>
            <w:tcW w:w="2551" w:type="dxa"/>
            <w:vAlign w:val="center"/>
          </w:tcPr>
          <w:p>
            <w:pPr>
              <w:pStyle w:val="11"/>
            </w:pPr>
          </w:p>
        </w:tc>
        <w:tc>
          <w:tcPr>
            <w:tcW w:w="2551" w:type="dxa"/>
            <w:vAlign w:val="center"/>
          </w:tcPr>
          <w:p>
            <w:pPr>
              <w:pStyle w:val="11"/>
            </w:pPr>
            <w:r>
              <w:t>123.23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40.53</w:t>
            </w:r>
          </w:p>
        </w:tc>
        <w:tc>
          <w:tcPr>
            <w:tcW w:w="2551" w:type="dxa"/>
            <w:vAlign w:val="center"/>
          </w:tcPr>
          <w:p>
            <w:pPr>
              <w:pStyle w:val="11"/>
            </w:pPr>
          </w:p>
        </w:tc>
        <w:tc>
          <w:tcPr>
            <w:tcW w:w="2551" w:type="dxa"/>
            <w:vAlign w:val="center"/>
          </w:tcPr>
          <w:p>
            <w:pPr>
              <w:pStyle w:val="11"/>
            </w:pPr>
            <w:r>
              <w:t>40.53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16.15</w:t>
            </w:r>
          </w:p>
        </w:tc>
        <w:tc>
          <w:tcPr>
            <w:tcW w:w="2551" w:type="dxa"/>
            <w:vAlign w:val="center"/>
          </w:tcPr>
          <w:p>
            <w:pPr>
              <w:pStyle w:val="11"/>
            </w:pPr>
          </w:p>
        </w:tc>
        <w:tc>
          <w:tcPr>
            <w:tcW w:w="2551" w:type="dxa"/>
            <w:vAlign w:val="center"/>
          </w:tcPr>
          <w:p>
            <w:pPr>
              <w:pStyle w:val="11"/>
            </w:pPr>
            <w:r>
              <w:t>16.15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18.16</w:t>
            </w:r>
          </w:p>
        </w:tc>
        <w:tc>
          <w:tcPr>
            <w:tcW w:w="2551" w:type="dxa"/>
            <w:vAlign w:val="center"/>
          </w:tcPr>
          <w:p>
            <w:pPr>
              <w:pStyle w:val="11"/>
            </w:pPr>
          </w:p>
        </w:tc>
        <w:tc>
          <w:tcPr>
            <w:tcW w:w="2551" w:type="dxa"/>
            <w:vAlign w:val="center"/>
          </w:tcPr>
          <w:p>
            <w:pPr>
              <w:pStyle w:val="11"/>
            </w:pPr>
            <w:r>
              <w:t>18.16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15.16</w:t>
            </w:r>
          </w:p>
        </w:tc>
        <w:tc>
          <w:tcPr>
            <w:tcW w:w="2551" w:type="dxa"/>
            <w:vAlign w:val="center"/>
          </w:tcPr>
          <w:p>
            <w:pPr>
              <w:pStyle w:val="11"/>
            </w:pPr>
          </w:p>
        </w:tc>
        <w:tc>
          <w:tcPr>
            <w:tcW w:w="2551" w:type="dxa"/>
            <w:vAlign w:val="center"/>
          </w:tcPr>
          <w:p>
            <w:pPr>
              <w:pStyle w:val="11"/>
            </w:pPr>
            <w:r>
              <w:t>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21.87</w:t>
            </w:r>
          </w:p>
        </w:tc>
        <w:tc>
          <w:tcPr>
            <w:tcW w:w="2551" w:type="dxa"/>
            <w:vAlign w:val="center"/>
          </w:tcPr>
          <w:p>
            <w:pPr>
              <w:pStyle w:val="11"/>
            </w:pPr>
          </w:p>
        </w:tc>
        <w:tc>
          <w:tcPr>
            <w:tcW w:w="2551" w:type="dxa"/>
            <w:vAlign w:val="center"/>
          </w:tcPr>
          <w:p>
            <w:pPr>
              <w:pStyle w:val="11"/>
            </w:pPr>
            <w:r>
              <w:t>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4.62</w:t>
            </w:r>
          </w:p>
        </w:tc>
        <w:tc>
          <w:tcPr>
            <w:tcW w:w="2551" w:type="dxa"/>
            <w:vAlign w:val="center"/>
          </w:tcPr>
          <w:p>
            <w:pPr>
              <w:pStyle w:val="11"/>
            </w:pPr>
          </w:p>
        </w:tc>
        <w:tc>
          <w:tcPr>
            <w:tcW w:w="2551" w:type="dxa"/>
            <w:vAlign w:val="center"/>
          </w:tcPr>
          <w:p>
            <w:pPr>
              <w:pStyle w:val="11"/>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186.39</w:t>
            </w:r>
          </w:p>
        </w:tc>
        <w:tc>
          <w:tcPr>
            <w:tcW w:w="2551" w:type="dxa"/>
            <w:vAlign w:val="center"/>
          </w:tcPr>
          <w:p>
            <w:pPr>
              <w:pStyle w:val="11"/>
            </w:pPr>
            <w:r>
              <w:t>186.39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183.85</w:t>
            </w:r>
          </w:p>
        </w:tc>
        <w:tc>
          <w:tcPr>
            <w:tcW w:w="2551" w:type="dxa"/>
            <w:vAlign w:val="center"/>
          </w:tcPr>
          <w:p>
            <w:pPr>
              <w:pStyle w:val="11"/>
            </w:pPr>
            <w:r>
              <w:t>183.85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2.54</w:t>
            </w:r>
          </w:p>
        </w:tc>
        <w:tc>
          <w:tcPr>
            <w:tcW w:w="2551" w:type="dxa"/>
            <w:vAlign w:val="center"/>
          </w:tcPr>
          <w:p>
            <w:pPr>
              <w:pStyle w:val="11"/>
            </w:pPr>
            <w:r>
              <w:t>2.54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22.16</w:t>
            </w:r>
          </w:p>
        </w:tc>
        <w:tc>
          <w:tcPr>
            <w:tcW w:w="2381" w:type="dxa"/>
            <w:vAlign w:val="center"/>
          </w:tcPr>
          <w:p>
            <w:pPr>
              <w:pStyle w:val="15"/>
            </w:pPr>
            <w:r>
              <w:t>22.16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22.16</w:t>
            </w:r>
          </w:p>
        </w:tc>
        <w:tc>
          <w:tcPr>
            <w:tcW w:w="2381" w:type="dxa"/>
            <w:vAlign w:val="center"/>
          </w:tcPr>
          <w:p>
            <w:pPr>
              <w:pStyle w:val="11"/>
            </w:pPr>
            <w:r>
              <w:t>22.16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21.87</w:t>
            </w:r>
          </w:p>
        </w:tc>
        <w:tc>
          <w:tcPr>
            <w:tcW w:w="2381" w:type="dxa"/>
            <w:vAlign w:val="center"/>
          </w:tcPr>
          <w:p>
            <w:pPr>
              <w:pStyle w:val="11"/>
            </w:pPr>
            <w:r>
              <w:t>21.87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21.87</w:t>
            </w:r>
          </w:p>
        </w:tc>
        <w:tc>
          <w:tcPr>
            <w:tcW w:w="2381" w:type="dxa"/>
            <w:vAlign w:val="center"/>
          </w:tcPr>
          <w:p>
            <w:pPr>
              <w:pStyle w:val="11"/>
            </w:pPr>
            <w:r>
              <w:t>21.87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0.29</w:t>
            </w:r>
          </w:p>
        </w:tc>
        <w:tc>
          <w:tcPr>
            <w:tcW w:w="2381" w:type="dxa"/>
            <w:vAlign w:val="center"/>
          </w:tcPr>
          <w:p>
            <w:pPr>
              <w:pStyle w:val="11"/>
            </w:pPr>
            <w:r>
              <w:t>0.29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保定市交通运输局徐水区分局本级2025年单位预算信息公开情况说明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按照《中华人民共和国预算法》、《地方预决算公开操作规程》和《关于进一步推进预算公开工作的实施意见》规定，现将保定市交通运输局徐水区分局本级2025年单位预算公开如下：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根据保定市徐水县人民政府办公室《关于印发&lt;徐水县交通运输局主要职责、内设机构和人员编制规定&gt;的通知》（徐政办[2010]71号），现将我局</w:t>
      </w:r>
      <w:r>
        <w:rPr>
          <w:rFonts w:hint="eastAsia"/>
          <w:lang w:eastAsia="zh-CN"/>
        </w:rPr>
        <w:t>单位</w:t>
      </w:r>
      <w:r>
        <w:t>职责概况说明如下：</w:t>
      </w:r>
    </w:p>
    <w:p>
      <w:pPr>
        <w:pStyle w:val="17"/>
      </w:pPr>
      <w:r>
        <w:t>（一）根据区总体部署，拟定全区公路、水路交通发展规划、中长期规划和年度计划。</w:t>
      </w:r>
    </w:p>
    <w:p>
      <w:pPr>
        <w:pStyle w:val="17"/>
      </w:pPr>
      <w:r>
        <w:t>（二）负责全区公路、水路的运输行业管理和运输组织管理；负责全区营业性客货运输停车站（场）的行业管理；负责全区出租汽车管理。</w:t>
      </w:r>
    </w:p>
    <w:p>
      <w:pPr>
        <w:pStyle w:val="17"/>
      </w:pPr>
      <w:r>
        <w:t>（三）会同有关</w:t>
      </w:r>
      <w:r>
        <w:rPr>
          <w:rFonts w:hint="eastAsia"/>
          <w:lang w:eastAsia="zh-CN"/>
        </w:rPr>
        <w:t>单位</w:t>
      </w:r>
      <w:r>
        <w:t>培育和管理交通运输市场和交通基础设施建设，引导交通运输业优化结构，协调发展。</w:t>
      </w:r>
    </w:p>
    <w:p>
      <w:pPr>
        <w:pStyle w:val="17"/>
      </w:pPr>
      <w:r>
        <w:t>（四）组织县乡公路及其设施的建设、养护、管理和规费稽征；负责全区道路运输市场、汽车维修市场、车辆技术检测、汽车驾驶学校和驾驶员工作的行业管理；指导和管理城乡客、货运输的衔接协调工作。</w:t>
      </w:r>
    </w:p>
    <w:p>
      <w:pPr>
        <w:pStyle w:val="17"/>
      </w:pPr>
      <w:r>
        <w:t>（五）负责全区车辆规费稽征；负责水上港航监督、船舶检验维修、救助打捞、通信导航、船舶代理、航道和港航设施建设使用岸线的行业管理。</w:t>
      </w:r>
    </w:p>
    <w:p>
      <w:pPr>
        <w:pStyle w:val="17"/>
      </w:pPr>
      <w:r>
        <w:t>（六）指导全区交通行业体制改革和企业管理；负责局属单位国有资产管理；组织全区交通系统内部审计工作。</w:t>
      </w:r>
    </w:p>
    <w:p>
      <w:pPr>
        <w:pStyle w:val="17"/>
      </w:pPr>
      <w:r>
        <w:t>（七）制定交通科技政策、技术标准和规范；组织科技开发，推动行业技术进步；负责交通工程质量监督；按照有关规定组织交通工业产品的认证和质量监督。指导全区交通行业人才开发、预测、教育、培训、交流和使用工作。</w:t>
      </w:r>
    </w:p>
    <w:p>
      <w:pPr>
        <w:pStyle w:val="17"/>
      </w:pPr>
    </w:p>
    <w:p>
      <w:pPr>
        <w:pStyle w:val="17"/>
      </w:pPr>
      <w:r>
        <w:t>（八）负责局机关并指导局属单位人事、劳动、机构编制管理，人力资源开发工作；负责直属单位领导班子建设；受有关</w:t>
      </w:r>
      <w:r>
        <w:rPr>
          <w:rFonts w:hint="eastAsia"/>
          <w:lang w:eastAsia="zh-CN"/>
        </w:rPr>
        <w:t>单位</w:t>
      </w:r>
      <w:r>
        <w:t>委托，负责全区机关、企事业单位汽车专业和与交通相关的专业工程工人技术等级培训、考核工作；指导全区交通行业的精神文明建设和职工队伍思想建设。交通系统内的宣传工作。</w:t>
      </w:r>
    </w:p>
    <w:p>
      <w:pPr>
        <w:pStyle w:val="17"/>
      </w:pPr>
      <w:r>
        <w:t>（九）指导全区交通行业涉外工作，指导利用外资。</w:t>
      </w:r>
    </w:p>
    <w:p>
      <w:pPr>
        <w:pStyle w:val="17"/>
      </w:pPr>
      <w:r>
        <w:t>（十）承办区政府交办的其他事项。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保定市交通运输局徐水区分局本级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4464.32万元，其中：一般公共预算收入3098.22万元，基金预算收入0.00万元，国有资本经营预算收入0.00万元，财政专户核拨收入0.00万元，单位资金收入0.00万元，上年结转结余1366.10万元。</w:t>
      </w:r>
    </w:p>
    <w:p>
      <w:pPr>
        <w:pStyle w:val="18"/>
      </w:pPr>
      <w:r>
        <w:t>2、支出说明</w:t>
      </w:r>
    </w:p>
    <w:p>
      <w:pPr>
        <w:pStyle w:val="18"/>
      </w:pPr>
      <w:r>
        <w:t xml:space="preserve">收支预算总表支出栏、基本支出表、项目支出表按经济分类和支出功能分类科目编制，反映保定市交通运输局徐水区分局本级年度单位预算中支出预算的总体情况。2025年支出预算4464.32万元，其中基本支出2248.67万元，包括人员经费2125.44万元和日常公用经费123.23万元；项目支出2215.65万元，主要为农村公路养护专项资金支出、车购税用于农村公路项目补助支出、农村客运出租油补资金支出及保安保洁项目支出等。 </w:t>
      </w:r>
    </w:p>
    <w:p>
      <w:pPr>
        <w:pStyle w:val="18"/>
      </w:pPr>
      <w:r>
        <w:t>3、比上年增减情况</w:t>
      </w:r>
    </w:p>
    <w:p>
      <w:pPr>
        <w:pStyle w:val="18"/>
      </w:pPr>
      <w:r>
        <w:t>2025年预算收支安排4464.32万元，较2024年预算减少3616.92万元，其中：基本支出减少72.15万元，主要为在职职工人数减少致人员支出预算收支减少。项目支出减少3544.77万元，主要为2025年安排的农村公路建设养护项目规模及数量减少致项目收支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val="en-US" w:eastAsia="zh-CN"/>
        </w:rPr>
      </w:pPr>
      <w:r>
        <w:rPr>
          <w:rFonts w:hint="eastAsia"/>
          <w:lang w:val="en-US" w:eastAsia="zh-CN"/>
        </w:rPr>
        <w:t>我单位为事业单位，无机关运行经费安排情况。</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22.16万元，其中因公出国（境）费0.00万元；公务用车购置及运维费21.87万元（其中：公务用车购置费为0.00万元，公务用车运维费21.87万元)；公务接待费0.29万元。与2024年相比增加0.00万元，增减变化的主要原因是2025年度“三公”预算经费支出预计没有特殊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1、2024年第七批新增一般债券-保定市徐水区水毁公路重建工程国债项目县级配套绩效目标表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13062524P000018100113</w:t>
            </w:r>
          </w:p>
        </w:tc>
        <w:tc>
          <w:tcPr>
            <w:tcW w:w="2835" w:type="dxa"/>
            <w:vAlign w:val="center"/>
          </w:tcPr>
          <w:p>
            <w:pPr>
              <w:pStyle w:val="10"/>
            </w:pPr>
            <w:r>
              <w:t>项目名称</w:t>
            </w:r>
          </w:p>
        </w:tc>
        <w:tc>
          <w:tcPr>
            <w:tcW w:w="6095" w:type="dxa"/>
            <w:gridSpan w:val="3"/>
            <w:vAlign w:val="center"/>
          </w:tcPr>
          <w:p>
            <w:pPr>
              <w:pStyle w:val="12"/>
            </w:pPr>
            <w:r>
              <w:t>2024年第七批新增一般债券-保定市徐水区水毁公路重建工程国债项目县级配套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2024年第七批新增一般债券-保定市徐水区水毁公路重建工程国债项目县级配套</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1.恢复重建公路里程13.59公里。</w:t>
            </w:r>
          </w:p>
          <w:p>
            <w:pPr>
              <w:pStyle w:val="12"/>
            </w:pPr>
            <w:r>
              <w:t>2.对水毁灾后受损的路基、路面、防护、排水及交通安全设施等进行恢复重建，确保公路正常通行，保障人民群众出行和运输需要。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恢复重建公路里程</w:t>
            </w:r>
          </w:p>
        </w:tc>
        <w:tc>
          <w:tcPr>
            <w:tcW w:w="5386" w:type="dxa"/>
            <w:vAlign w:val="center"/>
          </w:tcPr>
          <w:p>
            <w:pPr>
              <w:pStyle w:val="12"/>
            </w:pPr>
            <w:r>
              <w:t>反映实际完成恢复重建的公路里程（不含桥梁隧道部分）</w:t>
            </w:r>
          </w:p>
        </w:tc>
        <w:tc>
          <w:tcPr>
            <w:tcW w:w="2268" w:type="dxa"/>
            <w:vAlign w:val="center"/>
          </w:tcPr>
          <w:p>
            <w:pPr>
              <w:pStyle w:val="12"/>
            </w:pPr>
            <w:r>
              <w:t>≥13.59公里</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交（竣）工验收合格率</w:t>
            </w:r>
          </w:p>
        </w:tc>
        <w:tc>
          <w:tcPr>
            <w:tcW w:w="5386" w:type="dxa"/>
            <w:vAlign w:val="center"/>
          </w:tcPr>
          <w:p>
            <w:pPr>
              <w:pStyle w:val="12"/>
            </w:pPr>
            <w:r>
              <w:t>反映项目交（竣）工验收项目的质量情况</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反映项目设计变更金额占项目总投资的比率</w:t>
            </w:r>
          </w:p>
        </w:tc>
        <w:tc>
          <w:tcPr>
            <w:tcW w:w="2268" w:type="dxa"/>
            <w:vAlign w:val="center"/>
          </w:tcPr>
          <w:p>
            <w:pPr>
              <w:pStyle w:val="12"/>
            </w:pPr>
            <w:r>
              <w:t>≤5%</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工程完工时间</w:t>
            </w:r>
          </w:p>
        </w:tc>
        <w:tc>
          <w:tcPr>
            <w:tcW w:w="5386" w:type="dxa"/>
            <w:vAlign w:val="center"/>
          </w:tcPr>
          <w:p>
            <w:pPr>
              <w:pStyle w:val="12"/>
            </w:pPr>
            <w:r>
              <w:t>反映工程完工的具体时间</w:t>
            </w:r>
          </w:p>
        </w:tc>
        <w:tc>
          <w:tcPr>
            <w:tcW w:w="2268" w:type="dxa"/>
            <w:vAlign w:val="center"/>
          </w:tcPr>
          <w:p>
            <w:pPr>
              <w:pStyle w:val="12"/>
            </w:pPr>
            <w:r>
              <w:t>2024年12月底</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公路路线部分建设单公里成本（万元）</w:t>
            </w:r>
          </w:p>
        </w:tc>
        <w:tc>
          <w:tcPr>
            <w:tcW w:w="5386" w:type="dxa"/>
            <w:vAlign w:val="center"/>
          </w:tcPr>
          <w:p>
            <w:pPr>
              <w:pStyle w:val="12"/>
            </w:pPr>
            <w:r>
              <w:t>反映公路路线部分（不含桥梁隧道）建设的单公里成本</w:t>
            </w:r>
          </w:p>
        </w:tc>
        <w:tc>
          <w:tcPr>
            <w:tcW w:w="2268" w:type="dxa"/>
            <w:vAlign w:val="center"/>
          </w:tcPr>
          <w:p>
            <w:pPr>
              <w:pStyle w:val="12"/>
            </w:pPr>
            <w:r>
              <w:t>≤297万元</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恢复通行能力情况</w:t>
            </w:r>
          </w:p>
        </w:tc>
        <w:tc>
          <w:tcPr>
            <w:tcW w:w="5386" w:type="dxa"/>
            <w:vAlign w:val="center"/>
          </w:tcPr>
          <w:p>
            <w:pPr>
              <w:pStyle w:val="12"/>
            </w:pPr>
            <w:r>
              <w:t>反映恢复重建后该路段（或区域内的相关路段）通行状况</w:t>
            </w:r>
          </w:p>
        </w:tc>
        <w:tc>
          <w:tcPr>
            <w:tcW w:w="2268" w:type="dxa"/>
            <w:vAlign w:val="center"/>
          </w:tcPr>
          <w:p>
            <w:pPr>
              <w:pStyle w:val="12"/>
            </w:pPr>
            <w:r>
              <w:t>达到或超过受灾前的通行能力</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≥5年</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反映通过问卷调查受益群体满意情况</w:t>
            </w:r>
          </w:p>
        </w:tc>
        <w:tc>
          <w:tcPr>
            <w:tcW w:w="2268" w:type="dxa"/>
            <w:vAlign w:val="center"/>
          </w:tcPr>
          <w:p>
            <w:pPr>
              <w:pStyle w:val="12"/>
            </w:pPr>
            <w:r>
              <w:t>≥90%</w:t>
            </w:r>
          </w:p>
        </w:tc>
        <w:tc>
          <w:tcPr>
            <w:tcW w:w="1276" w:type="dxa"/>
            <w:vAlign w:val="center"/>
          </w:tcPr>
          <w:p>
            <w:pPr>
              <w:pStyle w:val="12"/>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2、保安保洁劳务费绩效目标表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13062525P000232101251</w:t>
            </w:r>
          </w:p>
        </w:tc>
        <w:tc>
          <w:tcPr>
            <w:tcW w:w="2835" w:type="dxa"/>
            <w:vAlign w:val="center"/>
          </w:tcPr>
          <w:p>
            <w:pPr>
              <w:pStyle w:val="10"/>
            </w:pPr>
            <w:r>
              <w:t>项目名称</w:t>
            </w:r>
          </w:p>
        </w:tc>
        <w:tc>
          <w:tcPr>
            <w:tcW w:w="6095" w:type="dxa"/>
            <w:gridSpan w:val="3"/>
            <w:vAlign w:val="center"/>
          </w:tcPr>
          <w:p>
            <w:pPr>
              <w:pStyle w:val="12"/>
            </w:pPr>
            <w:r>
              <w:t>保安保洁劳务费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14.55</w:t>
            </w:r>
          </w:p>
        </w:tc>
        <w:tc>
          <w:tcPr>
            <w:tcW w:w="2835" w:type="dxa"/>
            <w:vAlign w:val="center"/>
          </w:tcPr>
          <w:p>
            <w:pPr>
              <w:pStyle w:val="10"/>
            </w:pPr>
            <w:r>
              <w:t>其中：财政    资金</w:t>
            </w:r>
          </w:p>
        </w:tc>
        <w:tc>
          <w:tcPr>
            <w:tcW w:w="2551" w:type="dxa"/>
            <w:vAlign w:val="center"/>
          </w:tcPr>
          <w:p>
            <w:pPr>
              <w:pStyle w:val="12"/>
            </w:pPr>
            <w:r>
              <w:t>14.55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用于保安保洁劳务费支出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1.及时向劳务派遣公司支付6人的劳务费用，保障费用支付准确。</w:t>
            </w:r>
          </w:p>
          <w:p>
            <w:pPr>
              <w:pStyle w:val="12"/>
            </w:pPr>
            <w:r>
              <w:t>2.解决机关运行基本保障问题。</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支付派遣劳务费人员数</w:t>
            </w:r>
          </w:p>
        </w:tc>
        <w:tc>
          <w:tcPr>
            <w:tcW w:w="5386" w:type="dxa"/>
            <w:vAlign w:val="center"/>
          </w:tcPr>
          <w:p>
            <w:pPr>
              <w:pStyle w:val="12"/>
            </w:pPr>
            <w:r>
              <w:t>考察派遣劳务人员数量</w:t>
            </w:r>
          </w:p>
        </w:tc>
        <w:tc>
          <w:tcPr>
            <w:tcW w:w="2268" w:type="dxa"/>
            <w:vAlign w:val="center"/>
          </w:tcPr>
          <w:p>
            <w:pPr>
              <w:pStyle w:val="12"/>
            </w:pPr>
            <w:r>
              <w:t>6人</w:t>
            </w:r>
          </w:p>
        </w:tc>
        <w:tc>
          <w:tcPr>
            <w:tcW w:w="1276" w:type="dxa"/>
            <w:vAlign w:val="center"/>
          </w:tcPr>
          <w:p>
            <w:pPr>
              <w:pStyle w:val="12"/>
            </w:pPr>
            <w:r>
              <w:t>依据</w:t>
            </w:r>
            <w:r>
              <w:rPr>
                <w:rFonts w:hint="eastAsia"/>
                <w:lang w:eastAsia="zh-CN"/>
              </w:rPr>
              <w:t>单位</w:t>
            </w:r>
            <w:r>
              <w:t>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费用支付准确率</w:t>
            </w:r>
          </w:p>
        </w:tc>
        <w:tc>
          <w:tcPr>
            <w:tcW w:w="5386" w:type="dxa"/>
            <w:vAlign w:val="center"/>
          </w:tcPr>
          <w:p>
            <w:pPr>
              <w:pStyle w:val="12"/>
            </w:pPr>
            <w:r>
              <w:t>考察费用支付准确情况</w:t>
            </w:r>
          </w:p>
        </w:tc>
        <w:tc>
          <w:tcPr>
            <w:tcW w:w="2268" w:type="dxa"/>
            <w:vAlign w:val="center"/>
          </w:tcPr>
          <w:p>
            <w:pPr>
              <w:pStyle w:val="12"/>
            </w:pPr>
            <w:r>
              <w:t>100%</w:t>
            </w:r>
          </w:p>
        </w:tc>
        <w:tc>
          <w:tcPr>
            <w:tcW w:w="1276" w:type="dxa"/>
            <w:vAlign w:val="center"/>
          </w:tcPr>
          <w:p>
            <w:pPr>
              <w:pStyle w:val="12"/>
            </w:pPr>
            <w:r>
              <w:t>依据</w:t>
            </w:r>
            <w:r>
              <w:rPr>
                <w:rFonts w:hint="eastAsia"/>
                <w:lang w:eastAsia="zh-CN"/>
              </w:rPr>
              <w:t>单位</w:t>
            </w:r>
            <w:r>
              <w:t>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费用支付完成及时率</w:t>
            </w:r>
          </w:p>
        </w:tc>
        <w:tc>
          <w:tcPr>
            <w:tcW w:w="5386" w:type="dxa"/>
            <w:vAlign w:val="center"/>
          </w:tcPr>
          <w:p>
            <w:pPr>
              <w:pStyle w:val="12"/>
            </w:pPr>
            <w:r>
              <w:t>考察费用支付完成及时情况</w:t>
            </w:r>
          </w:p>
        </w:tc>
        <w:tc>
          <w:tcPr>
            <w:tcW w:w="2268" w:type="dxa"/>
            <w:vAlign w:val="center"/>
          </w:tcPr>
          <w:p>
            <w:pPr>
              <w:pStyle w:val="12"/>
            </w:pPr>
            <w:r>
              <w:t>≥95%</w:t>
            </w:r>
          </w:p>
        </w:tc>
        <w:tc>
          <w:tcPr>
            <w:tcW w:w="1276" w:type="dxa"/>
            <w:vAlign w:val="center"/>
          </w:tcPr>
          <w:p>
            <w:pPr>
              <w:pStyle w:val="12"/>
            </w:pPr>
            <w:r>
              <w:t>依据</w:t>
            </w:r>
            <w:r>
              <w:rPr>
                <w:rFonts w:hint="eastAsia"/>
                <w:lang w:eastAsia="zh-CN"/>
              </w:rPr>
              <w:t>单位</w:t>
            </w:r>
            <w:r>
              <w:t>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14.55万元</w:t>
            </w:r>
          </w:p>
        </w:tc>
        <w:tc>
          <w:tcPr>
            <w:tcW w:w="1276" w:type="dxa"/>
            <w:vAlign w:val="center"/>
          </w:tcPr>
          <w:p>
            <w:pPr>
              <w:pStyle w:val="12"/>
            </w:pPr>
            <w:r>
              <w:t>依据</w:t>
            </w:r>
            <w:r>
              <w:rPr>
                <w:rFonts w:hint="eastAsia"/>
                <w:lang w:eastAsia="zh-CN"/>
              </w:rPr>
              <w:t>单位</w:t>
            </w:r>
            <w:r>
              <w:t>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机关运行保障率</w:t>
            </w:r>
          </w:p>
        </w:tc>
        <w:tc>
          <w:tcPr>
            <w:tcW w:w="5386" w:type="dxa"/>
            <w:vAlign w:val="center"/>
          </w:tcPr>
          <w:p>
            <w:pPr>
              <w:pStyle w:val="12"/>
            </w:pPr>
            <w:r>
              <w:t>考察职工对保障业务正常开展的情况</w:t>
            </w:r>
          </w:p>
        </w:tc>
        <w:tc>
          <w:tcPr>
            <w:tcW w:w="2268" w:type="dxa"/>
            <w:vAlign w:val="center"/>
          </w:tcPr>
          <w:p>
            <w:pPr>
              <w:pStyle w:val="12"/>
            </w:pPr>
            <w:r>
              <w:t>≥85%</w:t>
            </w:r>
          </w:p>
        </w:tc>
        <w:tc>
          <w:tcPr>
            <w:tcW w:w="1276" w:type="dxa"/>
            <w:vAlign w:val="center"/>
          </w:tcPr>
          <w:p>
            <w:pPr>
              <w:pStyle w:val="12"/>
            </w:pPr>
            <w:r>
              <w:t>依据</w:t>
            </w:r>
            <w:r>
              <w:rPr>
                <w:rFonts w:hint="eastAsia"/>
                <w:lang w:eastAsia="zh-CN"/>
              </w:rPr>
              <w:t>单位</w:t>
            </w: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劳务派遣人员满意率</w:t>
            </w:r>
          </w:p>
        </w:tc>
        <w:tc>
          <w:tcPr>
            <w:tcW w:w="5386" w:type="dxa"/>
            <w:vAlign w:val="center"/>
          </w:tcPr>
          <w:p>
            <w:pPr>
              <w:pStyle w:val="12"/>
            </w:pPr>
            <w:r>
              <w:t>劳务派遣人员满意情况</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3、保定市徐水区水毁道路修缮工程国债项目省级配套绩效目标表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13062524P00001710541F</w:t>
            </w:r>
          </w:p>
        </w:tc>
        <w:tc>
          <w:tcPr>
            <w:tcW w:w="2835" w:type="dxa"/>
            <w:vAlign w:val="center"/>
          </w:tcPr>
          <w:p>
            <w:pPr>
              <w:pStyle w:val="10"/>
            </w:pPr>
            <w:r>
              <w:t>项目名称</w:t>
            </w:r>
          </w:p>
        </w:tc>
        <w:tc>
          <w:tcPr>
            <w:tcW w:w="6095" w:type="dxa"/>
            <w:gridSpan w:val="3"/>
            <w:vAlign w:val="center"/>
          </w:tcPr>
          <w:p>
            <w:pPr>
              <w:pStyle w:val="12"/>
            </w:pPr>
            <w:r>
              <w:t>保定市徐水区水毁道路修缮工程国债项目省级配套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91.57</w:t>
            </w:r>
          </w:p>
        </w:tc>
        <w:tc>
          <w:tcPr>
            <w:tcW w:w="2835" w:type="dxa"/>
            <w:vAlign w:val="center"/>
          </w:tcPr>
          <w:p>
            <w:pPr>
              <w:pStyle w:val="10"/>
            </w:pPr>
            <w:r>
              <w:t>其中：财政    资金</w:t>
            </w:r>
          </w:p>
        </w:tc>
        <w:tc>
          <w:tcPr>
            <w:tcW w:w="2551" w:type="dxa"/>
            <w:vAlign w:val="center"/>
          </w:tcPr>
          <w:p>
            <w:pPr>
              <w:pStyle w:val="12"/>
            </w:pPr>
            <w:r>
              <w:t>91.57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保定市徐水区水毁道路修缮工程国债项目省级配套</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1.恢复重建公路里程12公里。</w:t>
            </w:r>
          </w:p>
          <w:p>
            <w:pPr>
              <w:pStyle w:val="12"/>
            </w:pPr>
            <w:r>
              <w:t>2.对路基工程、路面工程、防护工程、交叉工程、排水工程、交通安全工程等进行恢复重建，确保公路正常通行，保障人民群众出行和运输需要。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恢复重建公路里程</w:t>
            </w:r>
          </w:p>
        </w:tc>
        <w:tc>
          <w:tcPr>
            <w:tcW w:w="5386" w:type="dxa"/>
            <w:vAlign w:val="center"/>
          </w:tcPr>
          <w:p>
            <w:pPr>
              <w:pStyle w:val="12"/>
            </w:pPr>
            <w:r>
              <w:t>反映实际完成恢复重建的公路里程（不含桥梁隧道部分）</w:t>
            </w:r>
          </w:p>
        </w:tc>
        <w:tc>
          <w:tcPr>
            <w:tcW w:w="2268" w:type="dxa"/>
            <w:vAlign w:val="center"/>
          </w:tcPr>
          <w:p>
            <w:pPr>
              <w:pStyle w:val="12"/>
            </w:pPr>
            <w:r>
              <w:t>≥12公里</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恢复工程投资额完成率</w:t>
            </w:r>
          </w:p>
        </w:tc>
        <w:tc>
          <w:tcPr>
            <w:tcW w:w="5386" w:type="dxa"/>
            <w:vAlign w:val="center"/>
          </w:tcPr>
          <w:p>
            <w:pPr>
              <w:pStyle w:val="12"/>
            </w:pPr>
            <w:r>
              <w:t>反映以货币计量的恢复项目实际完成的投资额占计划投资的比率</w:t>
            </w:r>
          </w:p>
        </w:tc>
        <w:tc>
          <w:tcPr>
            <w:tcW w:w="2268" w:type="dxa"/>
            <w:vAlign w:val="center"/>
          </w:tcPr>
          <w:p>
            <w:pPr>
              <w:pStyle w:val="12"/>
            </w:pPr>
            <w:r>
              <w:t>≥90%</w:t>
            </w:r>
          </w:p>
        </w:tc>
        <w:tc>
          <w:tcPr>
            <w:tcW w:w="1276" w:type="dxa"/>
            <w:vAlign w:val="center"/>
          </w:tcPr>
          <w:p>
            <w:pPr>
              <w:pStyle w:val="12"/>
            </w:pPr>
            <w:r>
              <w:t>工程决算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反映项目设计变更金额占项目总投资的比率</w:t>
            </w:r>
          </w:p>
        </w:tc>
        <w:tc>
          <w:tcPr>
            <w:tcW w:w="2268" w:type="dxa"/>
            <w:vAlign w:val="center"/>
          </w:tcPr>
          <w:p>
            <w:pPr>
              <w:pStyle w:val="12"/>
            </w:pPr>
            <w:r>
              <w:t>≤5%</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工程按时开工率</w:t>
            </w:r>
          </w:p>
        </w:tc>
        <w:tc>
          <w:tcPr>
            <w:tcW w:w="5386" w:type="dxa"/>
            <w:vAlign w:val="center"/>
          </w:tcPr>
          <w:p>
            <w:pPr>
              <w:pStyle w:val="12"/>
            </w:pPr>
            <w:r>
              <w:t>反映项目按时开工个数占项目包中项目个数的比率；仅含一条段（或一座桥梁、一个涵洞）的项目包，本指标值为100%。</w:t>
            </w:r>
          </w:p>
        </w:tc>
        <w:tc>
          <w:tcPr>
            <w:tcW w:w="2268" w:type="dxa"/>
            <w:vAlign w:val="center"/>
          </w:tcPr>
          <w:p>
            <w:pPr>
              <w:pStyle w:val="12"/>
            </w:pPr>
            <w:r>
              <w:t>100%</w:t>
            </w:r>
          </w:p>
        </w:tc>
        <w:tc>
          <w:tcPr>
            <w:tcW w:w="1276" w:type="dxa"/>
            <w:vAlign w:val="center"/>
          </w:tcPr>
          <w:p>
            <w:pPr>
              <w:pStyle w:val="12"/>
            </w:pPr>
            <w:r>
              <w:t>开工证明资料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公路路线部分建设单公里成本（万元）</w:t>
            </w:r>
          </w:p>
        </w:tc>
        <w:tc>
          <w:tcPr>
            <w:tcW w:w="5386" w:type="dxa"/>
            <w:vAlign w:val="center"/>
          </w:tcPr>
          <w:p>
            <w:pPr>
              <w:pStyle w:val="12"/>
            </w:pPr>
            <w:r>
              <w:t>反映公路路线部分（不含桥梁隧道）建设的单公里成本</w:t>
            </w:r>
          </w:p>
        </w:tc>
        <w:tc>
          <w:tcPr>
            <w:tcW w:w="2268" w:type="dxa"/>
            <w:vAlign w:val="center"/>
          </w:tcPr>
          <w:p>
            <w:pPr>
              <w:pStyle w:val="12"/>
            </w:pPr>
            <w:r>
              <w:t>≤180万元</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恢复通行能力情况</w:t>
            </w:r>
          </w:p>
        </w:tc>
        <w:tc>
          <w:tcPr>
            <w:tcW w:w="5386" w:type="dxa"/>
            <w:vAlign w:val="center"/>
          </w:tcPr>
          <w:p>
            <w:pPr>
              <w:pStyle w:val="12"/>
            </w:pPr>
            <w:r>
              <w:t>反映恢复重建后该路段（或区域内的相关路段）通行状况</w:t>
            </w:r>
          </w:p>
        </w:tc>
        <w:tc>
          <w:tcPr>
            <w:tcW w:w="2268" w:type="dxa"/>
            <w:vAlign w:val="center"/>
          </w:tcPr>
          <w:p>
            <w:pPr>
              <w:pStyle w:val="12"/>
            </w:pPr>
            <w:r>
              <w:t>达到或超过受灾前的通行能力</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≥5年</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反映通过问卷调查受益群体满意情况</w:t>
            </w:r>
          </w:p>
        </w:tc>
        <w:tc>
          <w:tcPr>
            <w:tcW w:w="2268" w:type="dxa"/>
            <w:vAlign w:val="center"/>
          </w:tcPr>
          <w:p>
            <w:pPr>
              <w:pStyle w:val="12"/>
            </w:pPr>
            <w:r>
              <w:t>≥90%</w:t>
            </w:r>
          </w:p>
        </w:tc>
        <w:tc>
          <w:tcPr>
            <w:tcW w:w="1276" w:type="dxa"/>
            <w:vAlign w:val="center"/>
          </w:tcPr>
          <w:p>
            <w:pPr>
              <w:pStyle w:val="12"/>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4、保定市徐水区水毁道路修缮工程国债项目县级配套绩效目标表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13062524P000015111464</w:t>
            </w:r>
          </w:p>
        </w:tc>
        <w:tc>
          <w:tcPr>
            <w:tcW w:w="2835" w:type="dxa"/>
            <w:vAlign w:val="center"/>
          </w:tcPr>
          <w:p>
            <w:pPr>
              <w:pStyle w:val="10"/>
            </w:pPr>
            <w:r>
              <w:t>项目名称</w:t>
            </w:r>
          </w:p>
        </w:tc>
        <w:tc>
          <w:tcPr>
            <w:tcW w:w="6095" w:type="dxa"/>
            <w:gridSpan w:val="3"/>
            <w:vAlign w:val="center"/>
          </w:tcPr>
          <w:p>
            <w:pPr>
              <w:pStyle w:val="12"/>
            </w:pPr>
            <w:r>
              <w:t>保定市徐水区水毁道路修缮工程国债项目县级配套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216.50</w:t>
            </w:r>
          </w:p>
        </w:tc>
        <w:tc>
          <w:tcPr>
            <w:tcW w:w="2835" w:type="dxa"/>
            <w:vAlign w:val="center"/>
          </w:tcPr>
          <w:p>
            <w:pPr>
              <w:pStyle w:val="10"/>
            </w:pPr>
            <w:r>
              <w:t>其中：财政    资金</w:t>
            </w:r>
          </w:p>
        </w:tc>
        <w:tc>
          <w:tcPr>
            <w:tcW w:w="2551" w:type="dxa"/>
            <w:vAlign w:val="center"/>
          </w:tcPr>
          <w:p>
            <w:pPr>
              <w:pStyle w:val="12"/>
            </w:pPr>
            <w:r>
              <w:t>216.50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保定市徐水区水毁道路修缮工程（国债）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1.通过实施公路水毁恢复重建工程，尽快恢复公路通行能力，全面提升我省公路防灾抗洪能力，进一步完善公路通行环境和安全水平。</w:t>
            </w:r>
          </w:p>
          <w:p>
            <w:pPr>
              <w:pStyle w:val="12"/>
            </w:pPr>
            <w:r>
              <w:t>2.水毁道路修缮12公里，工程质量验收合格。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水毁道路修缮长度</w:t>
            </w:r>
          </w:p>
        </w:tc>
        <w:tc>
          <w:tcPr>
            <w:tcW w:w="5386" w:type="dxa"/>
            <w:vAlign w:val="center"/>
          </w:tcPr>
          <w:p>
            <w:pPr>
              <w:pStyle w:val="12"/>
            </w:pPr>
            <w:r>
              <w:t>水毁道路修缮公里数</w:t>
            </w:r>
          </w:p>
        </w:tc>
        <w:tc>
          <w:tcPr>
            <w:tcW w:w="2268" w:type="dxa"/>
            <w:vAlign w:val="center"/>
          </w:tcPr>
          <w:p>
            <w:pPr>
              <w:pStyle w:val="12"/>
            </w:pPr>
            <w:r>
              <w:t>≥12公里</w:t>
            </w:r>
          </w:p>
        </w:tc>
        <w:tc>
          <w:tcPr>
            <w:tcW w:w="1276" w:type="dxa"/>
            <w:vAlign w:val="center"/>
          </w:tcPr>
          <w:p>
            <w:pPr>
              <w:pStyle w:val="12"/>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水毁道路修缮工程质量合格率</w:t>
            </w:r>
          </w:p>
        </w:tc>
        <w:tc>
          <w:tcPr>
            <w:tcW w:w="5386" w:type="dxa"/>
            <w:vAlign w:val="center"/>
          </w:tcPr>
          <w:p>
            <w:pPr>
              <w:pStyle w:val="12"/>
            </w:pPr>
            <w:r>
              <w:t>水毁道路修缮工程质量合格情况</w:t>
            </w:r>
          </w:p>
        </w:tc>
        <w:tc>
          <w:tcPr>
            <w:tcW w:w="2268" w:type="dxa"/>
            <w:vAlign w:val="center"/>
          </w:tcPr>
          <w:p>
            <w:pPr>
              <w:pStyle w:val="12"/>
            </w:pPr>
            <w:r>
              <w:t>100%</w:t>
            </w:r>
          </w:p>
        </w:tc>
        <w:tc>
          <w:tcPr>
            <w:tcW w:w="1276" w:type="dxa"/>
            <w:vAlign w:val="center"/>
          </w:tcPr>
          <w:p>
            <w:pPr>
              <w:pStyle w:val="12"/>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专项资金拨付及时情况</w:t>
            </w:r>
          </w:p>
        </w:tc>
        <w:tc>
          <w:tcPr>
            <w:tcW w:w="2268" w:type="dxa"/>
            <w:vAlign w:val="center"/>
          </w:tcPr>
          <w:p>
            <w:pPr>
              <w:pStyle w:val="12"/>
            </w:pPr>
            <w:r>
              <w:t>100%</w:t>
            </w:r>
          </w:p>
        </w:tc>
        <w:tc>
          <w:tcPr>
            <w:tcW w:w="1276" w:type="dxa"/>
            <w:vAlign w:val="center"/>
          </w:tcPr>
          <w:p>
            <w:pPr>
              <w:pStyle w:val="12"/>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5386" w:type="dxa"/>
            <w:vAlign w:val="center"/>
          </w:tcPr>
          <w:p>
            <w:pPr>
              <w:pStyle w:val="12"/>
            </w:pPr>
            <w:r>
              <w:t>实际支出在预算资金控制范围内</w:t>
            </w:r>
          </w:p>
        </w:tc>
        <w:tc>
          <w:tcPr>
            <w:tcW w:w="2268" w:type="dxa"/>
            <w:vAlign w:val="center"/>
          </w:tcPr>
          <w:p>
            <w:pPr>
              <w:pStyle w:val="12"/>
            </w:pPr>
            <w:r>
              <w:t>≤216.5万元</w:t>
            </w:r>
          </w:p>
        </w:tc>
        <w:tc>
          <w:tcPr>
            <w:tcW w:w="1276" w:type="dxa"/>
            <w:vAlign w:val="center"/>
          </w:tcPr>
          <w:p>
            <w:pPr>
              <w:pStyle w:val="12"/>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应急救援任务有效完成率</w:t>
            </w:r>
          </w:p>
        </w:tc>
        <w:tc>
          <w:tcPr>
            <w:tcW w:w="5386" w:type="dxa"/>
            <w:vAlign w:val="center"/>
          </w:tcPr>
          <w:p>
            <w:pPr>
              <w:pStyle w:val="12"/>
            </w:pPr>
            <w:r>
              <w:t>应急救援任务有效完成情况</w:t>
            </w:r>
          </w:p>
        </w:tc>
        <w:tc>
          <w:tcPr>
            <w:tcW w:w="2268" w:type="dxa"/>
            <w:vAlign w:val="center"/>
          </w:tcPr>
          <w:p>
            <w:pPr>
              <w:pStyle w:val="12"/>
            </w:pPr>
            <w:r>
              <w:t>≥90%</w:t>
            </w:r>
          </w:p>
        </w:tc>
        <w:tc>
          <w:tcPr>
            <w:tcW w:w="1276" w:type="dxa"/>
            <w:vAlign w:val="center"/>
          </w:tcPr>
          <w:p>
            <w:pPr>
              <w:pStyle w:val="12"/>
            </w:pPr>
            <w:r>
              <w:t>保定市徐水区发展和改革局关于保定市徐水区水毁道路修缮工程可行性研究报告（代初步设计）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接受救援对象满意度</w:t>
            </w:r>
          </w:p>
        </w:tc>
        <w:tc>
          <w:tcPr>
            <w:tcW w:w="5386" w:type="dxa"/>
            <w:vAlign w:val="center"/>
          </w:tcPr>
          <w:p>
            <w:pPr>
              <w:pStyle w:val="12"/>
            </w:pPr>
            <w:r>
              <w:t>接受救援群众满意情况</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5、保定市徐水区水毁公路重建工程国债项目省级配套绩效目标表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13062524P000017105423</w:t>
            </w:r>
          </w:p>
        </w:tc>
        <w:tc>
          <w:tcPr>
            <w:tcW w:w="2835" w:type="dxa"/>
            <w:vAlign w:val="center"/>
          </w:tcPr>
          <w:p>
            <w:pPr>
              <w:pStyle w:val="10"/>
            </w:pPr>
            <w:r>
              <w:t>项目名称</w:t>
            </w:r>
          </w:p>
        </w:tc>
        <w:tc>
          <w:tcPr>
            <w:tcW w:w="6095" w:type="dxa"/>
            <w:gridSpan w:val="3"/>
            <w:vAlign w:val="center"/>
          </w:tcPr>
          <w:p>
            <w:pPr>
              <w:pStyle w:val="12"/>
            </w:pPr>
            <w:r>
              <w:t>保定市徐水区水毁公路重建工程国债项目省级配套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71.59</w:t>
            </w:r>
          </w:p>
        </w:tc>
        <w:tc>
          <w:tcPr>
            <w:tcW w:w="2835" w:type="dxa"/>
            <w:vAlign w:val="center"/>
          </w:tcPr>
          <w:p>
            <w:pPr>
              <w:pStyle w:val="10"/>
            </w:pPr>
            <w:r>
              <w:t>其中：财政    资金</w:t>
            </w:r>
          </w:p>
        </w:tc>
        <w:tc>
          <w:tcPr>
            <w:tcW w:w="2551" w:type="dxa"/>
            <w:vAlign w:val="center"/>
          </w:tcPr>
          <w:p>
            <w:pPr>
              <w:pStyle w:val="12"/>
            </w:pPr>
            <w:r>
              <w:t>71.59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保定市徐水区水毁公路重建工程国债项目省级配套</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1.恢复重建公路里程13.59公里。</w:t>
            </w:r>
          </w:p>
          <w:p>
            <w:pPr>
              <w:pStyle w:val="12"/>
            </w:pPr>
            <w:r>
              <w:t>2.对水毁灾后受损的路基、路面、防护、排水及交通安全设施等进行恢复重建，确保公路正常通行，保障人民群众出行和运输需要。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恢复重建公路里程</w:t>
            </w:r>
          </w:p>
        </w:tc>
        <w:tc>
          <w:tcPr>
            <w:tcW w:w="5386" w:type="dxa"/>
            <w:vAlign w:val="center"/>
          </w:tcPr>
          <w:p>
            <w:pPr>
              <w:pStyle w:val="12"/>
            </w:pPr>
            <w:r>
              <w:t>反映实际完成恢复重建的公路里程（不含桥梁隧道部分）</w:t>
            </w:r>
          </w:p>
        </w:tc>
        <w:tc>
          <w:tcPr>
            <w:tcW w:w="2268" w:type="dxa"/>
            <w:vAlign w:val="center"/>
          </w:tcPr>
          <w:p>
            <w:pPr>
              <w:pStyle w:val="12"/>
            </w:pPr>
            <w:r>
              <w:t>≥13.9公里</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重建工程投资额完成率</w:t>
            </w:r>
          </w:p>
        </w:tc>
        <w:tc>
          <w:tcPr>
            <w:tcW w:w="5386" w:type="dxa"/>
            <w:vAlign w:val="center"/>
          </w:tcPr>
          <w:p>
            <w:pPr>
              <w:pStyle w:val="12"/>
            </w:pPr>
            <w:r>
              <w:t>反映以货币计量的重建项目实际完成的投资额占计划投资的比率</w:t>
            </w:r>
          </w:p>
        </w:tc>
        <w:tc>
          <w:tcPr>
            <w:tcW w:w="2268" w:type="dxa"/>
            <w:vAlign w:val="center"/>
          </w:tcPr>
          <w:p>
            <w:pPr>
              <w:pStyle w:val="12"/>
            </w:pPr>
            <w:r>
              <w:t>≥90%</w:t>
            </w:r>
          </w:p>
        </w:tc>
        <w:tc>
          <w:tcPr>
            <w:tcW w:w="1276" w:type="dxa"/>
            <w:vAlign w:val="center"/>
          </w:tcPr>
          <w:p>
            <w:pPr>
              <w:pStyle w:val="12"/>
            </w:pPr>
            <w:r>
              <w:t>工程决算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反映项目设计变更金额占项目总投资的比率</w:t>
            </w:r>
          </w:p>
        </w:tc>
        <w:tc>
          <w:tcPr>
            <w:tcW w:w="2268" w:type="dxa"/>
            <w:vAlign w:val="center"/>
          </w:tcPr>
          <w:p>
            <w:pPr>
              <w:pStyle w:val="12"/>
            </w:pPr>
            <w:r>
              <w:t>≤5%</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工程完工时间</w:t>
            </w:r>
          </w:p>
        </w:tc>
        <w:tc>
          <w:tcPr>
            <w:tcW w:w="5386" w:type="dxa"/>
            <w:vAlign w:val="center"/>
          </w:tcPr>
          <w:p>
            <w:pPr>
              <w:pStyle w:val="12"/>
            </w:pPr>
            <w:r>
              <w:t>反映工程完工的具体时间</w:t>
            </w:r>
          </w:p>
        </w:tc>
        <w:tc>
          <w:tcPr>
            <w:tcW w:w="2268" w:type="dxa"/>
            <w:vAlign w:val="center"/>
          </w:tcPr>
          <w:p>
            <w:pPr>
              <w:pStyle w:val="12"/>
            </w:pPr>
            <w:r>
              <w:t>2024年12月底</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反映项目按时完工个数占项目包中项目个数的比率；仅含一条段（或一座桥梁、一个涵洞）的项目包，本指标值为100%。</w:t>
            </w:r>
          </w:p>
        </w:tc>
        <w:tc>
          <w:tcPr>
            <w:tcW w:w="2268" w:type="dxa"/>
            <w:vAlign w:val="center"/>
          </w:tcPr>
          <w:p>
            <w:pPr>
              <w:pStyle w:val="12"/>
            </w:pPr>
            <w:r>
              <w:t>100%</w:t>
            </w:r>
          </w:p>
        </w:tc>
        <w:tc>
          <w:tcPr>
            <w:tcW w:w="1276" w:type="dxa"/>
            <w:vAlign w:val="center"/>
          </w:tcPr>
          <w:p>
            <w:pPr>
              <w:pStyle w:val="12"/>
            </w:pPr>
            <w:r>
              <w:t>完工证明资料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恢复通行能力情况</w:t>
            </w:r>
          </w:p>
        </w:tc>
        <w:tc>
          <w:tcPr>
            <w:tcW w:w="5386" w:type="dxa"/>
            <w:vAlign w:val="center"/>
          </w:tcPr>
          <w:p>
            <w:pPr>
              <w:pStyle w:val="12"/>
            </w:pPr>
            <w:r>
              <w:t>反映恢复重建后该路段（或区域内的相关路段）通行状况</w:t>
            </w:r>
          </w:p>
        </w:tc>
        <w:tc>
          <w:tcPr>
            <w:tcW w:w="2268" w:type="dxa"/>
            <w:vAlign w:val="center"/>
          </w:tcPr>
          <w:p>
            <w:pPr>
              <w:pStyle w:val="12"/>
            </w:pPr>
            <w:r>
              <w:t>达到或超过受灾前的通行能力</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≥5年</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反映通过问卷调查受益群体满意情况</w:t>
            </w:r>
          </w:p>
        </w:tc>
        <w:tc>
          <w:tcPr>
            <w:tcW w:w="2268" w:type="dxa"/>
            <w:vAlign w:val="center"/>
          </w:tcPr>
          <w:p>
            <w:pPr>
              <w:pStyle w:val="12"/>
            </w:pPr>
            <w:r>
              <w:t>≥90%</w:t>
            </w:r>
          </w:p>
        </w:tc>
        <w:tc>
          <w:tcPr>
            <w:tcW w:w="1276" w:type="dxa"/>
            <w:vAlign w:val="center"/>
          </w:tcPr>
          <w:p>
            <w:pPr>
              <w:pStyle w:val="12"/>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6、保定市徐水区水毁公路重建工程国债项目县级配套绩效目标表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13062524P00001511148B</w:t>
            </w:r>
          </w:p>
        </w:tc>
        <w:tc>
          <w:tcPr>
            <w:tcW w:w="2835" w:type="dxa"/>
            <w:vAlign w:val="center"/>
          </w:tcPr>
          <w:p>
            <w:pPr>
              <w:pStyle w:val="10"/>
            </w:pPr>
            <w:r>
              <w:t>项目名称</w:t>
            </w:r>
          </w:p>
        </w:tc>
        <w:tc>
          <w:tcPr>
            <w:tcW w:w="6095" w:type="dxa"/>
            <w:gridSpan w:val="3"/>
            <w:vAlign w:val="center"/>
          </w:tcPr>
          <w:p>
            <w:pPr>
              <w:pStyle w:val="12"/>
            </w:pPr>
            <w:r>
              <w:t>保定市徐水区水毁公路重建工程国债项目县级配套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保定市徐水区水毁公路重建工程（国债）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1.通过实施公路水毁恢复重建工程，尽快恢复公路通行能力，全面提升我省公路防灾抗洪能力，进一步完善公路通行环境和安全水平。</w:t>
            </w:r>
          </w:p>
          <w:p>
            <w:pPr>
              <w:pStyle w:val="12"/>
            </w:pPr>
            <w:r>
              <w:t>2.水毁公里重建13.59公里，工程质量验收合格。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水毁公路重建长度</w:t>
            </w:r>
          </w:p>
        </w:tc>
        <w:tc>
          <w:tcPr>
            <w:tcW w:w="5386" w:type="dxa"/>
            <w:vAlign w:val="center"/>
          </w:tcPr>
          <w:p>
            <w:pPr>
              <w:pStyle w:val="12"/>
            </w:pPr>
            <w:r>
              <w:t>水毁公路重建公里数</w:t>
            </w:r>
          </w:p>
        </w:tc>
        <w:tc>
          <w:tcPr>
            <w:tcW w:w="2268" w:type="dxa"/>
            <w:vAlign w:val="center"/>
          </w:tcPr>
          <w:p>
            <w:pPr>
              <w:pStyle w:val="12"/>
            </w:pPr>
            <w:r>
              <w:t>≥13.59公里</w:t>
            </w:r>
          </w:p>
        </w:tc>
        <w:tc>
          <w:tcPr>
            <w:tcW w:w="1276" w:type="dxa"/>
            <w:vAlign w:val="center"/>
          </w:tcPr>
          <w:p>
            <w:pPr>
              <w:pStyle w:val="12"/>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水毁公路重建工程质量合格率</w:t>
            </w:r>
          </w:p>
        </w:tc>
        <w:tc>
          <w:tcPr>
            <w:tcW w:w="5386" w:type="dxa"/>
            <w:vAlign w:val="center"/>
          </w:tcPr>
          <w:p>
            <w:pPr>
              <w:pStyle w:val="12"/>
            </w:pPr>
            <w:r>
              <w:t>水毁公路重建工程质量合格情况</w:t>
            </w:r>
          </w:p>
        </w:tc>
        <w:tc>
          <w:tcPr>
            <w:tcW w:w="2268" w:type="dxa"/>
            <w:vAlign w:val="center"/>
          </w:tcPr>
          <w:p>
            <w:pPr>
              <w:pStyle w:val="12"/>
            </w:pPr>
            <w:r>
              <w:t>100%</w:t>
            </w:r>
          </w:p>
        </w:tc>
        <w:tc>
          <w:tcPr>
            <w:tcW w:w="1276" w:type="dxa"/>
            <w:vAlign w:val="center"/>
          </w:tcPr>
          <w:p>
            <w:pPr>
              <w:pStyle w:val="12"/>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专项资金拨付及时情况</w:t>
            </w:r>
          </w:p>
        </w:tc>
        <w:tc>
          <w:tcPr>
            <w:tcW w:w="2268" w:type="dxa"/>
            <w:vAlign w:val="center"/>
          </w:tcPr>
          <w:p>
            <w:pPr>
              <w:pStyle w:val="12"/>
            </w:pPr>
            <w:r>
              <w:t>100%</w:t>
            </w:r>
          </w:p>
        </w:tc>
        <w:tc>
          <w:tcPr>
            <w:tcW w:w="1276" w:type="dxa"/>
            <w:vAlign w:val="center"/>
          </w:tcPr>
          <w:p>
            <w:pPr>
              <w:pStyle w:val="12"/>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5386" w:type="dxa"/>
            <w:vAlign w:val="center"/>
          </w:tcPr>
          <w:p>
            <w:pPr>
              <w:pStyle w:val="12"/>
            </w:pPr>
            <w:r>
              <w:t>实际支出在预算资金控制范围内</w:t>
            </w:r>
          </w:p>
        </w:tc>
        <w:tc>
          <w:tcPr>
            <w:tcW w:w="2268" w:type="dxa"/>
            <w:vAlign w:val="center"/>
          </w:tcPr>
          <w:p>
            <w:pPr>
              <w:pStyle w:val="12"/>
            </w:pPr>
            <w:r>
              <w:t>≤4万元</w:t>
            </w:r>
          </w:p>
        </w:tc>
        <w:tc>
          <w:tcPr>
            <w:tcW w:w="1276" w:type="dxa"/>
            <w:vAlign w:val="center"/>
          </w:tcPr>
          <w:p>
            <w:pPr>
              <w:pStyle w:val="12"/>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应急救援任务有效完成率</w:t>
            </w:r>
          </w:p>
        </w:tc>
        <w:tc>
          <w:tcPr>
            <w:tcW w:w="5386" w:type="dxa"/>
            <w:vAlign w:val="center"/>
          </w:tcPr>
          <w:p>
            <w:pPr>
              <w:pStyle w:val="12"/>
            </w:pPr>
            <w:r>
              <w:t>应急救援任务有效完成情况</w:t>
            </w:r>
          </w:p>
        </w:tc>
        <w:tc>
          <w:tcPr>
            <w:tcW w:w="2268" w:type="dxa"/>
            <w:vAlign w:val="center"/>
          </w:tcPr>
          <w:p>
            <w:pPr>
              <w:pStyle w:val="12"/>
            </w:pPr>
            <w:r>
              <w:t>≥90%</w:t>
            </w:r>
          </w:p>
        </w:tc>
        <w:tc>
          <w:tcPr>
            <w:tcW w:w="1276" w:type="dxa"/>
            <w:vAlign w:val="center"/>
          </w:tcPr>
          <w:p>
            <w:pPr>
              <w:pStyle w:val="12"/>
            </w:pPr>
            <w:r>
              <w:t>保定市徐水区发展和改革局关于保定市徐水区水毁道路修缮工程可行性研究报告（代初步设计）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接受救援对象满意度</w:t>
            </w:r>
          </w:p>
        </w:tc>
        <w:tc>
          <w:tcPr>
            <w:tcW w:w="5386" w:type="dxa"/>
            <w:vAlign w:val="center"/>
          </w:tcPr>
          <w:p>
            <w:pPr>
              <w:pStyle w:val="12"/>
            </w:pPr>
            <w:r>
              <w:t>接受救援群众满意情况</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7、提前下达2025年交通运输领域专项资金（第一批）绩效目标表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13062525P00018610001L</w:t>
            </w:r>
          </w:p>
        </w:tc>
        <w:tc>
          <w:tcPr>
            <w:tcW w:w="2835" w:type="dxa"/>
            <w:vAlign w:val="center"/>
          </w:tcPr>
          <w:p>
            <w:pPr>
              <w:pStyle w:val="10"/>
            </w:pPr>
            <w:r>
              <w:t>项目名称</w:t>
            </w:r>
          </w:p>
        </w:tc>
        <w:tc>
          <w:tcPr>
            <w:tcW w:w="6095" w:type="dxa"/>
            <w:gridSpan w:val="3"/>
            <w:vAlign w:val="center"/>
          </w:tcPr>
          <w:p>
            <w:pPr>
              <w:pStyle w:val="12"/>
            </w:pPr>
            <w:r>
              <w:t>提前下达2025年交通运输领域专项资金（第一批）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705.00</w:t>
            </w:r>
          </w:p>
        </w:tc>
        <w:tc>
          <w:tcPr>
            <w:tcW w:w="2835" w:type="dxa"/>
            <w:vAlign w:val="center"/>
          </w:tcPr>
          <w:p>
            <w:pPr>
              <w:pStyle w:val="10"/>
            </w:pPr>
            <w:r>
              <w:t>其中：财政    资金</w:t>
            </w:r>
          </w:p>
        </w:tc>
        <w:tc>
          <w:tcPr>
            <w:tcW w:w="2551" w:type="dxa"/>
            <w:vAlign w:val="center"/>
          </w:tcPr>
          <w:p>
            <w:pPr>
              <w:pStyle w:val="12"/>
            </w:pPr>
            <w:r>
              <w:t>705.00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提前下达2025年交通运输领域专项资金（第一批）</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1.完成“十四五”现代综合交通运输体系发展规划范围内的综合交通、公路、水运等年度建设任务。</w:t>
            </w:r>
            <w:r>
              <w:tab/>
            </w:r>
            <w:r>
              <w:tab/>
            </w:r>
            <w:r>
              <w:tab/>
            </w:r>
            <w:r>
              <w:tab/>
            </w:r>
            <w:r>
              <w:tab/>
            </w:r>
            <w:r>
              <w:tab/>
            </w:r>
          </w:p>
          <w:p>
            <w:pPr>
              <w:pStyle w:val="12"/>
            </w:pPr>
          </w:p>
          <w:p>
            <w:pPr>
              <w:pStyle w:val="12"/>
            </w:pPr>
            <w:r>
              <w:t>2.建设改造农村公路13公里。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年度建设改造农村公路里程</w:t>
            </w:r>
          </w:p>
        </w:tc>
        <w:tc>
          <w:tcPr>
            <w:tcW w:w="5386" w:type="dxa"/>
            <w:vAlign w:val="center"/>
          </w:tcPr>
          <w:p>
            <w:pPr>
              <w:pStyle w:val="12"/>
            </w:pPr>
            <w:r>
              <w:t>年度建设改造农村公路里程情况</w:t>
            </w:r>
          </w:p>
        </w:tc>
        <w:tc>
          <w:tcPr>
            <w:tcW w:w="2268" w:type="dxa"/>
            <w:vAlign w:val="center"/>
          </w:tcPr>
          <w:p>
            <w:pPr>
              <w:pStyle w:val="12"/>
            </w:pPr>
            <w:r>
              <w:t>≤13公里</w:t>
            </w:r>
          </w:p>
        </w:tc>
        <w:tc>
          <w:tcPr>
            <w:tcW w:w="1276" w:type="dxa"/>
            <w:vAlign w:val="center"/>
          </w:tcPr>
          <w:p>
            <w:pPr>
              <w:pStyle w:val="12"/>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完工项目验收合格情况</w:t>
            </w:r>
          </w:p>
        </w:tc>
        <w:tc>
          <w:tcPr>
            <w:tcW w:w="2268" w:type="dxa"/>
            <w:vAlign w:val="center"/>
          </w:tcPr>
          <w:p>
            <w:pPr>
              <w:pStyle w:val="12"/>
            </w:pPr>
            <w:r>
              <w:t>100%</w:t>
            </w:r>
          </w:p>
        </w:tc>
        <w:tc>
          <w:tcPr>
            <w:tcW w:w="1276" w:type="dxa"/>
            <w:vAlign w:val="center"/>
          </w:tcPr>
          <w:p>
            <w:pPr>
              <w:pStyle w:val="12"/>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按期完成投资率</w:t>
            </w:r>
          </w:p>
        </w:tc>
        <w:tc>
          <w:tcPr>
            <w:tcW w:w="5386" w:type="dxa"/>
            <w:vAlign w:val="center"/>
          </w:tcPr>
          <w:p>
            <w:pPr>
              <w:pStyle w:val="12"/>
            </w:pPr>
            <w:r>
              <w:t>按期完成投资情况</w:t>
            </w:r>
          </w:p>
        </w:tc>
        <w:tc>
          <w:tcPr>
            <w:tcW w:w="2268" w:type="dxa"/>
            <w:vAlign w:val="center"/>
          </w:tcPr>
          <w:p>
            <w:pPr>
              <w:pStyle w:val="12"/>
            </w:pPr>
            <w:r>
              <w:t>100%</w:t>
            </w:r>
          </w:p>
        </w:tc>
        <w:tc>
          <w:tcPr>
            <w:tcW w:w="1276" w:type="dxa"/>
            <w:vAlign w:val="center"/>
          </w:tcPr>
          <w:p>
            <w:pPr>
              <w:pStyle w:val="12"/>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项目支出符合概算批复的标准</w:t>
            </w:r>
          </w:p>
        </w:tc>
        <w:tc>
          <w:tcPr>
            <w:tcW w:w="5386" w:type="dxa"/>
            <w:vAlign w:val="center"/>
          </w:tcPr>
          <w:p>
            <w:pPr>
              <w:pStyle w:val="12"/>
            </w:pPr>
            <w:r>
              <w:t>项目支出符合概算批复的标准情况</w:t>
            </w:r>
          </w:p>
        </w:tc>
        <w:tc>
          <w:tcPr>
            <w:tcW w:w="2268" w:type="dxa"/>
            <w:vAlign w:val="center"/>
          </w:tcPr>
          <w:p>
            <w:pPr>
              <w:pStyle w:val="12"/>
            </w:pPr>
            <w:r>
              <w:t>705万元</w:t>
            </w:r>
          </w:p>
        </w:tc>
        <w:tc>
          <w:tcPr>
            <w:tcW w:w="1276" w:type="dxa"/>
            <w:vAlign w:val="center"/>
          </w:tcPr>
          <w:p>
            <w:pPr>
              <w:pStyle w:val="12"/>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对项目周边区域经济发展的促进提高率</w:t>
            </w:r>
          </w:p>
        </w:tc>
        <w:tc>
          <w:tcPr>
            <w:tcW w:w="5386" w:type="dxa"/>
            <w:vAlign w:val="center"/>
          </w:tcPr>
          <w:p>
            <w:pPr>
              <w:pStyle w:val="12"/>
            </w:pPr>
            <w:r>
              <w:t>对项目周边区域经济发展的促进提高情况</w:t>
            </w:r>
          </w:p>
        </w:tc>
        <w:tc>
          <w:tcPr>
            <w:tcW w:w="2268" w:type="dxa"/>
            <w:vAlign w:val="center"/>
          </w:tcPr>
          <w:p>
            <w:pPr>
              <w:pStyle w:val="12"/>
            </w:pPr>
            <w:r>
              <w:t>≥1.8%</w:t>
            </w:r>
          </w:p>
        </w:tc>
        <w:tc>
          <w:tcPr>
            <w:tcW w:w="1276" w:type="dxa"/>
            <w:vAlign w:val="center"/>
          </w:tcPr>
          <w:p>
            <w:pPr>
              <w:pStyle w:val="12"/>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公路安全水平提升率</w:t>
            </w:r>
          </w:p>
        </w:tc>
        <w:tc>
          <w:tcPr>
            <w:tcW w:w="5386" w:type="dxa"/>
            <w:vAlign w:val="center"/>
          </w:tcPr>
          <w:p>
            <w:pPr>
              <w:pStyle w:val="12"/>
            </w:pPr>
            <w:r>
              <w:t>公路安全水平提升情况</w:t>
            </w:r>
          </w:p>
        </w:tc>
        <w:tc>
          <w:tcPr>
            <w:tcW w:w="2268" w:type="dxa"/>
            <w:vAlign w:val="center"/>
          </w:tcPr>
          <w:p>
            <w:pPr>
              <w:pStyle w:val="12"/>
            </w:pPr>
            <w:r>
              <w:t>≥30%</w:t>
            </w:r>
          </w:p>
        </w:tc>
        <w:tc>
          <w:tcPr>
            <w:tcW w:w="1276" w:type="dxa"/>
            <w:vAlign w:val="center"/>
          </w:tcPr>
          <w:p>
            <w:pPr>
              <w:pStyle w:val="12"/>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改善通行服务水平群众满意度</w:t>
            </w:r>
          </w:p>
        </w:tc>
        <w:tc>
          <w:tcPr>
            <w:tcW w:w="5386" w:type="dxa"/>
            <w:vAlign w:val="center"/>
          </w:tcPr>
          <w:p>
            <w:pPr>
              <w:pStyle w:val="12"/>
            </w:pPr>
            <w:r>
              <w:t>改善通行服务水平群众满意度情况</w:t>
            </w:r>
          </w:p>
        </w:tc>
        <w:tc>
          <w:tcPr>
            <w:tcW w:w="2268" w:type="dxa"/>
            <w:vAlign w:val="center"/>
          </w:tcPr>
          <w:p>
            <w:pPr>
              <w:pStyle w:val="12"/>
            </w:pPr>
            <w:r>
              <w:t>≥80%</w:t>
            </w:r>
          </w:p>
        </w:tc>
        <w:tc>
          <w:tcPr>
            <w:tcW w:w="1276" w:type="dxa"/>
            <w:vAlign w:val="center"/>
          </w:tcPr>
          <w:p>
            <w:pPr>
              <w:pStyle w:val="12"/>
            </w:pPr>
            <w:r>
              <w:t>社会调查问卷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8、提前下达2025年农村公路建设养护发展专项资金(建设改造）绩效目标表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13062525P00018610003U</w:t>
            </w:r>
          </w:p>
        </w:tc>
        <w:tc>
          <w:tcPr>
            <w:tcW w:w="2835" w:type="dxa"/>
            <w:vAlign w:val="center"/>
          </w:tcPr>
          <w:p>
            <w:pPr>
              <w:pStyle w:val="10"/>
            </w:pPr>
            <w:r>
              <w:t>项目名称</w:t>
            </w:r>
          </w:p>
        </w:tc>
        <w:tc>
          <w:tcPr>
            <w:tcW w:w="6095" w:type="dxa"/>
            <w:gridSpan w:val="3"/>
            <w:vAlign w:val="center"/>
          </w:tcPr>
          <w:p>
            <w:pPr>
              <w:pStyle w:val="12"/>
            </w:pPr>
            <w:r>
              <w:t>提前下达2025年农村公路建设养护发展专项资金(建设改造）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提前下达2025年农村公路建设养护发展专项资金(建设改造）</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1.完成农村公路建设改造任务，推动四好农村路高质量发展，完成水毁农村公路恢复重建，农村公路路网结构和公路路况进一步优化和改善，公路通行能力进一步提升。</w:t>
            </w:r>
          </w:p>
          <w:p>
            <w:pPr>
              <w:pStyle w:val="12"/>
            </w:pPr>
            <w:r>
              <w:t>2."支持农村公路建设改造0.7公里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支持农村公路建设改造里程</w:t>
            </w:r>
          </w:p>
        </w:tc>
        <w:tc>
          <w:tcPr>
            <w:tcW w:w="5386" w:type="dxa"/>
            <w:vAlign w:val="center"/>
          </w:tcPr>
          <w:p>
            <w:pPr>
              <w:pStyle w:val="12"/>
            </w:pPr>
            <w:r>
              <w:t>支持农村公路建设改造里程情况</w:t>
            </w:r>
          </w:p>
        </w:tc>
        <w:tc>
          <w:tcPr>
            <w:tcW w:w="2268" w:type="dxa"/>
            <w:vAlign w:val="center"/>
          </w:tcPr>
          <w:p>
            <w:pPr>
              <w:pStyle w:val="12"/>
            </w:pPr>
            <w:r>
              <w:t>≤0.7公里</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工程质量合格情况</w:t>
            </w:r>
          </w:p>
        </w:tc>
        <w:tc>
          <w:tcPr>
            <w:tcW w:w="2268" w:type="dxa"/>
            <w:vAlign w:val="center"/>
          </w:tcPr>
          <w:p>
            <w:pPr>
              <w:pStyle w:val="12"/>
            </w:pPr>
            <w:r>
              <w:t>100%</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完成项目时间情况</w:t>
            </w:r>
          </w:p>
        </w:tc>
        <w:tc>
          <w:tcPr>
            <w:tcW w:w="2268" w:type="dxa"/>
            <w:vAlign w:val="center"/>
          </w:tcPr>
          <w:p>
            <w:pPr>
              <w:pStyle w:val="12"/>
            </w:pPr>
            <w:r>
              <w:t>≤12月</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工程项目造价情况</w:t>
            </w:r>
          </w:p>
        </w:tc>
        <w:tc>
          <w:tcPr>
            <w:tcW w:w="2268" w:type="dxa"/>
            <w:vAlign w:val="center"/>
          </w:tcPr>
          <w:p>
            <w:pPr>
              <w:pStyle w:val="12"/>
            </w:pPr>
            <w:r>
              <w:t>7万元</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对项目周边区域经济发展的促进提高率</w:t>
            </w:r>
          </w:p>
        </w:tc>
        <w:tc>
          <w:tcPr>
            <w:tcW w:w="5386" w:type="dxa"/>
            <w:vAlign w:val="center"/>
          </w:tcPr>
          <w:p>
            <w:pPr>
              <w:pStyle w:val="12"/>
            </w:pPr>
            <w:r>
              <w:t>对项目周边区域经济发展的促进提高情况</w:t>
            </w:r>
          </w:p>
        </w:tc>
        <w:tc>
          <w:tcPr>
            <w:tcW w:w="2268" w:type="dxa"/>
            <w:vAlign w:val="center"/>
          </w:tcPr>
          <w:p>
            <w:pPr>
              <w:pStyle w:val="12"/>
            </w:pPr>
            <w:r>
              <w:t>≥1.8%</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公路安全水平提升率</w:t>
            </w:r>
          </w:p>
        </w:tc>
        <w:tc>
          <w:tcPr>
            <w:tcW w:w="5386" w:type="dxa"/>
            <w:vAlign w:val="center"/>
          </w:tcPr>
          <w:p>
            <w:pPr>
              <w:pStyle w:val="12"/>
            </w:pPr>
            <w:r>
              <w:t>公路安全水平提升情况</w:t>
            </w:r>
          </w:p>
        </w:tc>
        <w:tc>
          <w:tcPr>
            <w:tcW w:w="2268" w:type="dxa"/>
            <w:vAlign w:val="center"/>
          </w:tcPr>
          <w:p>
            <w:pPr>
              <w:pStyle w:val="12"/>
            </w:pPr>
            <w:r>
              <w:t>≥30%</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社会公众和服务对象满意度</w:t>
            </w:r>
          </w:p>
        </w:tc>
        <w:tc>
          <w:tcPr>
            <w:tcW w:w="2268" w:type="dxa"/>
            <w:vAlign w:val="center"/>
          </w:tcPr>
          <w:p>
            <w:pPr>
              <w:pStyle w:val="12"/>
            </w:pPr>
            <w:r>
              <w:t>≥90%</w:t>
            </w:r>
          </w:p>
        </w:tc>
        <w:tc>
          <w:tcPr>
            <w:tcW w:w="1276" w:type="dxa"/>
            <w:vAlign w:val="center"/>
          </w:tcPr>
          <w:p>
            <w:pPr>
              <w:pStyle w:val="12"/>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9、提前下达2025年农村公路建设养护发展专项资金（日常养护）绩效目标表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13062525P00018610004F</w:t>
            </w:r>
          </w:p>
        </w:tc>
        <w:tc>
          <w:tcPr>
            <w:tcW w:w="2835" w:type="dxa"/>
            <w:vAlign w:val="center"/>
          </w:tcPr>
          <w:p>
            <w:pPr>
              <w:pStyle w:val="10"/>
            </w:pPr>
            <w:r>
              <w:t>项目名称</w:t>
            </w:r>
          </w:p>
        </w:tc>
        <w:tc>
          <w:tcPr>
            <w:tcW w:w="6095" w:type="dxa"/>
            <w:gridSpan w:val="3"/>
            <w:vAlign w:val="center"/>
          </w:tcPr>
          <w:p>
            <w:pPr>
              <w:pStyle w:val="12"/>
            </w:pPr>
            <w:r>
              <w:t>提前下达2025年农村公路建设养护发展专项资金（日常养护）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提前下达2025年农村公路建设养护发展专项资金（日常养护）</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1.完成农村公路建设改造任务，推动四好农村路高质量发展，完成水毁农村公路恢复重建，农村公路路网结构和公路路况进一步优化和改善，公路通行能力进一步提升。</w:t>
            </w:r>
            <w:r>
              <w:tab/>
            </w:r>
            <w:r>
              <w:tab/>
            </w:r>
            <w:r>
              <w:tab/>
            </w:r>
            <w:r>
              <w:tab/>
            </w:r>
            <w:r>
              <w:tab/>
            </w:r>
          </w:p>
          <w:p>
            <w:pPr>
              <w:pStyle w:val="12"/>
            </w:pPr>
          </w:p>
          <w:p>
            <w:pPr>
              <w:pStyle w:val="12"/>
            </w:pPr>
            <w:r>
              <w:t>2.支持农村公路日常养护改造2.8公里。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支持农村公路日常养护改造里程</w:t>
            </w:r>
          </w:p>
        </w:tc>
        <w:tc>
          <w:tcPr>
            <w:tcW w:w="5386" w:type="dxa"/>
            <w:vAlign w:val="center"/>
          </w:tcPr>
          <w:p>
            <w:pPr>
              <w:pStyle w:val="12"/>
            </w:pPr>
            <w:r>
              <w:t>支持农村公路日常养护改造里程情况</w:t>
            </w:r>
          </w:p>
        </w:tc>
        <w:tc>
          <w:tcPr>
            <w:tcW w:w="2268" w:type="dxa"/>
            <w:vAlign w:val="center"/>
          </w:tcPr>
          <w:p>
            <w:pPr>
              <w:pStyle w:val="12"/>
            </w:pPr>
            <w:r>
              <w:t>≤2.8公里</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工程质量合格情况</w:t>
            </w:r>
          </w:p>
        </w:tc>
        <w:tc>
          <w:tcPr>
            <w:tcW w:w="2268" w:type="dxa"/>
            <w:vAlign w:val="center"/>
          </w:tcPr>
          <w:p>
            <w:pPr>
              <w:pStyle w:val="12"/>
            </w:pPr>
            <w:r>
              <w:t>100%</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完成项目时间情况</w:t>
            </w:r>
          </w:p>
        </w:tc>
        <w:tc>
          <w:tcPr>
            <w:tcW w:w="2268" w:type="dxa"/>
            <w:vAlign w:val="center"/>
          </w:tcPr>
          <w:p>
            <w:pPr>
              <w:pStyle w:val="12"/>
            </w:pPr>
            <w:r>
              <w:t>≤12月</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工程项目造价情况</w:t>
            </w:r>
          </w:p>
        </w:tc>
        <w:tc>
          <w:tcPr>
            <w:tcW w:w="2268" w:type="dxa"/>
            <w:vAlign w:val="center"/>
          </w:tcPr>
          <w:p>
            <w:pPr>
              <w:pStyle w:val="12"/>
            </w:pPr>
            <w:r>
              <w:t>28万元</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对项目周边区域经济发展的促进提高率</w:t>
            </w:r>
          </w:p>
        </w:tc>
        <w:tc>
          <w:tcPr>
            <w:tcW w:w="5386" w:type="dxa"/>
            <w:vAlign w:val="center"/>
          </w:tcPr>
          <w:p>
            <w:pPr>
              <w:pStyle w:val="12"/>
            </w:pPr>
            <w:r>
              <w:t>对项目周边区域经济发展的促进提高情况</w:t>
            </w:r>
          </w:p>
        </w:tc>
        <w:tc>
          <w:tcPr>
            <w:tcW w:w="2268" w:type="dxa"/>
            <w:vAlign w:val="center"/>
          </w:tcPr>
          <w:p>
            <w:pPr>
              <w:pStyle w:val="12"/>
            </w:pPr>
            <w:r>
              <w:t>≥1.8%</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公路安全水平提升率</w:t>
            </w:r>
          </w:p>
        </w:tc>
        <w:tc>
          <w:tcPr>
            <w:tcW w:w="5386" w:type="dxa"/>
            <w:vAlign w:val="center"/>
          </w:tcPr>
          <w:p>
            <w:pPr>
              <w:pStyle w:val="12"/>
            </w:pPr>
            <w:r>
              <w:t>公路安全水平提升情况</w:t>
            </w:r>
          </w:p>
        </w:tc>
        <w:tc>
          <w:tcPr>
            <w:tcW w:w="2268" w:type="dxa"/>
            <w:vAlign w:val="center"/>
          </w:tcPr>
          <w:p>
            <w:pPr>
              <w:pStyle w:val="12"/>
            </w:pPr>
            <w:r>
              <w:t>≥30%</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社会公众和服务对象满意度</w:t>
            </w:r>
          </w:p>
        </w:tc>
        <w:tc>
          <w:tcPr>
            <w:tcW w:w="2268" w:type="dxa"/>
            <w:vAlign w:val="center"/>
          </w:tcPr>
          <w:p>
            <w:pPr>
              <w:pStyle w:val="12"/>
            </w:pPr>
            <w:r>
              <w:t>≥90%</w:t>
            </w:r>
          </w:p>
        </w:tc>
        <w:tc>
          <w:tcPr>
            <w:tcW w:w="1276" w:type="dxa"/>
            <w:vAlign w:val="center"/>
          </w:tcPr>
          <w:p>
            <w:pPr>
              <w:pStyle w:val="12"/>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10、提前下达2025年农村公路建设养护发展专项资金（养护工程）绩效目标表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13062525P000186100028</w:t>
            </w:r>
          </w:p>
        </w:tc>
        <w:tc>
          <w:tcPr>
            <w:tcW w:w="2835" w:type="dxa"/>
            <w:vAlign w:val="center"/>
          </w:tcPr>
          <w:p>
            <w:pPr>
              <w:pStyle w:val="10"/>
            </w:pPr>
            <w:r>
              <w:t>项目名称</w:t>
            </w:r>
          </w:p>
        </w:tc>
        <w:tc>
          <w:tcPr>
            <w:tcW w:w="6095" w:type="dxa"/>
            <w:gridSpan w:val="3"/>
            <w:vAlign w:val="center"/>
          </w:tcPr>
          <w:p>
            <w:pPr>
              <w:pStyle w:val="12"/>
            </w:pPr>
            <w:r>
              <w:t>提前下达2025年农村公路建设养护发展专项资金（养护工程）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提前下达2025年农村公路建设养护发展专项资金（养护工程）</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1."支持农村公路养护改造9.5公里。</w:t>
            </w:r>
          </w:p>
          <w:p>
            <w:pPr>
              <w:pStyle w:val="12"/>
            </w:pPr>
            <w:r>
              <w:t>"</w:t>
            </w:r>
            <w:r>
              <w:tab/>
            </w:r>
            <w:r>
              <w:tab/>
            </w:r>
            <w:r>
              <w:tab/>
            </w:r>
            <w:r>
              <w:tab/>
            </w:r>
            <w:r>
              <w:tab/>
            </w:r>
            <w:r>
              <w:tab/>
            </w:r>
          </w:p>
          <w:p>
            <w:pPr>
              <w:pStyle w:val="12"/>
            </w:pPr>
          </w:p>
          <w:p>
            <w:pPr>
              <w:pStyle w:val="12"/>
            </w:pPr>
            <w:r>
              <w:t>2.完成农村公路建设改造任务，推动四好农村路高质量发展，完成水毁农村公路恢复重建，农村公路路网结构和公路路况进一步优化和改善，公路通行能力进一步提升。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支持农村公路养护改造里程</w:t>
            </w:r>
          </w:p>
        </w:tc>
        <w:tc>
          <w:tcPr>
            <w:tcW w:w="5386" w:type="dxa"/>
            <w:vAlign w:val="center"/>
          </w:tcPr>
          <w:p>
            <w:pPr>
              <w:pStyle w:val="12"/>
            </w:pPr>
            <w:r>
              <w:t>支持农村公路养护改造里程情况</w:t>
            </w:r>
          </w:p>
        </w:tc>
        <w:tc>
          <w:tcPr>
            <w:tcW w:w="2268" w:type="dxa"/>
            <w:vAlign w:val="center"/>
          </w:tcPr>
          <w:p>
            <w:pPr>
              <w:pStyle w:val="12"/>
            </w:pPr>
            <w:r>
              <w:t>≤9.5公里</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工程质量合格情况</w:t>
            </w:r>
          </w:p>
        </w:tc>
        <w:tc>
          <w:tcPr>
            <w:tcW w:w="2268" w:type="dxa"/>
            <w:vAlign w:val="center"/>
          </w:tcPr>
          <w:p>
            <w:pPr>
              <w:pStyle w:val="12"/>
            </w:pPr>
            <w:r>
              <w:t>100%</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完成项目时间情况</w:t>
            </w:r>
          </w:p>
        </w:tc>
        <w:tc>
          <w:tcPr>
            <w:tcW w:w="2268" w:type="dxa"/>
            <w:vAlign w:val="center"/>
          </w:tcPr>
          <w:p>
            <w:pPr>
              <w:pStyle w:val="12"/>
            </w:pPr>
            <w:r>
              <w:t>≤12月</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工程项目造价情况</w:t>
            </w:r>
          </w:p>
        </w:tc>
        <w:tc>
          <w:tcPr>
            <w:tcW w:w="2268" w:type="dxa"/>
            <w:vAlign w:val="center"/>
          </w:tcPr>
          <w:p>
            <w:pPr>
              <w:pStyle w:val="12"/>
            </w:pPr>
            <w:r>
              <w:t>95万元</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对项目周边区域经济发展的促进提高率</w:t>
            </w:r>
          </w:p>
        </w:tc>
        <w:tc>
          <w:tcPr>
            <w:tcW w:w="5386" w:type="dxa"/>
            <w:vAlign w:val="center"/>
          </w:tcPr>
          <w:p>
            <w:pPr>
              <w:pStyle w:val="12"/>
            </w:pPr>
            <w:r>
              <w:t>对项目周边区域经济发展的促进提高情况</w:t>
            </w:r>
          </w:p>
        </w:tc>
        <w:tc>
          <w:tcPr>
            <w:tcW w:w="2268" w:type="dxa"/>
            <w:vAlign w:val="center"/>
          </w:tcPr>
          <w:p>
            <w:pPr>
              <w:pStyle w:val="12"/>
            </w:pPr>
            <w:r>
              <w:t>≥1.8%</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公路安全水平提升率</w:t>
            </w:r>
          </w:p>
        </w:tc>
        <w:tc>
          <w:tcPr>
            <w:tcW w:w="5386" w:type="dxa"/>
            <w:vAlign w:val="center"/>
          </w:tcPr>
          <w:p>
            <w:pPr>
              <w:pStyle w:val="12"/>
            </w:pPr>
            <w:r>
              <w:t>公路安全水平提升情况</w:t>
            </w:r>
          </w:p>
        </w:tc>
        <w:tc>
          <w:tcPr>
            <w:tcW w:w="2268" w:type="dxa"/>
            <w:vAlign w:val="center"/>
          </w:tcPr>
          <w:p>
            <w:pPr>
              <w:pStyle w:val="12"/>
            </w:pPr>
            <w:r>
              <w:t>≥30%</w:t>
            </w:r>
          </w:p>
        </w:tc>
        <w:tc>
          <w:tcPr>
            <w:tcW w:w="1276" w:type="dxa"/>
            <w:vAlign w:val="center"/>
          </w:tcPr>
          <w:p>
            <w:pPr>
              <w:pStyle w:val="12"/>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社会公众和服务对象满意度</w:t>
            </w:r>
          </w:p>
        </w:tc>
        <w:tc>
          <w:tcPr>
            <w:tcW w:w="2268" w:type="dxa"/>
            <w:vAlign w:val="center"/>
          </w:tcPr>
          <w:p>
            <w:pPr>
              <w:pStyle w:val="12"/>
            </w:pPr>
            <w:r>
              <w:t>≥90%</w:t>
            </w:r>
          </w:p>
        </w:tc>
        <w:tc>
          <w:tcPr>
            <w:tcW w:w="1276" w:type="dxa"/>
            <w:vAlign w:val="center"/>
          </w:tcPr>
          <w:p>
            <w:pPr>
              <w:pStyle w:val="12"/>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11、下达2024年农村道路客运补贴、城市交通发展奖励资金（城市交通发展奖励资金）绩效目标表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13062524P00001710644K</w:t>
            </w:r>
          </w:p>
        </w:tc>
        <w:tc>
          <w:tcPr>
            <w:tcW w:w="2835" w:type="dxa"/>
            <w:vAlign w:val="center"/>
          </w:tcPr>
          <w:p>
            <w:pPr>
              <w:pStyle w:val="10"/>
            </w:pPr>
            <w:r>
              <w:t>项目名称</w:t>
            </w:r>
          </w:p>
        </w:tc>
        <w:tc>
          <w:tcPr>
            <w:tcW w:w="6095" w:type="dxa"/>
            <w:gridSpan w:val="3"/>
            <w:vAlign w:val="center"/>
          </w:tcPr>
          <w:p>
            <w:pPr>
              <w:pStyle w:val="12"/>
            </w:pPr>
            <w:r>
              <w:t>下达2024年农村道路客运补贴、城市交通发展奖励资金（城市交通发展奖励资金）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198.00</w:t>
            </w:r>
          </w:p>
        </w:tc>
        <w:tc>
          <w:tcPr>
            <w:tcW w:w="2835" w:type="dxa"/>
            <w:vAlign w:val="center"/>
          </w:tcPr>
          <w:p>
            <w:pPr>
              <w:pStyle w:val="10"/>
            </w:pPr>
            <w:r>
              <w:t>其中：财政    资金</w:t>
            </w:r>
          </w:p>
        </w:tc>
        <w:tc>
          <w:tcPr>
            <w:tcW w:w="2551" w:type="dxa"/>
            <w:vAlign w:val="center"/>
          </w:tcPr>
          <w:p>
            <w:pPr>
              <w:pStyle w:val="12"/>
            </w:pPr>
            <w:r>
              <w:t>198.00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下达2024年农村道路客运补贴、城市交通发展奖励资金（城市交通发展奖励资金）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1.新能源公交车运营补贴728.95标台公里</w:t>
            </w:r>
          </w:p>
          <w:p>
            <w:pPr>
              <w:pStyle w:val="12"/>
            </w:pPr>
            <w:r>
              <w:t>2.支持出租车行业电动化、城市交通领域新能源车运营，鼓励支持新能源公交车和电池更新。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新能源公交车运营补贴的标台公里数</w:t>
            </w:r>
          </w:p>
        </w:tc>
        <w:tc>
          <w:tcPr>
            <w:tcW w:w="5386" w:type="dxa"/>
            <w:vAlign w:val="center"/>
          </w:tcPr>
          <w:p>
            <w:pPr>
              <w:pStyle w:val="12"/>
            </w:pPr>
            <w:r>
              <w:t>新能源公交车运营补贴的标台公里数情况</w:t>
            </w:r>
          </w:p>
        </w:tc>
        <w:tc>
          <w:tcPr>
            <w:tcW w:w="2268" w:type="dxa"/>
            <w:vAlign w:val="center"/>
          </w:tcPr>
          <w:p>
            <w:pPr>
              <w:pStyle w:val="12"/>
            </w:pPr>
            <w:r>
              <w:t>≥728.95标台.万公里</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补贴资金发放准确率</w:t>
            </w:r>
          </w:p>
        </w:tc>
        <w:tc>
          <w:tcPr>
            <w:tcW w:w="5386" w:type="dxa"/>
            <w:vAlign w:val="center"/>
          </w:tcPr>
          <w:p>
            <w:pPr>
              <w:pStyle w:val="12"/>
            </w:pPr>
            <w:r>
              <w:t>补贴资金发放准确情况</w:t>
            </w:r>
          </w:p>
        </w:tc>
        <w:tc>
          <w:tcPr>
            <w:tcW w:w="2268" w:type="dxa"/>
            <w:vAlign w:val="center"/>
          </w:tcPr>
          <w:p>
            <w:pPr>
              <w:pStyle w:val="12"/>
            </w:pPr>
            <w:r>
              <w:t>100%</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完成补贴发放率</w:t>
            </w:r>
          </w:p>
        </w:tc>
        <w:tc>
          <w:tcPr>
            <w:tcW w:w="5386" w:type="dxa"/>
            <w:vAlign w:val="center"/>
          </w:tcPr>
          <w:p>
            <w:pPr>
              <w:pStyle w:val="12"/>
            </w:pPr>
            <w:r>
              <w:t>完成补贴发放情况</w:t>
            </w:r>
          </w:p>
        </w:tc>
        <w:tc>
          <w:tcPr>
            <w:tcW w:w="2268" w:type="dxa"/>
            <w:vAlign w:val="center"/>
          </w:tcPr>
          <w:p>
            <w:pPr>
              <w:pStyle w:val="12"/>
            </w:pPr>
            <w:r>
              <w:t>100%</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补贴政策所用资金</w:t>
            </w:r>
          </w:p>
        </w:tc>
        <w:tc>
          <w:tcPr>
            <w:tcW w:w="5386" w:type="dxa"/>
            <w:vAlign w:val="center"/>
          </w:tcPr>
          <w:p>
            <w:pPr>
              <w:pStyle w:val="12"/>
            </w:pPr>
            <w:r>
              <w:t>补贴政策所用资金情况</w:t>
            </w:r>
          </w:p>
        </w:tc>
        <w:tc>
          <w:tcPr>
            <w:tcW w:w="2268" w:type="dxa"/>
            <w:vAlign w:val="center"/>
          </w:tcPr>
          <w:p>
            <w:pPr>
              <w:pStyle w:val="12"/>
            </w:pPr>
            <w:r>
              <w:t>197.99万元</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≥80%</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城市客运企业满意度</w:t>
            </w:r>
          </w:p>
        </w:tc>
        <w:tc>
          <w:tcPr>
            <w:tcW w:w="2268" w:type="dxa"/>
            <w:vAlign w:val="center"/>
          </w:tcPr>
          <w:p>
            <w:pPr>
              <w:pStyle w:val="12"/>
            </w:pPr>
            <w:r>
              <w:t>≥90%</w:t>
            </w:r>
          </w:p>
        </w:tc>
        <w:tc>
          <w:tcPr>
            <w:tcW w:w="1276" w:type="dxa"/>
            <w:vAlign w:val="center"/>
          </w:tcPr>
          <w:p>
            <w:pPr>
              <w:pStyle w:val="12"/>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12、下达2024年农村道路客运补贴、城市交通发展奖励资金（农村道路客运补贴资金）绩效目标表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13062524P000017106430</w:t>
            </w:r>
          </w:p>
        </w:tc>
        <w:tc>
          <w:tcPr>
            <w:tcW w:w="2835" w:type="dxa"/>
            <w:vAlign w:val="center"/>
          </w:tcPr>
          <w:p>
            <w:pPr>
              <w:pStyle w:val="10"/>
            </w:pPr>
            <w:r>
              <w:t>项目名称</w:t>
            </w:r>
          </w:p>
        </w:tc>
        <w:tc>
          <w:tcPr>
            <w:tcW w:w="6095" w:type="dxa"/>
            <w:gridSpan w:val="3"/>
            <w:vAlign w:val="center"/>
          </w:tcPr>
          <w:p>
            <w:pPr>
              <w:pStyle w:val="12"/>
            </w:pPr>
            <w:r>
              <w:t>下达2024年农村道路客运补贴、城市交通发展奖励资金（农村道路客运补贴资金）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67.44</w:t>
            </w:r>
          </w:p>
        </w:tc>
        <w:tc>
          <w:tcPr>
            <w:tcW w:w="2835" w:type="dxa"/>
            <w:vAlign w:val="center"/>
          </w:tcPr>
          <w:p>
            <w:pPr>
              <w:pStyle w:val="10"/>
            </w:pPr>
            <w:r>
              <w:t>其中：财政    资金</w:t>
            </w:r>
          </w:p>
        </w:tc>
        <w:tc>
          <w:tcPr>
            <w:tcW w:w="2551" w:type="dxa"/>
            <w:vAlign w:val="center"/>
          </w:tcPr>
          <w:p>
            <w:pPr>
              <w:pStyle w:val="12"/>
            </w:pPr>
            <w:r>
              <w:t>67.44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下达2024农村道路客运补贴、城市交通发展奖励资金（农村道路客运补贴资金）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1.补贴运营的汽车客运站1个。</w:t>
            </w:r>
          </w:p>
          <w:p>
            <w:pPr>
              <w:pStyle w:val="12"/>
            </w:pPr>
            <w:r>
              <w:t>2.推进城乡客运公共服务均等化，强化农村客运安全运营，为人民群众提供安全、便捷出行服务。</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补贴运营的汽车客运站个数</w:t>
            </w:r>
          </w:p>
        </w:tc>
        <w:tc>
          <w:tcPr>
            <w:tcW w:w="5386" w:type="dxa"/>
            <w:vAlign w:val="center"/>
          </w:tcPr>
          <w:p>
            <w:pPr>
              <w:pStyle w:val="12"/>
            </w:pPr>
            <w:r>
              <w:t>补贴运营的汽车客运站情况</w:t>
            </w:r>
          </w:p>
        </w:tc>
        <w:tc>
          <w:tcPr>
            <w:tcW w:w="2268" w:type="dxa"/>
            <w:vAlign w:val="center"/>
          </w:tcPr>
          <w:p>
            <w:pPr>
              <w:pStyle w:val="12"/>
            </w:pPr>
            <w:r>
              <w:t>1个</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补贴资金发放准确率</w:t>
            </w:r>
          </w:p>
        </w:tc>
        <w:tc>
          <w:tcPr>
            <w:tcW w:w="5386" w:type="dxa"/>
            <w:vAlign w:val="center"/>
          </w:tcPr>
          <w:p>
            <w:pPr>
              <w:pStyle w:val="12"/>
            </w:pPr>
            <w:r>
              <w:t>补贴资金发放准确情况</w:t>
            </w:r>
          </w:p>
        </w:tc>
        <w:tc>
          <w:tcPr>
            <w:tcW w:w="2268" w:type="dxa"/>
            <w:vAlign w:val="center"/>
          </w:tcPr>
          <w:p>
            <w:pPr>
              <w:pStyle w:val="12"/>
            </w:pPr>
            <w:r>
              <w:t>100%</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完成补贴发放的时间</w:t>
            </w:r>
          </w:p>
        </w:tc>
        <w:tc>
          <w:tcPr>
            <w:tcW w:w="5386" w:type="dxa"/>
            <w:vAlign w:val="center"/>
          </w:tcPr>
          <w:p>
            <w:pPr>
              <w:pStyle w:val="12"/>
            </w:pPr>
            <w:r>
              <w:t>完成补贴发放时间情况</w:t>
            </w:r>
          </w:p>
        </w:tc>
        <w:tc>
          <w:tcPr>
            <w:tcW w:w="2268" w:type="dxa"/>
            <w:vAlign w:val="center"/>
          </w:tcPr>
          <w:p>
            <w:pPr>
              <w:pStyle w:val="12"/>
            </w:pPr>
            <w:r>
              <w:t>2024年12月20日前</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补贴政策所用资金</w:t>
            </w:r>
          </w:p>
        </w:tc>
        <w:tc>
          <w:tcPr>
            <w:tcW w:w="5386" w:type="dxa"/>
            <w:vAlign w:val="center"/>
          </w:tcPr>
          <w:p>
            <w:pPr>
              <w:pStyle w:val="12"/>
            </w:pPr>
            <w:r>
              <w:t>补贴政策所用资金情况</w:t>
            </w:r>
          </w:p>
        </w:tc>
        <w:tc>
          <w:tcPr>
            <w:tcW w:w="2268" w:type="dxa"/>
            <w:vAlign w:val="center"/>
          </w:tcPr>
          <w:p>
            <w:pPr>
              <w:pStyle w:val="12"/>
            </w:pPr>
            <w:r>
              <w:t>67.44万元</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≥80%</w:t>
            </w:r>
          </w:p>
        </w:tc>
        <w:tc>
          <w:tcPr>
            <w:tcW w:w="1276" w:type="dxa"/>
            <w:vAlign w:val="center"/>
          </w:tcPr>
          <w:p>
            <w:pPr>
              <w:pStyle w:val="12"/>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13、下达2024年中央车辆购置税收入补助地方资金预算（第三批）绩效目标表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13062524P00001710450E</w:t>
            </w:r>
          </w:p>
        </w:tc>
        <w:tc>
          <w:tcPr>
            <w:tcW w:w="2835" w:type="dxa"/>
            <w:vAlign w:val="center"/>
          </w:tcPr>
          <w:p>
            <w:pPr>
              <w:pStyle w:val="10"/>
            </w:pPr>
            <w:r>
              <w:t>项目名称</w:t>
            </w:r>
          </w:p>
        </w:tc>
        <w:tc>
          <w:tcPr>
            <w:tcW w:w="6095" w:type="dxa"/>
            <w:gridSpan w:val="3"/>
            <w:vAlign w:val="center"/>
          </w:tcPr>
          <w:p>
            <w:pPr>
              <w:pStyle w:val="12"/>
            </w:pPr>
            <w:r>
              <w:t>下达2024年中央车辆购置税收入补助地方资金预算（第三批）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317.00</w:t>
            </w:r>
          </w:p>
        </w:tc>
        <w:tc>
          <w:tcPr>
            <w:tcW w:w="2835" w:type="dxa"/>
            <w:vAlign w:val="center"/>
          </w:tcPr>
          <w:p>
            <w:pPr>
              <w:pStyle w:val="10"/>
            </w:pPr>
            <w:r>
              <w:t>其中：财政    资金</w:t>
            </w:r>
          </w:p>
        </w:tc>
        <w:tc>
          <w:tcPr>
            <w:tcW w:w="2551" w:type="dxa"/>
            <w:vAlign w:val="center"/>
          </w:tcPr>
          <w:p>
            <w:pPr>
              <w:pStyle w:val="12"/>
            </w:pPr>
            <w:r>
              <w:t>317.00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下达2024年中央车辆购置税收入补助地方资金预算（第三批）</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1.完成“十四五”现代综合交通运输体系发展规划范围内的综合交通、公路、水运等年度建设任务。</w:t>
            </w:r>
          </w:p>
          <w:p>
            <w:pPr>
              <w:pStyle w:val="12"/>
            </w:pPr>
            <w:r>
              <w:t>2.建设改造农村里程10公里。</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年度全社会建设改造农村里程</w:t>
            </w:r>
          </w:p>
        </w:tc>
        <w:tc>
          <w:tcPr>
            <w:tcW w:w="5386" w:type="dxa"/>
            <w:vAlign w:val="center"/>
          </w:tcPr>
          <w:p>
            <w:pPr>
              <w:pStyle w:val="12"/>
            </w:pPr>
            <w:r>
              <w:t>年度全社会建设改造农村里程情况</w:t>
            </w:r>
          </w:p>
          <w:p>
            <w:pPr>
              <w:pStyle w:val="12"/>
            </w:pPr>
          </w:p>
        </w:tc>
        <w:tc>
          <w:tcPr>
            <w:tcW w:w="2268" w:type="dxa"/>
            <w:vAlign w:val="center"/>
          </w:tcPr>
          <w:p>
            <w:pPr>
              <w:pStyle w:val="12"/>
            </w:pPr>
            <w:r>
              <w:t>10公里</w:t>
            </w:r>
          </w:p>
        </w:tc>
        <w:tc>
          <w:tcPr>
            <w:tcW w:w="1276" w:type="dxa"/>
            <w:vAlign w:val="center"/>
          </w:tcPr>
          <w:p>
            <w:pPr>
              <w:pStyle w:val="12"/>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完工项目验收合规率</w:t>
            </w:r>
          </w:p>
        </w:tc>
        <w:tc>
          <w:tcPr>
            <w:tcW w:w="5386" w:type="dxa"/>
            <w:vAlign w:val="center"/>
          </w:tcPr>
          <w:p>
            <w:pPr>
              <w:pStyle w:val="12"/>
            </w:pPr>
            <w:r>
              <w:t>完工项目验收合规情况</w:t>
            </w:r>
          </w:p>
        </w:tc>
        <w:tc>
          <w:tcPr>
            <w:tcW w:w="2268" w:type="dxa"/>
            <w:vAlign w:val="center"/>
          </w:tcPr>
          <w:p>
            <w:pPr>
              <w:pStyle w:val="12"/>
            </w:pPr>
            <w:r>
              <w:t>100%</w:t>
            </w:r>
          </w:p>
        </w:tc>
        <w:tc>
          <w:tcPr>
            <w:tcW w:w="1276" w:type="dxa"/>
            <w:vAlign w:val="center"/>
          </w:tcPr>
          <w:p>
            <w:pPr>
              <w:pStyle w:val="12"/>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按期完成投资</w:t>
            </w:r>
          </w:p>
        </w:tc>
        <w:tc>
          <w:tcPr>
            <w:tcW w:w="5386" w:type="dxa"/>
            <w:vAlign w:val="center"/>
          </w:tcPr>
          <w:p>
            <w:pPr>
              <w:pStyle w:val="12"/>
            </w:pPr>
            <w:r>
              <w:t>按期完成投资情况</w:t>
            </w:r>
          </w:p>
        </w:tc>
        <w:tc>
          <w:tcPr>
            <w:tcW w:w="2268" w:type="dxa"/>
            <w:vAlign w:val="center"/>
          </w:tcPr>
          <w:p>
            <w:pPr>
              <w:pStyle w:val="12"/>
            </w:pPr>
            <w:r>
              <w:t>100%</w:t>
            </w:r>
          </w:p>
        </w:tc>
        <w:tc>
          <w:tcPr>
            <w:tcW w:w="1276" w:type="dxa"/>
            <w:vAlign w:val="center"/>
          </w:tcPr>
          <w:p>
            <w:pPr>
              <w:pStyle w:val="12"/>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项目成本控制率</w:t>
            </w:r>
          </w:p>
        </w:tc>
        <w:tc>
          <w:tcPr>
            <w:tcW w:w="5386" w:type="dxa"/>
            <w:vAlign w:val="center"/>
          </w:tcPr>
          <w:p>
            <w:pPr>
              <w:pStyle w:val="12"/>
            </w:pPr>
            <w:r>
              <w:t>项目成本控制情况</w:t>
            </w:r>
          </w:p>
        </w:tc>
        <w:tc>
          <w:tcPr>
            <w:tcW w:w="2268" w:type="dxa"/>
            <w:vAlign w:val="center"/>
          </w:tcPr>
          <w:p>
            <w:pPr>
              <w:pStyle w:val="12"/>
            </w:pPr>
            <w:r>
              <w:t>317万元</w:t>
            </w:r>
          </w:p>
        </w:tc>
        <w:tc>
          <w:tcPr>
            <w:tcW w:w="1276" w:type="dxa"/>
            <w:vAlign w:val="center"/>
          </w:tcPr>
          <w:p>
            <w:pPr>
              <w:pStyle w:val="12"/>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5386" w:type="dxa"/>
            <w:vAlign w:val="center"/>
          </w:tcPr>
          <w:p>
            <w:pPr>
              <w:pStyle w:val="12"/>
            </w:pPr>
            <w:r>
              <w:t>对经济发展的促进情况</w:t>
            </w:r>
          </w:p>
        </w:tc>
        <w:tc>
          <w:tcPr>
            <w:tcW w:w="2268" w:type="dxa"/>
            <w:vAlign w:val="center"/>
          </w:tcPr>
          <w:p>
            <w:pPr>
              <w:pStyle w:val="12"/>
            </w:pPr>
            <w:r>
              <w:t>≥1%</w:t>
            </w:r>
          </w:p>
        </w:tc>
        <w:tc>
          <w:tcPr>
            <w:tcW w:w="1276" w:type="dxa"/>
            <w:vAlign w:val="center"/>
          </w:tcPr>
          <w:p>
            <w:pPr>
              <w:pStyle w:val="12"/>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基本公共服务水平</w:t>
            </w:r>
          </w:p>
        </w:tc>
        <w:tc>
          <w:tcPr>
            <w:tcW w:w="5386" w:type="dxa"/>
            <w:vAlign w:val="center"/>
          </w:tcPr>
          <w:p>
            <w:pPr>
              <w:pStyle w:val="12"/>
            </w:pPr>
            <w:r>
              <w:t>基本公共服务水平情况</w:t>
            </w:r>
          </w:p>
        </w:tc>
        <w:tc>
          <w:tcPr>
            <w:tcW w:w="2268" w:type="dxa"/>
            <w:vAlign w:val="center"/>
          </w:tcPr>
          <w:p>
            <w:pPr>
              <w:pStyle w:val="12"/>
            </w:pPr>
            <w:r>
              <w:t>≥1%</w:t>
            </w:r>
          </w:p>
        </w:tc>
        <w:tc>
          <w:tcPr>
            <w:tcW w:w="1276" w:type="dxa"/>
            <w:vAlign w:val="center"/>
          </w:tcPr>
          <w:p>
            <w:pPr>
              <w:pStyle w:val="12"/>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改善通行服务水平群众满意度</w:t>
            </w:r>
          </w:p>
        </w:tc>
        <w:tc>
          <w:tcPr>
            <w:tcW w:w="5386" w:type="dxa"/>
            <w:vAlign w:val="center"/>
          </w:tcPr>
          <w:p>
            <w:pPr>
              <w:pStyle w:val="12"/>
            </w:pPr>
            <w:r>
              <w:t>改善通行服务水平群众满意度情况</w:t>
            </w:r>
          </w:p>
        </w:tc>
        <w:tc>
          <w:tcPr>
            <w:tcW w:w="2268" w:type="dxa"/>
            <w:vAlign w:val="center"/>
          </w:tcPr>
          <w:p>
            <w:pPr>
              <w:pStyle w:val="12"/>
            </w:pPr>
            <w:r>
              <w:t>≥80%</w:t>
            </w:r>
          </w:p>
        </w:tc>
        <w:tc>
          <w:tcPr>
            <w:tcW w:w="1276" w:type="dxa"/>
            <w:vAlign w:val="center"/>
          </w:tcPr>
          <w:p>
            <w:pPr>
              <w:pStyle w:val="12"/>
            </w:pPr>
            <w:r>
              <w:t>社会调查问卷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保定市交通运输局徐水区分局本级上年末固定资产金额为1768.79万元（详见下表）。本年度拟购置固定资产总额为20.00万元，已按要求列入政府采购预算，详见政府采购预算表。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348001保定市交通运输局徐水区分局本级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1768.79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8792.65</w:t>
            </w:r>
          </w:p>
        </w:tc>
        <w:tc>
          <w:tcPr>
            <w:tcW w:w="2835" w:type="dxa"/>
            <w:vAlign w:val="center"/>
          </w:tcPr>
          <w:p>
            <w:pPr>
              <w:pStyle w:val="11"/>
            </w:pPr>
            <w:r>
              <w:t>1295.88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5347.25</w:t>
            </w:r>
          </w:p>
        </w:tc>
        <w:tc>
          <w:tcPr>
            <w:tcW w:w="2835" w:type="dxa"/>
            <w:vAlign w:val="center"/>
          </w:tcPr>
          <w:p>
            <w:pPr>
              <w:pStyle w:val="11"/>
            </w:pPr>
            <w:r>
              <w:t>1052.28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15</w:t>
            </w:r>
          </w:p>
        </w:tc>
        <w:tc>
          <w:tcPr>
            <w:tcW w:w="2835" w:type="dxa"/>
            <w:vAlign w:val="center"/>
          </w:tcPr>
          <w:p>
            <w:pPr>
              <w:pStyle w:val="11"/>
            </w:pPr>
            <w:r>
              <w:t>146.60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71.81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182</w:t>
            </w:r>
          </w:p>
        </w:tc>
        <w:tc>
          <w:tcPr>
            <w:tcW w:w="2835" w:type="dxa"/>
            <w:vAlign w:val="center"/>
          </w:tcPr>
          <w:p>
            <w:pPr>
              <w:pStyle w:val="11"/>
            </w:pPr>
            <w:r>
              <w:t>254.50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91682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1</TotalTime>
  <ScaleCrop>false</ScaleCrop>
  <LinksUpToDate>false</LinksUpToDate>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2025-02-26T10:27:00Z</dcterms:created>
  <dc:creator>Lenovo</dc:creator>
  <cp:lastModifiedBy>Lenovo</cp:lastModifiedBy>
  <dcterms:modified xsi:type="dcterms:W3CDTF">2025-02-26T03:06:19Z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D462588F3D12401E833B85A4E136E6A5</vt:lpwstr>
  </property>
</Properties>
</file>