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Times New Roman" w:hAnsi="Times New Roman" w:eastAsia="方正小标宋简体" w:cs="方正小标宋简体"/>
          <w:color w:val="auto"/>
          <w:spacing w:val="-4"/>
          <w:sz w:val="44"/>
          <w:szCs w:val="44"/>
          <w:highlight w:val="none"/>
        </w:rPr>
      </w:pPr>
      <w:r>
        <w:rPr>
          <w:rFonts w:hint="eastAsia" w:ascii="Times New Roman" w:hAnsi="Times New Roman" w:eastAsia="方正小标宋简体" w:cs="方正小标宋简体"/>
          <w:color w:val="auto"/>
          <w:spacing w:val="-4"/>
          <w:sz w:val="44"/>
          <w:szCs w:val="44"/>
          <w:highlight w:val="none"/>
        </w:rPr>
        <w:t>保定市徐水区</w:t>
      </w:r>
    </w:p>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Times New Roman" w:hAnsi="Times New Roman" w:eastAsia="方正小标宋简体" w:cs="方正小标宋简体"/>
          <w:color w:val="auto"/>
          <w:spacing w:val="-4"/>
          <w:sz w:val="44"/>
          <w:szCs w:val="44"/>
          <w:highlight w:val="none"/>
        </w:rPr>
      </w:pPr>
      <w:r>
        <w:rPr>
          <w:rFonts w:hint="eastAsia" w:ascii="Times New Roman" w:hAnsi="Times New Roman" w:eastAsia="方正小标宋简体" w:cs="方正小标宋简体"/>
          <w:color w:val="auto"/>
          <w:spacing w:val="-4"/>
          <w:sz w:val="44"/>
          <w:szCs w:val="44"/>
          <w:highlight w:val="none"/>
        </w:rPr>
        <w:t>202</w:t>
      </w:r>
      <w:r>
        <w:rPr>
          <w:rFonts w:hint="eastAsia" w:eastAsia="方正小标宋简体" w:cs="方正小标宋简体"/>
          <w:color w:val="auto"/>
          <w:spacing w:val="-4"/>
          <w:sz w:val="44"/>
          <w:szCs w:val="44"/>
          <w:highlight w:val="none"/>
          <w:lang w:val="en-US" w:eastAsia="zh-CN"/>
        </w:rPr>
        <w:t>4</w:t>
      </w:r>
      <w:r>
        <w:rPr>
          <w:rFonts w:hint="eastAsia" w:ascii="Times New Roman" w:hAnsi="Times New Roman" w:eastAsia="方正小标宋简体" w:cs="方正小标宋简体"/>
          <w:color w:val="auto"/>
          <w:spacing w:val="-4"/>
          <w:sz w:val="44"/>
          <w:szCs w:val="44"/>
          <w:highlight w:val="none"/>
        </w:rPr>
        <w:t>年预算执行情况和202</w:t>
      </w:r>
      <w:r>
        <w:rPr>
          <w:rFonts w:hint="eastAsia" w:eastAsia="方正小标宋简体" w:cs="方正小标宋简体"/>
          <w:color w:val="auto"/>
          <w:spacing w:val="-4"/>
          <w:sz w:val="44"/>
          <w:szCs w:val="44"/>
          <w:highlight w:val="none"/>
          <w:lang w:val="en-US" w:eastAsia="zh-CN"/>
        </w:rPr>
        <w:t>5</w:t>
      </w:r>
      <w:r>
        <w:rPr>
          <w:rFonts w:hint="eastAsia" w:ascii="Times New Roman" w:hAnsi="Times New Roman" w:eastAsia="方正小标宋简体" w:cs="方正小标宋简体"/>
          <w:color w:val="auto"/>
          <w:spacing w:val="-4"/>
          <w:sz w:val="44"/>
          <w:szCs w:val="44"/>
          <w:highlight w:val="none"/>
        </w:rPr>
        <w:t>年预算（草案</w:t>
      </w:r>
      <w:r>
        <w:rPr>
          <w:rFonts w:hint="eastAsia" w:ascii="Times New Roman" w:hAnsi="Times New Roman" w:eastAsia="方正小标宋简体" w:cs="方正小标宋简体"/>
          <w:color w:val="auto"/>
          <w:spacing w:val="-4"/>
          <w:sz w:val="44"/>
          <w:szCs w:val="44"/>
          <w:highlight w:val="none"/>
          <w:lang w:eastAsia="zh-CN"/>
        </w:rPr>
        <w:t>）</w:t>
      </w:r>
      <w:r>
        <w:rPr>
          <w:rFonts w:hint="eastAsia" w:ascii="Times New Roman" w:hAnsi="Times New Roman" w:eastAsia="方正小标宋简体" w:cs="方正小标宋简体"/>
          <w:color w:val="auto"/>
          <w:spacing w:val="-4"/>
          <w:sz w:val="44"/>
          <w:szCs w:val="44"/>
          <w:highlight w:val="none"/>
        </w:rPr>
        <w:t>的</w:t>
      </w:r>
    </w:p>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Times New Roman" w:hAnsi="Times New Roman" w:eastAsia="方正小标宋简体" w:cs="方正小标宋简体"/>
          <w:color w:val="auto"/>
          <w:spacing w:val="-4"/>
          <w:sz w:val="44"/>
          <w:szCs w:val="44"/>
          <w:highlight w:val="none"/>
        </w:rPr>
      </w:pPr>
      <w:r>
        <w:rPr>
          <w:rFonts w:hint="eastAsia" w:ascii="Times New Roman" w:hAnsi="Times New Roman" w:eastAsia="方正小标宋简体" w:cs="方正小标宋简体"/>
          <w:color w:val="auto"/>
          <w:spacing w:val="-4"/>
          <w:sz w:val="44"/>
          <w:szCs w:val="44"/>
          <w:highlight w:val="none"/>
        </w:rPr>
        <w:t>报</w:t>
      </w:r>
      <w:r>
        <w:rPr>
          <w:rFonts w:hint="eastAsia" w:eastAsia="方正小标宋简体" w:cs="方正小标宋简体"/>
          <w:color w:val="auto"/>
          <w:spacing w:val="-4"/>
          <w:sz w:val="44"/>
          <w:szCs w:val="44"/>
          <w:highlight w:val="none"/>
          <w:lang w:val="en-US" w:eastAsia="zh-CN"/>
        </w:rPr>
        <w:t xml:space="preserve">  </w:t>
      </w:r>
      <w:r>
        <w:rPr>
          <w:rFonts w:hint="eastAsia" w:ascii="Times New Roman" w:hAnsi="Times New Roman" w:eastAsia="方正小标宋简体" w:cs="方正小标宋简体"/>
          <w:color w:val="auto"/>
          <w:spacing w:val="-4"/>
          <w:sz w:val="44"/>
          <w:szCs w:val="44"/>
          <w:highlight w:val="none"/>
        </w:rPr>
        <w:t>告</w:t>
      </w:r>
    </w:p>
    <w:p>
      <w:pPr>
        <w:keepNext w:val="0"/>
        <w:keepLines w:val="0"/>
        <w:pageBreakBefore w:val="0"/>
        <w:widowControl w:val="0"/>
        <w:kinsoku/>
        <w:wordWrap/>
        <w:overflowPunct/>
        <w:topLinePunct/>
        <w:autoSpaceDE/>
        <w:autoSpaceDN/>
        <w:bidi w:val="0"/>
        <w:adjustRightInd/>
        <w:snapToGrid/>
        <w:spacing w:line="576" w:lineRule="exact"/>
        <w:jc w:val="both"/>
        <w:textAlignment w:val="auto"/>
        <w:rPr>
          <w:rFonts w:hint="eastAsia" w:ascii="Times New Roman" w:hAnsi="Times New Roman" w:eastAsia="方正书宋简体"/>
          <w:color w:val="auto"/>
          <w:spacing w:val="-4"/>
          <w:sz w:val="28"/>
          <w:szCs w:val="28"/>
          <w:highlight w:val="none"/>
        </w:rPr>
      </w:pPr>
    </w:p>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Times New Roman" w:hAnsi="Times New Roman"/>
          <w:color w:val="auto"/>
          <w:spacing w:val="0"/>
          <w:kern w:val="0"/>
          <w:sz w:val="32"/>
          <w:szCs w:val="32"/>
          <w:highlight w:val="none"/>
        </w:rPr>
      </w:pPr>
      <w:r>
        <w:rPr>
          <w:rFonts w:ascii="Times New Roman" w:hAnsi="Times New Roman"/>
          <w:color w:val="auto"/>
          <w:spacing w:val="0"/>
          <w:kern w:val="0"/>
          <w:sz w:val="32"/>
          <w:szCs w:val="32"/>
          <w:highlight w:val="none"/>
        </w:rPr>
        <w:t>在</w:t>
      </w:r>
      <w:r>
        <w:rPr>
          <w:rFonts w:hint="eastAsia" w:ascii="Times New Roman" w:hAnsi="Times New Roman"/>
          <w:color w:val="auto"/>
          <w:spacing w:val="0"/>
          <w:kern w:val="0"/>
          <w:sz w:val="32"/>
          <w:szCs w:val="32"/>
          <w:highlight w:val="none"/>
        </w:rPr>
        <w:t>保定市徐水区第</w:t>
      </w:r>
      <w:r>
        <w:rPr>
          <w:rFonts w:hint="eastAsia" w:ascii="Times New Roman" w:hAnsi="Times New Roman"/>
          <w:color w:val="auto"/>
          <w:spacing w:val="0"/>
          <w:kern w:val="0"/>
          <w:sz w:val="32"/>
          <w:szCs w:val="32"/>
          <w:highlight w:val="none"/>
          <w:lang w:val="en-US" w:eastAsia="zh-CN"/>
        </w:rPr>
        <w:t>三</w:t>
      </w:r>
      <w:r>
        <w:rPr>
          <w:rFonts w:hint="eastAsia" w:ascii="Times New Roman" w:hAnsi="Times New Roman"/>
          <w:color w:val="auto"/>
          <w:spacing w:val="0"/>
          <w:kern w:val="0"/>
          <w:sz w:val="32"/>
          <w:szCs w:val="32"/>
          <w:highlight w:val="none"/>
        </w:rPr>
        <w:t>届人民代表大会第</w:t>
      </w:r>
      <w:r>
        <w:rPr>
          <w:rFonts w:hint="eastAsia" w:ascii="Times New Roman" w:hAnsi="Times New Roman"/>
          <w:color w:val="auto"/>
          <w:spacing w:val="0"/>
          <w:kern w:val="0"/>
          <w:sz w:val="32"/>
          <w:szCs w:val="32"/>
          <w:highlight w:val="none"/>
          <w:lang w:val="en-US" w:eastAsia="zh-CN"/>
        </w:rPr>
        <w:t>五</w:t>
      </w:r>
      <w:r>
        <w:rPr>
          <w:rFonts w:hint="eastAsia" w:ascii="Times New Roman" w:hAnsi="Times New Roman"/>
          <w:color w:val="auto"/>
          <w:spacing w:val="0"/>
          <w:kern w:val="0"/>
          <w:sz w:val="32"/>
          <w:szCs w:val="32"/>
          <w:highlight w:val="none"/>
        </w:rPr>
        <w:t>次会议上</w:t>
      </w:r>
    </w:p>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ascii="Times New Roman" w:hAnsi="Times New Roman" w:eastAsia="楷体_GB2312"/>
          <w:color w:val="auto"/>
          <w:spacing w:val="0"/>
          <w:kern w:val="0"/>
          <w:sz w:val="30"/>
          <w:szCs w:val="28"/>
          <w:highlight w:val="none"/>
        </w:rPr>
      </w:pPr>
      <w:r>
        <w:rPr>
          <w:rFonts w:hint="eastAsia" w:ascii="Times New Roman" w:hAnsi="Times New Roman" w:eastAsia="楷体_GB2312"/>
          <w:color w:val="auto"/>
          <w:spacing w:val="0"/>
          <w:kern w:val="0"/>
          <w:sz w:val="32"/>
          <w:szCs w:val="32"/>
          <w:highlight w:val="none"/>
        </w:rPr>
        <w:t>保</w:t>
      </w:r>
      <w:r>
        <w:rPr>
          <w:rFonts w:ascii="Times New Roman" w:hAnsi="Times New Roman" w:eastAsia="楷体_GB2312"/>
          <w:color w:val="auto"/>
          <w:spacing w:val="0"/>
          <w:kern w:val="0"/>
          <w:sz w:val="32"/>
          <w:szCs w:val="32"/>
          <w:highlight w:val="none"/>
        </w:rPr>
        <w:t>定市徐水</w:t>
      </w:r>
      <w:r>
        <w:rPr>
          <w:rFonts w:hint="eastAsia" w:ascii="Times New Roman" w:hAnsi="Times New Roman" w:eastAsia="楷体_GB2312"/>
          <w:color w:val="auto"/>
          <w:spacing w:val="0"/>
          <w:kern w:val="0"/>
          <w:sz w:val="32"/>
          <w:szCs w:val="32"/>
          <w:highlight w:val="none"/>
        </w:rPr>
        <w:t>区</w:t>
      </w:r>
      <w:r>
        <w:rPr>
          <w:rFonts w:ascii="Times New Roman" w:hAnsi="Times New Roman" w:eastAsia="楷体_GB2312"/>
          <w:color w:val="auto"/>
          <w:spacing w:val="0"/>
          <w:kern w:val="0"/>
          <w:sz w:val="32"/>
          <w:szCs w:val="32"/>
          <w:highlight w:val="none"/>
        </w:rPr>
        <w:t xml:space="preserve">财政局局长  </w:t>
      </w:r>
      <w:r>
        <w:rPr>
          <w:rFonts w:hint="eastAsia" w:ascii="Times New Roman" w:hAnsi="Times New Roman" w:eastAsia="楷体_GB2312"/>
          <w:color w:val="auto"/>
          <w:spacing w:val="0"/>
          <w:kern w:val="0"/>
          <w:sz w:val="32"/>
          <w:szCs w:val="32"/>
          <w:highlight w:val="none"/>
          <w:lang w:eastAsia="zh-CN"/>
        </w:rPr>
        <w:t>江磊</w:t>
      </w:r>
    </w:p>
    <w:p>
      <w:pPr>
        <w:keepNext w:val="0"/>
        <w:keepLines w:val="0"/>
        <w:pageBreakBefore w:val="0"/>
        <w:widowControl w:val="0"/>
        <w:kinsoku/>
        <w:wordWrap/>
        <w:overflowPunct/>
        <w:topLinePunct/>
        <w:autoSpaceDE/>
        <w:autoSpaceDN/>
        <w:bidi w:val="0"/>
        <w:adjustRightInd/>
        <w:snapToGrid/>
        <w:spacing w:line="576" w:lineRule="exact"/>
        <w:jc w:val="both"/>
        <w:textAlignment w:val="auto"/>
        <w:rPr>
          <w:rFonts w:ascii="Times New Roman" w:hAnsi="Times New Roman" w:eastAsia="楷体_GB2312"/>
          <w:color w:val="auto"/>
          <w:spacing w:val="0"/>
          <w:kern w:val="0"/>
          <w:sz w:val="30"/>
          <w:szCs w:val="28"/>
          <w:highlight w:val="none"/>
        </w:rPr>
      </w:pPr>
    </w:p>
    <w:p>
      <w:pPr>
        <w:keepNext w:val="0"/>
        <w:keepLines w:val="0"/>
        <w:pageBreakBefore w:val="0"/>
        <w:widowControl w:val="0"/>
        <w:kinsoku/>
        <w:wordWrap/>
        <w:overflowPunct/>
        <w:topLinePunct/>
        <w:autoSpaceDE/>
        <w:autoSpaceDN/>
        <w:bidi w:val="0"/>
        <w:adjustRightInd/>
        <w:snapToGrid/>
        <w:spacing w:line="576" w:lineRule="exact"/>
        <w:jc w:val="both"/>
        <w:textAlignment w:val="auto"/>
        <w:rPr>
          <w:rFonts w:hint="eastAsia" w:ascii="Times New Roman" w:hAnsi="Times New Roman" w:eastAsia="方正仿宋_GBK" w:cs="方正仿宋_GBK"/>
          <w:b/>
          <w:color w:val="auto"/>
          <w:spacing w:val="0"/>
          <w:kern w:val="0"/>
          <w:sz w:val="32"/>
          <w:szCs w:val="32"/>
          <w:highlight w:val="none"/>
        </w:rPr>
      </w:pPr>
      <w:r>
        <w:rPr>
          <w:rFonts w:hint="eastAsia" w:ascii="Times New Roman" w:hAnsi="Times New Roman" w:eastAsia="方正仿宋_GBK" w:cs="方正仿宋_GBK"/>
          <w:b/>
          <w:color w:val="auto"/>
          <w:spacing w:val="0"/>
          <w:kern w:val="0"/>
          <w:sz w:val="32"/>
          <w:szCs w:val="32"/>
          <w:highlight w:val="none"/>
        </w:rPr>
        <w:t>各位代表：</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受区政府委托，我向大会报告2024年预算执行情况和2025年预算（草案），请予审议，并请各位政协委员和列席会议的同志提出意见。</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黑体_GBK" w:cs="方正黑体_GBK"/>
          <w:b w:val="0"/>
          <w:bCs w:val="0"/>
          <w:color w:val="auto"/>
          <w:spacing w:val="0"/>
          <w:kern w:val="0"/>
          <w:sz w:val="32"/>
          <w:szCs w:val="32"/>
          <w:highlight w:val="none"/>
          <w:lang w:val="en-US" w:eastAsia="zh-CN"/>
        </w:rPr>
      </w:pPr>
      <w:r>
        <w:rPr>
          <w:rFonts w:hint="eastAsia" w:ascii="Times New Roman" w:hAnsi="Times New Roman" w:eastAsia="方正黑体_GBK" w:cs="方正黑体_GBK"/>
          <w:b w:val="0"/>
          <w:bCs w:val="0"/>
          <w:color w:val="auto"/>
          <w:spacing w:val="0"/>
          <w:kern w:val="0"/>
          <w:sz w:val="32"/>
          <w:szCs w:val="32"/>
          <w:highlight w:val="none"/>
        </w:rPr>
        <w:t>一、</w:t>
      </w:r>
      <w:r>
        <w:rPr>
          <w:rFonts w:hint="eastAsia" w:ascii="Times New Roman" w:hAnsi="Times New Roman" w:eastAsia="方正黑体_GBK" w:cs="方正黑体_GBK"/>
          <w:b w:val="0"/>
          <w:bCs w:val="0"/>
          <w:color w:val="auto"/>
          <w:spacing w:val="0"/>
          <w:kern w:val="0"/>
          <w:sz w:val="32"/>
          <w:szCs w:val="32"/>
          <w:highlight w:val="none"/>
          <w:lang w:val="en-US"/>
        </w:rPr>
        <w:t>202</w:t>
      </w:r>
      <w:r>
        <w:rPr>
          <w:rFonts w:hint="eastAsia" w:ascii="Times New Roman" w:hAnsi="Times New Roman" w:eastAsia="方正黑体_GBK" w:cs="方正黑体_GBK"/>
          <w:b w:val="0"/>
          <w:bCs w:val="0"/>
          <w:color w:val="auto"/>
          <w:spacing w:val="0"/>
          <w:kern w:val="0"/>
          <w:sz w:val="32"/>
          <w:szCs w:val="32"/>
          <w:highlight w:val="none"/>
          <w:lang w:val="en-US" w:eastAsia="zh-CN"/>
        </w:rPr>
        <w:t>4年预算执行情况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宋体" w:cs="微软雅黑"/>
          <w:i w:val="0"/>
          <w:iCs w:val="0"/>
          <w:caps w:val="0"/>
          <w:color w:val="auto"/>
          <w:spacing w:val="0"/>
          <w:kern w:val="0"/>
          <w:sz w:val="20"/>
          <w:szCs w:val="20"/>
          <w:highlight w:val="none"/>
          <w:shd w:val="clear" w:color="auto" w:fill="FFFFFF"/>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w:t>
      </w:r>
      <w:r>
        <w:rPr>
          <w:rFonts w:hint="eastAsia" w:ascii="Times New Roman" w:hAnsi="Times New Roman" w:eastAsia="方正仿宋_GBK" w:cs="Times New Roman"/>
          <w:color w:val="auto"/>
          <w:spacing w:val="0"/>
          <w:kern w:val="0"/>
          <w:sz w:val="32"/>
          <w:szCs w:val="32"/>
          <w:highlight w:val="none"/>
          <w:lang w:val="zh-CN" w:eastAsia="zh-CN"/>
        </w:rPr>
        <w:t>在区委的</w:t>
      </w:r>
      <w:r>
        <w:rPr>
          <w:rFonts w:hint="eastAsia" w:ascii="Times New Roman" w:hAnsi="Times New Roman" w:eastAsia="方正仿宋_GBK" w:cs="Times New Roman"/>
          <w:color w:val="auto"/>
          <w:spacing w:val="0"/>
          <w:kern w:val="0"/>
          <w:sz w:val="32"/>
          <w:szCs w:val="32"/>
          <w:highlight w:val="none"/>
          <w:lang w:val="en-US" w:eastAsia="zh-CN"/>
        </w:rPr>
        <w:t>坚强</w:t>
      </w:r>
      <w:r>
        <w:rPr>
          <w:rFonts w:hint="eastAsia" w:ascii="Times New Roman" w:hAnsi="Times New Roman" w:eastAsia="方正仿宋_GBK" w:cs="Times New Roman"/>
          <w:color w:val="auto"/>
          <w:spacing w:val="0"/>
          <w:kern w:val="0"/>
          <w:sz w:val="32"/>
          <w:szCs w:val="32"/>
          <w:highlight w:val="none"/>
          <w:lang w:val="zh-CN" w:eastAsia="zh-CN"/>
        </w:rPr>
        <w:t>领导下，在区人大及其常委会、区政协的有效监督和大力支持下，全区</w:t>
      </w:r>
      <w:r>
        <w:rPr>
          <w:rFonts w:hint="eastAsia" w:ascii="Times New Roman" w:hAnsi="Times New Roman" w:eastAsia="方正仿宋_GBK" w:cs="Times New Roman"/>
          <w:color w:val="auto"/>
          <w:spacing w:val="0"/>
          <w:kern w:val="0"/>
          <w:sz w:val="32"/>
          <w:szCs w:val="32"/>
          <w:highlight w:val="none"/>
          <w:lang w:val="en-US" w:eastAsia="zh-CN"/>
        </w:rPr>
        <w:t>财政坚持以习近平新时代中国特色社会主义思想为指导，全面贯彻党的二十大和二十届二中、三中全会精神，认真落实中央经济工作会议部署及省委、市委、区委各项决策部署，坚持稳中求进、以进促稳、先立后破，加力提效实施积极的财政政策，努力加强组织收入</w:t>
      </w:r>
      <w:r>
        <w:rPr>
          <w:rFonts w:hint="eastAsia" w:eastAsia="方正仿宋_GBK" w:cs="Times New Roman"/>
          <w:color w:val="auto"/>
          <w:spacing w:val="0"/>
          <w:kern w:val="0"/>
          <w:sz w:val="32"/>
          <w:szCs w:val="32"/>
          <w:highlight w:val="none"/>
          <w:lang w:val="en-US" w:eastAsia="zh-CN"/>
        </w:rPr>
        <w:t>工作</w:t>
      </w:r>
      <w:r>
        <w:rPr>
          <w:rFonts w:hint="eastAsia" w:ascii="Times New Roman" w:hAnsi="Times New Roman" w:eastAsia="方正仿宋_GBK" w:cs="Times New Roman"/>
          <w:color w:val="auto"/>
          <w:spacing w:val="0"/>
          <w:kern w:val="0"/>
          <w:sz w:val="32"/>
          <w:szCs w:val="32"/>
          <w:highlight w:val="none"/>
          <w:lang w:val="en-US" w:eastAsia="zh-CN"/>
        </w:rPr>
        <w:t>，着力落实党政机关过“紧日子”要求，</w:t>
      </w:r>
      <w:r>
        <w:rPr>
          <w:rFonts w:hint="eastAsia" w:ascii="Times New Roman" w:hAnsi="Times New Roman" w:eastAsia="方正仿宋_GBK" w:cs="Times New Roman"/>
          <w:color w:val="auto"/>
          <w:spacing w:val="0"/>
          <w:kern w:val="0"/>
          <w:sz w:val="32"/>
          <w:szCs w:val="32"/>
          <w:highlight w:val="none"/>
          <w:u w:val="none"/>
          <w:lang w:val="en-US" w:eastAsia="zh-CN"/>
        </w:rPr>
        <w:t>进一步优化支出结构</w:t>
      </w:r>
      <w:r>
        <w:rPr>
          <w:rFonts w:hint="eastAsia" w:ascii="Times New Roman" w:hAnsi="Times New Roman" w:eastAsia="方正仿宋_GBK" w:cs="Times New Roman"/>
          <w:color w:val="auto"/>
          <w:spacing w:val="0"/>
          <w:kern w:val="0"/>
          <w:sz w:val="32"/>
          <w:szCs w:val="32"/>
          <w:highlight w:val="none"/>
          <w:lang w:val="en-US" w:eastAsia="zh-CN"/>
        </w:rPr>
        <w:t>，全区财政在极为困难的局面下实现了平稳运行，为加快建设新时代经济强区美丽徐水、奋力谱写中国式现代化徐水篇章提供了坚实的财力保障。</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color w:val="auto"/>
          <w:spacing w:val="0"/>
          <w:kern w:val="0"/>
          <w:sz w:val="32"/>
          <w:szCs w:val="32"/>
          <w:highlight w:val="none"/>
          <w:u w:val="none"/>
        </w:rPr>
      </w:pPr>
      <w:r>
        <w:rPr>
          <w:rFonts w:hint="eastAsia" w:ascii="Times New Roman" w:hAnsi="Times New Roman" w:eastAsia="方正楷体_GBK" w:cs="方正楷体_GBK"/>
          <w:b w:val="0"/>
          <w:bCs/>
          <w:color w:val="auto"/>
          <w:spacing w:val="0"/>
          <w:kern w:val="0"/>
          <w:sz w:val="32"/>
          <w:szCs w:val="32"/>
          <w:highlight w:val="none"/>
          <w:u w:val="none"/>
        </w:rPr>
        <w:t>（一）一般公共预算执行情况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b/>
          <w:bCs w:val="0"/>
          <w:color w:val="auto"/>
          <w:spacing w:val="0"/>
          <w:kern w:val="0"/>
          <w:sz w:val="32"/>
          <w:szCs w:val="32"/>
          <w:highlight w:val="none"/>
          <w:u w:val="none"/>
        </w:rPr>
      </w:pPr>
      <w:r>
        <w:rPr>
          <w:rFonts w:ascii="Times New Roman" w:hAnsi="Times New Roman" w:eastAsia="方正仿宋_GBK"/>
          <w:b/>
          <w:bCs w:val="0"/>
          <w:color w:val="auto"/>
          <w:spacing w:val="0"/>
          <w:kern w:val="0"/>
          <w:sz w:val="32"/>
          <w:szCs w:val="32"/>
          <w:highlight w:val="none"/>
          <w:u w:val="none"/>
        </w:rPr>
        <w:t>1</w:t>
      </w:r>
      <w:r>
        <w:rPr>
          <w:rFonts w:hint="eastAsia" w:ascii="Times New Roman" w:hAnsi="Times New Roman" w:eastAsia="方正仿宋_GBK" w:cs="仿宋"/>
          <w:b/>
          <w:bCs w:val="0"/>
          <w:color w:val="auto"/>
          <w:spacing w:val="0"/>
          <w:kern w:val="0"/>
          <w:sz w:val="32"/>
          <w:szCs w:val="32"/>
          <w:highlight w:val="none"/>
          <w:u w:val="none"/>
        </w:rPr>
        <w:t>.</w:t>
      </w:r>
      <w:r>
        <w:rPr>
          <w:rFonts w:hint="eastAsia" w:ascii="Times New Roman" w:hAnsi="Times New Roman" w:eastAsia="方正仿宋_GBK" w:cs="方正仿宋_GBK"/>
          <w:b/>
          <w:bCs w:val="0"/>
          <w:color w:val="auto"/>
          <w:spacing w:val="0"/>
          <w:kern w:val="0"/>
          <w:sz w:val="32"/>
          <w:szCs w:val="32"/>
          <w:highlight w:val="none"/>
          <w:u w:val="none"/>
        </w:rPr>
        <w:t>一般公共预算收入</w:t>
      </w:r>
      <w:r>
        <w:rPr>
          <w:rFonts w:hint="eastAsia" w:ascii="Times New Roman" w:hAnsi="Times New Roman" w:eastAsia="方正仿宋_GBK" w:cs="方正仿宋_GBK"/>
          <w:b/>
          <w:bCs w:val="0"/>
          <w:color w:val="auto"/>
          <w:spacing w:val="0"/>
          <w:kern w:val="0"/>
          <w:sz w:val="32"/>
          <w:szCs w:val="32"/>
          <w:highlight w:val="none"/>
          <w:u w:val="none"/>
          <w:lang w:val="en-US" w:eastAsia="zh-CN"/>
        </w:rPr>
        <w:t>完成</w:t>
      </w:r>
      <w:r>
        <w:rPr>
          <w:rFonts w:hint="eastAsia" w:ascii="Times New Roman" w:hAnsi="Times New Roman" w:eastAsia="方正仿宋_GBK" w:cs="方正仿宋_GBK"/>
          <w:b/>
          <w:bCs w:val="0"/>
          <w:color w:val="auto"/>
          <w:spacing w:val="0"/>
          <w:kern w:val="0"/>
          <w:sz w:val="32"/>
          <w:szCs w:val="32"/>
          <w:highlight w:val="none"/>
          <w:u w:val="none"/>
        </w:rPr>
        <w:t>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2024年，一般公共预算收入完成</w:t>
      </w:r>
      <w:r>
        <w:rPr>
          <w:rFonts w:hint="default" w:ascii="Times New Roman" w:hAnsi="Times New Roman" w:eastAsia="方正仿宋_GBK" w:cs="Times New Roman"/>
          <w:color w:val="auto"/>
          <w:spacing w:val="0"/>
          <w:kern w:val="0"/>
          <w:sz w:val="32"/>
          <w:szCs w:val="32"/>
          <w:highlight w:val="none"/>
          <w:lang w:val="en-US" w:eastAsia="zh-CN"/>
        </w:rPr>
        <w:t>22.8</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103.8</w:t>
      </w:r>
      <w:r>
        <w:rPr>
          <w:rFonts w:hint="eastAsia" w:ascii="Times New Roman" w:hAnsi="Times New Roman" w:eastAsia="方正仿宋_GBK" w:cs="Times New Roman"/>
          <w:color w:val="auto"/>
          <w:spacing w:val="0"/>
          <w:kern w:val="0"/>
          <w:sz w:val="32"/>
          <w:szCs w:val="32"/>
          <w:highlight w:val="none"/>
          <w:lang w:val="en-US" w:eastAsia="zh-CN"/>
        </w:rPr>
        <w:t>%，超收</w:t>
      </w:r>
      <w:r>
        <w:rPr>
          <w:rFonts w:hint="default" w:ascii="Times New Roman" w:hAnsi="Times New Roman" w:eastAsia="方正仿宋_GBK" w:cs="Times New Roman"/>
          <w:color w:val="auto"/>
          <w:spacing w:val="0"/>
          <w:kern w:val="0"/>
          <w:sz w:val="32"/>
          <w:szCs w:val="32"/>
          <w:highlight w:val="none"/>
          <w:lang w:val="en-US" w:eastAsia="zh-CN"/>
        </w:rPr>
        <w:t>8456</w:t>
      </w:r>
      <w:r>
        <w:rPr>
          <w:rFonts w:hint="eastAsia" w:ascii="Times New Roman" w:hAnsi="Times New Roman" w:eastAsia="方正仿宋_GBK" w:cs="Times New Roman"/>
          <w:color w:val="auto"/>
          <w:spacing w:val="0"/>
          <w:kern w:val="0"/>
          <w:sz w:val="32"/>
          <w:szCs w:val="32"/>
          <w:highlight w:val="none"/>
          <w:lang w:val="en-US" w:eastAsia="zh-CN"/>
        </w:rPr>
        <w:t>万元，较上年增长</w:t>
      </w:r>
      <w:r>
        <w:rPr>
          <w:rFonts w:hint="default" w:ascii="Times New Roman" w:hAnsi="Times New Roman" w:eastAsia="方正仿宋_GBK" w:cs="Times New Roman"/>
          <w:color w:val="auto"/>
          <w:spacing w:val="0"/>
          <w:kern w:val="0"/>
          <w:sz w:val="32"/>
          <w:szCs w:val="32"/>
          <w:highlight w:val="none"/>
          <w:lang w:val="en-US" w:eastAsia="zh-CN"/>
        </w:rPr>
        <w:t>13.5</w:t>
      </w:r>
      <w:r>
        <w:rPr>
          <w:rFonts w:hint="eastAsia" w:ascii="Times New Roman" w:hAnsi="Times New Roman" w:eastAsia="方正仿宋_GBK" w:cs="Times New Roman"/>
          <w:color w:val="auto"/>
          <w:spacing w:val="0"/>
          <w:kern w:val="0"/>
          <w:sz w:val="32"/>
          <w:szCs w:val="32"/>
          <w:highlight w:val="none"/>
          <w:lang w:val="en-US" w:eastAsia="zh-CN"/>
        </w:rPr>
        <w:t>%，增收</w:t>
      </w:r>
      <w:r>
        <w:rPr>
          <w:rFonts w:hint="default" w:ascii="Times New Roman" w:hAnsi="Times New Roman" w:eastAsia="方正仿宋_GBK" w:cs="Times New Roman"/>
          <w:color w:val="auto"/>
          <w:spacing w:val="0"/>
          <w:kern w:val="0"/>
          <w:sz w:val="32"/>
          <w:szCs w:val="32"/>
          <w:highlight w:val="none"/>
          <w:lang w:val="en-US" w:eastAsia="zh-CN"/>
        </w:rPr>
        <w:t>2.7</w:t>
      </w:r>
      <w:r>
        <w:rPr>
          <w:rFonts w:hint="eastAsia" w:ascii="Times New Roman" w:hAnsi="Times New Roman" w:eastAsia="方正仿宋_GBK" w:cs="Times New Roman"/>
          <w:color w:val="auto"/>
          <w:spacing w:val="0"/>
          <w:kern w:val="0"/>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b/>
          <w:bCs w:val="0"/>
          <w:color w:val="auto"/>
          <w:spacing w:val="0"/>
          <w:kern w:val="0"/>
          <w:sz w:val="32"/>
          <w:szCs w:val="32"/>
          <w:highlight w:val="none"/>
          <w:u w:val="none"/>
        </w:rPr>
      </w:pPr>
      <w:r>
        <w:rPr>
          <w:rFonts w:ascii="Times New Roman" w:hAnsi="Times New Roman" w:eastAsia="方正仿宋_GBK"/>
          <w:b/>
          <w:bCs w:val="0"/>
          <w:color w:val="auto"/>
          <w:spacing w:val="0"/>
          <w:kern w:val="0"/>
          <w:sz w:val="32"/>
          <w:szCs w:val="32"/>
          <w:highlight w:val="none"/>
          <w:u w:val="none"/>
        </w:rPr>
        <w:t>2</w:t>
      </w:r>
      <w:r>
        <w:rPr>
          <w:rFonts w:hint="eastAsia" w:ascii="Times New Roman" w:hAnsi="Times New Roman" w:eastAsia="方正仿宋_GBK" w:cs="仿宋"/>
          <w:b/>
          <w:bCs w:val="0"/>
          <w:color w:val="auto"/>
          <w:spacing w:val="0"/>
          <w:kern w:val="0"/>
          <w:sz w:val="32"/>
          <w:szCs w:val="32"/>
          <w:highlight w:val="none"/>
          <w:u w:val="none"/>
        </w:rPr>
        <w:t>.</w:t>
      </w:r>
      <w:r>
        <w:rPr>
          <w:rFonts w:hint="eastAsia" w:ascii="Times New Roman" w:hAnsi="Times New Roman" w:eastAsia="方正仿宋_GBK" w:cs="宋体"/>
          <w:b/>
          <w:bCs w:val="0"/>
          <w:color w:val="auto"/>
          <w:spacing w:val="0"/>
          <w:kern w:val="0"/>
          <w:sz w:val="32"/>
          <w:szCs w:val="32"/>
          <w:highlight w:val="none"/>
          <w:u w:val="none"/>
        </w:rPr>
        <w:t>一</w:t>
      </w:r>
      <w:r>
        <w:rPr>
          <w:rFonts w:ascii="Times New Roman" w:hAnsi="Times New Roman" w:eastAsia="方正仿宋_GBK" w:cs="宋体"/>
          <w:b/>
          <w:bCs w:val="0"/>
          <w:color w:val="auto"/>
          <w:spacing w:val="0"/>
          <w:kern w:val="0"/>
          <w:sz w:val="32"/>
          <w:szCs w:val="32"/>
          <w:highlight w:val="none"/>
          <w:u w:val="none"/>
        </w:rPr>
        <w:t>般</w:t>
      </w:r>
      <w:r>
        <w:rPr>
          <w:rFonts w:hint="eastAsia" w:ascii="Times New Roman" w:hAnsi="Times New Roman" w:eastAsia="方正仿宋_GBK" w:cs="宋体"/>
          <w:b/>
          <w:bCs w:val="0"/>
          <w:color w:val="auto"/>
          <w:spacing w:val="0"/>
          <w:kern w:val="0"/>
          <w:sz w:val="32"/>
          <w:szCs w:val="32"/>
          <w:highlight w:val="none"/>
          <w:u w:val="none"/>
        </w:rPr>
        <w:t>公共预算支出执行情况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2024年，一般公共预算支出完成</w:t>
      </w:r>
      <w:r>
        <w:rPr>
          <w:rFonts w:hint="default" w:ascii="Times New Roman" w:hAnsi="Times New Roman" w:eastAsia="方正仿宋_GBK" w:cs="Times New Roman"/>
          <w:color w:val="auto"/>
          <w:spacing w:val="0"/>
          <w:kern w:val="0"/>
          <w:sz w:val="32"/>
          <w:szCs w:val="32"/>
          <w:highlight w:val="none"/>
          <w:lang w:val="en-US" w:eastAsia="zh-CN"/>
        </w:rPr>
        <w:t>45.2</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93.5</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9.2%</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3.8</w:t>
      </w:r>
      <w:r>
        <w:rPr>
          <w:rFonts w:hint="eastAsia" w:ascii="Times New Roman" w:hAnsi="Times New Roman" w:eastAsia="方正仿宋_GBK" w:cs="Times New Roman"/>
          <w:color w:val="auto"/>
          <w:spacing w:val="0"/>
          <w:kern w:val="0"/>
          <w:sz w:val="32"/>
          <w:szCs w:val="32"/>
          <w:highlight w:val="none"/>
          <w:lang w:val="en-US" w:eastAsia="zh-CN"/>
        </w:rPr>
        <w:t>亿元。主要支出项目完成情况是：</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一般公共服务支出完成</w:t>
      </w:r>
      <w:r>
        <w:rPr>
          <w:rFonts w:hint="default" w:ascii="Times New Roman" w:hAnsi="Times New Roman" w:eastAsia="方正仿宋_GBK" w:cs="Times New Roman"/>
          <w:color w:val="auto"/>
          <w:spacing w:val="0"/>
          <w:kern w:val="0"/>
          <w:sz w:val="32"/>
          <w:szCs w:val="32"/>
          <w:highlight w:val="none"/>
          <w:lang w:val="en-US" w:eastAsia="zh-CN"/>
        </w:rPr>
        <w:t>5.1</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33.4</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1.3</w:t>
      </w:r>
      <w:r>
        <w:rPr>
          <w:rFonts w:hint="eastAsia" w:ascii="Times New Roman" w:hAnsi="Times New Roman" w:eastAsia="方正仿宋_GBK" w:cs="Times New Roman"/>
          <w:color w:val="auto"/>
          <w:spacing w:val="0"/>
          <w:kern w:val="0"/>
          <w:sz w:val="32"/>
          <w:szCs w:val="32"/>
          <w:highlight w:val="none"/>
          <w:lang w:val="en-US" w:eastAsia="zh-CN"/>
        </w:rPr>
        <w:t>亿元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公共安全支出完成</w:t>
      </w:r>
      <w:r>
        <w:rPr>
          <w:rFonts w:hint="default" w:ascii="Times New Roman" w:hAnsi="Times New Roman" w:eastAsia="方正仿宋_GBK" w:cs="Times New Roman"/>
          <w:color w:val="auto"/>
          <w:spacing w:val="0"/>
          <w:kern w:val="0"/>
          <w:sz w:val="32"/>
          <w:szCs w:val="32"/>
          <w:highlight w:val="none"/>
          <w:lang w:val="en-US" w:eastAsia="zh-CN"/>
        </w:rPr>
        <w:t>1.3</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99.8%</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12.1</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1823</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教育支出完成</w:t>
      </w:r>
      <w:r>
        <w:rPr>
          <w:rFonts w:hint="default" w:ascii="Times New Roman" w:hAnsi="Times New Roman" w:eastAsia="方正仿宋_GBK" w:cs="Times New Roman"/>
          <w:color w:val="auto"/>
          <w:spacing w:val="0"/>
          <w:kern w:val="0"/>
          <w:sz w:val="32"/>
          <w:szCs w:val="32"/>
          <w:highlight w:val="none"/>
          <w:lang w:val="en-US" w:eastAsia="zh-CN"/>
        </w:rPr>
        <w:t>12.5</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0.3</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341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科学技术支出完成</w:t>
      </w:r>
      <w:r>
        <w:rPr>
          <w:rFonts w:hint="default" w:ascii="Times New Roman" w:hAnsi="Times New Roman" w:eastAsia="方正仿宋_GBK" w:cs="Times New Roman"/>
          <w:color w:val="auto"/>
          <w:spacing w:val="0"/>
          <w:kern w:val="0"/>
          <w:sz w:val="32"/>
          <w:szCs w:val="32"/>
          <w:highlight w:val="none"/>
          <w:lang w:val="en-US" w:eastAsia="zh-CN"/>
        </w:rPr>
        <w:t>7000</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11.7</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733</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文化体育与传媒支出完成</w:t>
      </w:r>
      <w:r>
        <w:rPr>
          <w:rFonts w:hint="default" w:ascii="Times New Roman" w:hAnsi="Times New Roman" w:eastAsia="方正仿宋_GBK" w:cs="Times New Roman"/>
          <w:color w:val="auto"/>
          <w:spacing w:val="0"/>
          <w:kern w:val="0"/>
          <w:sz w:val="32"/>
          <w:szCs w:val="32"/>
          <w:highlight w:val="none"/>
          <w:lang w:val="en-US" w:eastAsia="zh-CN"/>
        </w:rPr>
        <w:t>2944</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0.7</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21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社会保障和就业支出完成</w:t>
      </w:r>
      <w:r>
        <w:rPr>
          <w:rFonts w:hint="default" w:ascii="Times New Roman" w:hAnsi="Times New Roman" w:eastAsia="方正仿宋_GBK" w:cs="Times New Roman"/>
          <w:color w:val="auto"/>
          <w:spacing w:val="0"/>
          <w:kern w:val="0"/>
          <w:sz w:val="32"/>
          <w:szCs w:val="32"/>
          <w:highlight w:val="none"/>
          <w:lang w:val="en-US" w:eastAsia="zh-CN"/>
        </w:rPr>
        <w:t>6.9</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12.9</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1</w:t>
      </w:r>
      <w:r>
        <w:rPr>
          <w:rFonts w:hint="eastAsia" w:ascii="Times New Roman" w:hAnsi="Times New Roman" w:eastAsia="方正仿宋_GBK" w:cs="Times New Roman"/>
          <w:color w:val="auto"/>
          <w:spacing w:val="0"/>
          <w:kern w:val="0"/>
          <w:sz w:val="32"/>
          <w:szCs w:val="32"/>
          <w:highlight w:val="none"/>
          <w:lang w:val="en-US" w:eastAsia="zh-CN"/>
        </w:rPr>
        <w:t>亿元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卫生健康支出完成</w:t>
      </w:r>
      <w:r>
        <w:rPr>
          <w:rFonts w:hint="default" w:ascii="Times New Roman" w:hAnsi="Times New Roman" w:eastAsia="方正仿宋_GBK" w:cs="Times New Roman"/>
          <w:color w:val="auto"/>
          <w:spacing w:val="0"/>
          <w:kern w:val="0"/>
          <w:sz w:val="32"/>
          <w:szCs w:val="32"/>
          <w:highlight w:val="none"/>
          <w:lang w:val="en-US" w:eastAsia="zh-CN"/>
        </w:rPr>
        <w:t>3.5</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1.5</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518</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节能环保支出完成</w:t>
      </w:r>
      <w:r>
        <w:rPr>
          <w:rFonts w:hint="default" w:ascii="Times New Roman" w:hAnsi="Times New Roman" w:eastAsia="方正仿宋_GBK" w:cs="Times New Roman"/>
          <w:color w:val="auto"/>
          <w:spacing w:val="0"/>
          <w:kern w:val="0"/>
          <w:sz w:val="32"/>
          <w:szCs w:val="32"/>
          <w:highlight w:val="none"/>
          <w:lang w:val="en-US" w:eastAsia="zh-CN"/>
        </w:rPr>
        <w:t>3874</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77.1</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1.3</w:t>
      </w:r>
      <w:r>
        <w:rPr>
          <w:rFonts w:hint="eastAsia" w:ascii="Times New Roman" w:hAnsi="Times New Roman" w:eastAsia="方正仿宋_GBK" w:cs="Times New Roman"/>
          <w:color w:val="auto"/>
          <w:spacing w:val="0"/>
          <w:kern w:val="0"/>
          <w:sz w:val="32"/>
          <w:szCs w:val="32"/>
          <w:highlight w:val="none"/>
          <w:lang w:val="en-US" w:eastAsia="zh-CN"/>
        </w:rPr>
        <w:t>亿元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城乡社区支出完成</w:t>
      </w:r>
      <w:r>
        <w:rPr>
          <w:rFonts w:hint="default" w:ascii="Times New Roman" w:hAnsi="Times New Roman" w:eastAsia="方正仿宋_GBK" w:cs="Times New Roman"/>
          <w:color w:val="auto"/>
          <w:spacing w:val="0"/>
          <w:kern w:val="0"/>
          <w:sz w:val="32"/>
          <w:szCs w:val="32"/>
          <w:highlight w:val="none"/>
          <w:lang w:val="en-US" w:eastAsia="zh-CN"/>
        </w:rPr>
        <w:t>1.6</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90.4</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33.1</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8001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农林水支出完成</w:t>
      </w:r>
      <w:r>
        <w:rPr>
          <w:rFonts w:hint="default" w:ascii="Times New Roman" w:hAnsi="Times New Roman" w:eastAsia="方正仿宋_GBK" w:cs="Times New Roman"/>
          <w:color w:val="auto"/>
          <w:spacing w:val="0"/>
          <w:kern w:val="0"/>
          <w:sz w:val="32"/>
          <w:szCs w:val="32"/>
          <w:highlight w:val="none"/>
          <w:lang w:val="en-US" w:eastAsia="zh-CN"/>
        </w:rPr>
        <w:t>4</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93.8</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6</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2281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交通运输支出完成</w:t>
      </w:r>
      <w:r>
        <w:rPr>
          <w:rFonts w:hint="default" w:ascii="Times New Roman" w:hAnsi="Times New Roman" w:eastAsia="方正仿宋_GBK" w:cs="Times New Roman"/>
          <w:color w:val="auto"/>
          <w:spacing w:val="0"/>
          <w:kern w:val="0"/>
          <w:sz w:val="32"/>
          <w:szCs w:val="32"/>
          <w:highlight w:val="none"/>
          <w:lang w:val="en-US" w:eastAsia="zh-CN"/>
        </w:rPr>
        <w:t>6234</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0.02</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资源勘探工业信息等支出完成</w:t>
      </w:r>
      <w:r>
        <w:rPr>
          <w:rFonts w:hint="default" w:ascii="Times New Roman" w:hAnsi="Times New Roman" w:eastAsia="方正仿宋_GBK" w:cs="Times New Roman"/>
          <w:color w:val="auto"/>
          <w:spacing w:val="0"/>
          <w:kern w:val="0"/>
          <w:sz w:val="32"/>
          <w:szCs w:val="32"/>
          <w:highlight w:val="none"/>
          <w:lang w:val="en-US" w:eastAsia="zh-CN"/>
        </w:rPr>
        <w:t>57</w:t>
      </w:r>
      <w:r>
        <w:rPr>
          <w:rFonts w:hint="eastAsia" w:eastAsia="方正仿宋_GBK" w:cs="Times New Roman"/>
          <w:color w:val="auto"/>
          <w:spacing w:val="0"/>
          <w:kern w:val="0"/>
          <w:sz w:val="32"/>
          <w:szCs w:val="32"/>
          <w:highlight w:val="none"/>
          <w:lang w:val="en-US" w:eastAsia="zh-CN"/>
        </w:rPr>
        <w:t>2</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5.6</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34</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商业服务业等支出完成</w:t>
      </w:r>
      <w:r>
        <w:rPr>
          <w:rFonts w:hint="default" w:ascii="Times New Roman" w:hAnsi="Times New Roman" w:eastAsia="方正仿宋_GBK" w:cs="Times New Roman"/>
          <w:color w:val="auto"/>
          <w:spacing w:val="0"/>
          <w:kern w:val="0"/>
          <w:sz w:val="32"/>
          <w:szCs w:val="32"/>
          <w:highlight w:val="none"/>
          <w:lang w:val="en-US" w:eastAsia="zh-CN"/>
        </w:rPr>
        <w:t>226</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49</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217</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金融支出完成</w:t>
      </w:r>
      <w:r>
        <w:rPr>
          <w:rFonts w:hint="default" w:ascii="Times New Roman" w:hAnsi="Times New Roman" w:eastAsia="方正仿宋_GBK" w:cs="Times New Roman"/>
          <w:color w:val="auto"/>
          <w:spacing w:val="0"/>
          <w:kern w:val="0"/>
          <w:sz w:val="32"/>
          <w:szCs w:val="32"/>
          <w:highlight w:val="none"/>
          <w:lang w:val="en-US" w:eastAsia="zh-CN"/>
        </w:rPr>
        <w:t>33</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70.3</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78</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自然资源海洋气象等支出完成</w:t>
      </w:r>
      <w:r>
        <w:rPr>
          <w:rFonts w:hint="default" w:ascii="Times New Roman" w:hAnsi="Times New Roman" w:eastAsia="方正仿宋_GBK" w:cs="Times New Roman"/>
          <w:color w:val="auto"/>
          <w:spacing w:val="0"/>
          <w:kern w:val="0"/>
          <w:sz w:val="32"/>
          <w:szCs w:val="32"/>
          <w:highlight w:val="none"/>
          <w:lang w:val="en-US" w:eastAsia="zh-CN"/>
        </w:rPr>
        <w:t>6142</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27.4</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2321</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住房保障支出完成</w:t>
      </w:r>
      <w:r>
        <w:rPr>
          <w:rFonts w:hint="default" w:ascii="Times New Roman" w:hAnsi="Times New Roman" w:eastAsia="方正仿宋_GBK" w:cs="Times New Roman"/>
          <w:color w:val="auto"/>
          <w:spacing w:val="0"/>
          <w:kern w:val="0"/>
          <w:sz w:val="32"/>
          <w:szCs w:val="32"/>
          <w:highlight w:val="none"/>
          <w:lang w:val="en-US" w:eastAsia="zh-CN"/>
        </w:rPr>
        <w:t>4450</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53.4%</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5109</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粮油物资储备支出完成</w:t>
      </w:r>
      <w:r>
        <w:rPr>
          <w:rFonts w:hint="default" w:ascii="Times New Roman" w:hAnsi="Times New Roman" w:eastAsia="方正仿宋_GBK" w:cs="Times New Roman"/>
          <w:color w:val="auto"/>
          <w:spacing w:val="0"/>
          <w:kern w:val="0"/>
          <w:sz w:val="32"/>
          <w:szCs w:val="32"/>
          <w:highlight w:val="none"/>
          <w:lang w:val="en-US" w:eastAsia="zh-CN"/>
        </w:rPr>
        <w:t>436</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3.1</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14</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灾害防治及应急管理支出完成</w:t>
      </w:r>
      <w:r>
        <w:rPr>
          <w:rFonts w:hint="default" w:ascii="Times New Roman" w:hAnsi="Times New Roman" w:eastAsia="方正仿宋_GBK" w:cs="Times New Roman"/>
          <w:color w:val="auto"/>
          <w:spacing w:val="0"/>
          <w:kern w:val="0"/>
          <w:sz w:val="32"/>
          <w:szCs w:val="32"/>
          <w:highlight w:val="none"/>
          <w:lang w:val="en-US" w:eastAsia="zh-CN"/>
        </w:rPr>
        <w:t>6.6</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71</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1765</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6.</w:t>
      </w:r>
      <w:r>
        <w:rPr>
          <w:rFonts w:hint="eastAsia" w:ascii="Times New Roman" w:hAnsi="Times New Roman" w:eastAsia="方正仿宋_GBK" w:cs="Times New Roman"/>
          <w:color w:val="auto"/>
          <w:spacing w:val="0"/>
          <w:kern w:val="0"/>
          <w:sz w:val="32"/>
          <w:szCs w:val="32"/>
          <w:highlight w:val="none"/>
          <w:lang w:val="en-US" w:eastAsia="zh-CN"/>
        </w:rPr>
        <w:t>3亿元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债务付息支出完成</w:t>
      </w:r>
      <w:r>
        <w:rPr>
          <w:rFonts w:hint="default" w:ascii="Times New Roman" w:hAnsi="Times New Roman" w:eastAsia="方正仿宋_GBK" w:cs="Times New Roman"/>
          <w:color w:val="auto"/>
          <w:spacing w:val="0"/>
          <w:kern w:val="0"/>
          <w:sz w:val="32"/>
          <w:szCs w:val="32"/>
          <w:highlight w:val="none"/>
          <w:lang w:val="en-US" w:eastAsia="zh-CN"/>
        </w:rPr>
        <w:t>4847</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9</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400</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债务发行费用支出完成</w:t>
      </w:r>
      <w:r>
        <w:rPr>
          <w:rFonts w:hint="default" w:ascii="Times New Roman" w:hAnsi="Times New Roman" w:eastAsia="方正仿宋_GBK" w:cs="Times New Roman"/>
          <w:color w:val="auto"/>
          <w:spacing w:val="0"/>
          <w:kern w:val="0"/>
          <w:sz w:val="32"/>
          <w:szCs w:val="32"/>
          <w:highlight w:val="none"/>
          <w:lang w:val="en-US" w:eastAsia="zh-CN"/>
        </w:rPr>
        <w:t>27</w:t>
      </w:r>
      <w:r>
        <w:rPr>
          <w:rFonts w:hint="eastAsia" w:ascii="Times New Roman" w:hAnsi="Times New Roman" w:eastAsia="方正仿宋_GBK" w:cs="Times New Roman"/>
          <w:color w:val="auto"/>
          <w:spacing w:val="0"/>
          <w:kern w:val="0"/>
          <w:sz w:val="32"/>
          <w:szCs w:val="32"/>
          <w:highlight w:val="none"/>
          <w:lang w:val="en-US" w:eastAsia="zh-CN"/>
        </w:rPr>
        <w:t>万元，占调整预算的</w:t>
      </w:r>
      <w:r>
        <w:rPr>
          <w:rFonts w:hint="default" w:ascii="Times New Roman" w:hAnsi="Times New Roman" w:eastAsia="方正仿宋_GBK" w:cs="Times New Roman"/>
          <w:color w:val="auto"/>
          <w:spacing w:val="0"/>
          <w:kern w:val="0"/>
          <w:sz w:val="32"/>
          <w:szCs w:val="32"/>
          <w:highlight w:val="none"/>
          <w:lang w:val="en-US" w:eastAsia="zh-CN"/>
        </w:rPr>
        <w:t>100</w:t>
      </w:r>
      <w:r>
        <w:rPr>
          <w:rFonts w:hint="eastAsia" w:ascii="Times New Roman" w:hAnsi="Times New Roman" w:eastAsia="方正仿宋_GBK" w:cs="Times New Roman"/>
          <w:color w:val="auto"/>
          <w:spacing w:val="0"/>
          <w:kern w:val="0"/>
          <w:sz w:val="32"/>
          <w:szCs w:val="32"/>
          <w:highlight w:val="none"/>
          <w:lang w:val="en-US" w:eastAsia="zh-CN"/>
        </w:rPr>
        <w:t>%，较上年增长</w:t>
      </w:r>
      <w:r>
        <w:rPr>
          <w:rFonts w:hint="default" w:ascii="Times New Roman" w:hAnsi="Times New Roman" w:eastAsia="方正仿宋_GBK" w:cs="Times New Roman"/>
          <w:color w:val="auto"/>
          <w:spacing w:val="0"/>
          <w:kern w:val="0"/>
          <w:sz w:val="32"/>
          <w:szCs w:val="32"/>
          <w:highlight w:val="none"/>
          <w:lang w:val="en-US" w:eastAsia="zh-CN"/>
        </w:rPr>
        <w:t>12.5</w:t>
      </w:r>
      <w:r>
        <w:rPr>
          <w:rFonts w:hint="eastAsia" w:ascii="Times New Roman" w:hAnsi="Times New Roman" w:eastAsia="方正仿宋_GBK" w:cs="Times New Roman"/>
          <w:color w:val="auto"/>
          <w:spacing w:val="0"/>
          <w:kern w:val="0"/>
          <w:sz w:val="32"/>
          <w:szCs w:val="32"/>
          <w:highlight w:val="none"/>
          <w:lang w:val="en-US" w:eastAsia="zh-CN"/>
        </w:rPr>
        <w:t>%，增支</w:t>
      </w:r>
      <w:r>
        <w:rPr>
          <w:rFonts w:hint="default" w:ascii="Times New Roman" w:hAnsi="Times New Roman" w:eastAsia="方正仿宋_GBK" w:cs="Times New Roman"/>
          <w:color w:val="auto"/>
          <w:spacing w:val="0"/>
          <w:kern w:val="0"/>
          <w:sz w:val="32"/>
          <w:szCs w:val="32"/>
          <w:highlight w:val="none"/>
          <w:lang w:val="en-US" w:eastAsia="zh-CN"/>
        </w:rPr>
        <w:t>3</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仿宋" w:cs="宋体"/>
          <w:b/>
          <w:bCs/>
          <w:color w:val="auto"/>
          <w:spacing w:val="0"/>
          <w:kern w:val="0"/>
          <w:sz w:val="32"/>
          <w:szCs w:val="32"/>
          <w:highlight w:val="none"/>
          <w:u w:val="none"/>
        </w:rPr>
      </w:pPr>
      <w:r>
        <w:rPr>
          <w:rFonts w:hint="default" w:ascii="Times New Roman" w:hAnsi="Times New Roman" w:eastAsia="仿宋" w:cs="宋体"/>
          <w:b/>
          <w:bCs/>
          <w:color w:val="auto"/>
          <w:spacing w:val="0"/>
          <w:kern w:val="0"/>
          <w:sz w:val="32"/>
          <w:szCs w:val="32"/>
          <w:highlight w:val="none"/>
          <w:u w:val="none"/>
          <w:lang w:val="en-US"/>
        </w:rPr>
        <w:t>3.</w:t>
      </w:r>
      <w:r>
        <w:rPr>
          <w:rFonts w:hint="eastAsia" w:ascii="Times New Roman" w:hAnsi="Times New Roman" w:eastAsia="方正仿宋_GBK" w:cs="方正仿宋_GBK"/>
          <w:b/>
          <w:bCs/>
          <w:color w:val="auto"/>
          <w:spacing w:val="0"/>
          <w:kern w:val="0"/>
          <w:sz w:val="32"/>
          <w:szCs w:val="32"/>
          <w:highlight w:val="none"/>
          <w:u w:val="none"/>
        </w:rPr>
        <w:t>一般公共预算收支平衡情况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2024年，一般公共预算收入</w:t>
      </w:r>
      <w:r>
        <w:rPr>
          <w:rFonts w:hint="default" w:ascii="Times New Roman" w:hAnsi="Times New Roman" w:eastAsia="方正仿宋_GBK" w:cs="Times New Roman"/>
          <w:color w:val="auto"/>
          <w:spacing w:val="0"/>
          <w:kern w:val="0"/>
          <w:sz w:val="32"/>
          <w:szCs w:val="32"/>
          <w:highlight w:val="none"/>
          <w:lang w:val="en-US" w:eastAsia="zh-CN"/>
        </w:rPr>
        <w:t>22.8</w:t>
      </w:r>
      <w:r>
        <w:rPr>
          <w:rFonts w:hint="eastAsia" w:ascii="Times New Roman" w:hAnsi="Times New Roman" w:eastAsia="方正仿宋_GBK" w:cs="Times New Roman"/>
          <w:color w:val="auto"/>
          <w:spacing w:val="0"/>
          <w:kern w:val="0"/>
          <w:sz w:val="32"/>
          <w:szCs w:val="32"/>
          <w:highlight w:val="none"/>
          <w:lang w:val="en-US" w:eastAsia="zh-CN"/>
        </w:rPr>
        <w:t>亿元，上级补助收入</w:t>
      </w:r>
      <w:r>
        <w:rPr>
          <w:rFonts w:hint="default" w:ascii="Times New Roman" w:hAnsi="Times New Roman" w:eastAsia="方正仿宋_GBK" w:cs="Times New Roman"/>
          <w:color w:val="auto"/>
          <w:spacing w:val="0"/>
          <w:kern w:val="0"/>
          <w:sz w:val="32"/>
          <w:szCs w:val="32"/>
          <w:highlight w:val="none"/>
          <w:lang w:val="en-US" w:eastAsia="zh-CN"/>
        </w:rPr>
        <w:t>25.8</w:t>
      </w:r>
      <w:r>
        <w:rPr>
          <w:rFonts w:hint="eastAsia" w:ascii="Times New Roman" w:hAnsi="Times New Roman" w:eastAsia="方正仿宋_GBK" w:cs="Times New Roman"/>
          <w:color w:val="auto"/>
          <w:spacing w:val="0"/>
          <w:kern w:val="0"/>
          <w:sz w:val="32"/>
          <w:szCs w:val="32"/>
          <w:highlight w:val="none"/>
          <w:lang w:val="en-US" w:eastAsia="zh-CN"/>
        </w:rPr>
        <w:t>亿元，动用预算稳定调节基金</w:t>
      </w:r>
      <w:r>
        <w:rPr>
          <w:rFonts w:hint="default" w:ascii="Times New Roman" w:hAnsi="Times New Roman" w:eastAsia="方正仿宋_GBK" w:cs="Times New Roman"/>
          <w:color w:val="auto"/>
          <w:spacing w:val="0"/>
          <w:kern w:val="0"/>
          <w:sz w:val="32"/>
          <w:szCs w:val="32"/>
          <w:highlight w:val="none"/>
          <w:lang w:val="en-US" w:eastAsia="zh-CN"/>
        </w:rPr>
        <w:t>0.4</w:t>
      </w:r>
      <w:r>
        <w:rPr>
          <w:rFonts w:hint="eastAsia" w:ascii="Times New Roman" w:hAnsi="Times New Roman" w:eastAsia="方正仿宋_GBK" w:cs="Times New Roman"/>
          <w:color w:val="auto"/>
          <w:spacing w:val="0"/>
          <w:kern w:val="0"/>
          <w:sz w:val="32"/>
          <w:szCs w:val="32"/>
          <w:highlight w:val="none"/>
          <w:lang w:val="en-US" w:eastAsia="zh-CN"/>
        </w:rPr>
        <w:t>亿元，上年结转</w:t>
      </w:r>
      <w:r>
        <w:rPr>
          <w:rFonts w:hint="default" w:ascii="Times New Roman" w:hAnsi="Times New Roman" w:eastAsia="方正仿宋_GBK" w:cs="Times New Roman"/>
          <w:color w:val="auto"/>
          <w:spacing w:val="0"/>
          <w:kern w:val="0"/>
          <w:sz w:val="32"/>
          <w:szCs w:val="32"/>
          <w:highlight w:val="none"/>
          <w:lang w:val="en-US" w:eastAsia="zh-CN"/>
        </w:rPr>
        <w:t>2.5</w:t>
      </w:r>
      <w:r>
        <w:rPr>
          <w:rFonts w:hint="eastAsia" w:ascii="Times New Roman" w:hAnsi="Times New Roman" w:eastAsia="方正仿宋_GBK" w:cs="Times New Roman"/>
          <w:color w:val="auto"/>
          <w:spacing w:val="0"/>
          <w:kern w:val="0"/>
          <w:sz w:val="32"/>
          <w:szCs w:val="32"/>
          <w:highlight w:val="none"/>
          <w:lang w:val="en-US" w:eastAsia="zh-CN"/>
        </w:rPr>
        <w:t>亿元，调入资金</w:t>
      </w:r>
      <w:r>
        <w:rPr>
          <w:rFonts w:hint="default" w:ascii="Times New Roman" w:hAnsi="Times New Roman" w:eastAsia="方正仿宋_GBK" w:cs="Times New Roman"/>
          <w:color w:val="auto"/>
          <w:spacing w:val="0"/>
          <w:kern w:val="0"/>
          <w:sz w:val="32"/>
          <w:szCs w:val="32"/>
          <w:highlight w:val="none"/>
          <w:lang w:val="en-US" w:eastAsia="zh-CN"/>
        </w:rPr>
        <w:t>1.5</w:t>
      </w:r>
      <w:r>
        <w:rPr>
          <w:rFonts w:hint="eastAsia" w:ascii="Times New Roman" w:hAnsi="Times New Roman" w:eastAsia="方正仿宋_GBK" w:cs="Times New Roman"/>
          <w:color w:val="auto"/>
          <w:spacing w:val="0"/>
          <w:kern w:val="0"/>
          <w:sz w:val="32"/>
          <w:szCs w:val="32"/>
          <w:highlight w:val="none"/>
          <w:lang w:val="en-US" w:eastAsia="zh-CN"/>
        </w:rPr>
        <w:t>亿元，债务转贷收入</w:t>
      </w:r>
      <w:r>
        <w:rPr>
          <w:rFonts w:hint="default" w:ascii="Times New Roman" w:hAnsi="Times New Roman" w:eastAsia="方正仿宋_GBK" w:cs="Times New Roman"/>
          <w:color w:val="auto"/>
          <w:spacing w:val="0"/>
          <w:kern w:val="0"/>
          <w:sz w:val="32"/>
          <w:szCs w:val="32"/>
          <w:highlight w:val="none"/>
          <w:lang w:val="en-US" w:eastAsia="zh-CN"/>
        </w:rPr>
        <w:t>3.2</w:t>
      </w:r>
      <w:r>
        <w:rPr>
          <w:rFonts w:hint="eastAsia" w:ascii="Times New Roman" w:hAnsi="Times New Roman" w:eastAsia="方正仿宋_GBK" w:cs="Times New Roman"/>
          <w:color w:val="auto"/>
          <w:spacing w:val="0"/>
          <w:kern w:val="0"/>
          <w:sz w:val="32"/>
          <w:szCs w:val="32"/>
          <w:highlight w:val="none"/>
          <w:lang w:val="en-US" w:eastAsia="zh-CN"/>
        </w:rPr>
        <w:t>亿元，收入总计为</w:t>
      </w:r>
      <w:r>
        <w:rPr>
          <w:rFonts w:hint="default" w:ascii="Times New Roman" w:hAnsi="Times New Roman" w:eastAsia="方正仿宋_GBK" w:cs="Times New Roman"/>
          <w:color w:val="auto"/>
          <w:spacing w:val="0"/>
          <w:kern w:val="0"/>
          <w:sz w:val="32"/>
          <w:szCs w:val="32"/>
          <w:highlight w:val="none"/>
          <w:lang w:val="en-US" w:eastAsia="zh-CN"/>
        </w:rPr>
        <w:t>56.2</w:t>
      </w:r>
      <w:r>
        <w:rPr>
          <w:rFonts w:hint="eastAsia" w:ascii="Times New Roman" w:hAnsi="Times New Roman" w:eastAsia="方正仿宋_GBK" w:cs="Times New Roman"/>
          <w:color w:val="auto"/>
          <w:spacing w:val="0"/>
          <w:kern w:val="0"/>
          <w:sz w:val="32"/>
          <w:szCs w:val="32"/>
          <w:highlight w:val="none"/>
          <w:lang w:val="en-US" w:eastAsia="zh-CN"/>
        </w:rPr>
        <w:t>亿元。一般公共预算支出</w:t>
      </w:r>
      <w:r>
        <w:rPr>
          <w:rFonts w:hint="default" w:ascii="Times New Roman" w:hAnsi="Times New Roman" w:eastAsia="方正仿宋_GBK" w:cs="Times New Roman"/>
          <w:color w:val="auto"/>
          <w:spacing w:val="0"/>
          <w:kern w:val="0"/>
          <w:sz w:val="32"/>
          <w:szCs w:val="32"/>
          <w:highlight w:val="none"/>
          <w:lang w:val="en-US" w:eastAsia="zh-CN"/>
        </w:rPr>
        <w:t>45.2</w:t>
      </w:r>
      <w:r>
        <w:rPr>
          <w:rFonts w:hint="eastAsia" w:ascii="Times New Roman" w:hAnsi="Times New Roman" w:eastAsia="方正仿宋_GBK" w:cs="Times New Roman"/>
          <w:color w:val="auto"/>
          <w:spacing w:val="0"/>
          <w:kern w:val="0"/>
          <w:sz w:val="32"/>
          <w:szCs w:val="32"/>
          <w:highlight w:val="none"/>
          <w:lang w:val="en-US" w:eastAsia="zh-CN"/>
        </w:rPr>
        <w:t>亿元，上解上级支出</w:t>
      </w:r>
      <w:r>
        <w:rPr>
          <w:rFonts w:hint="default" w:ascii="Times New Roman" w:hAnsi="Times New Roman" w:eastAsia="方正仿宋_GBK" w:cs="Times New Roman"/>
          <w:color w:val="auto"/>
          <w:spacing w:val="0"/>
          <w:kern w:val="0"/>
          <w:sz w:val="32"/>
          <w:szCs w:val="32"/>
          <w:highlight w:val="none"/>
          <w:lang w:val="en-US" w:eastAsia="zh-CN"/>
        </w:rPr>
        <w:t>2.6</w:t>
      </w:r>
      <w:r>
        <w:rPr>
          <w:rFonts w:hint="eastAsia" w:ascii="Times New Roman" w:hAnsi="Times New Roman" w:eastAsia="方正仿宋_GBK" w:cs="Times New Roman"/>
          <w:color w:val="auto"/>
          <w:spacing w:val="0"/>
          <w:kern w:val="0"/>
          <w:sz w:val="32"/>
          <w:szCs w:val="32"/>
          <w:highlight w:val="none"/>
          <w:lang w:val="en-US" w:eastAsia="zh-CN"/>
        </w:rPr>
        <w:t>亿元，债务还本支出</w:t>
      </w:r>
      <w:r>
        <w:rPr>
          <w:rFonts w:hint="default" w:ascii="Times New Roman" w:hAnsi="Times New Roman" w:eastAsia="方正仿宋_GBK" w:cs="Times New Roman"/>
          <w:color w:val="auto"/>
          <w:spacing w:val="0"/>
          <w:kern w:val="0"/>
          <w:sz w:val="32"/>
          <w:szCs w:val="32"/>
          <w:highlight w:val="none"/>
          <w:lang w:val="en-US" w:eastAsia="zh-CN"/>
        </w:rPr>
        <w:t>2</w:t>
      </w:r>
      <w:r>
        <w:rPr>
          <w:rFonts w:hint="eastAsia" w:ascii="Times New Roman" w:hAnsi="Times New Roman" w:eastAsia="方正仿宋_GBK" w:cs="Times New Roman"/>
          <w:color w:val="auto"/>
          <w:spacing w:val="0"/>
          <w:kern w:val="0"/>
          <w:sz w:val="32"/>
          <w:szCs w:val="32"/>
          <w:highlight w:val="none"/>
          <w:lang w:val="en-US" w:eastAsia="zh-CN"/>
        </w:rPr>
        <w:t>亿元，结转下年支出</w:t>
      </w:r>
      <w:r>
        <w:rPr>
          <w:rFonts w:hint="default" w:ascii="Times New Roman" w:hAnsi="Times New Roman" w:eastAsia="方正仿宋_GBK" w:cs="Times New Roman"/>
          <w:color w:val="auto"/>
          <w:spacing w:val="0"/>
          <w:kern w:val="0"/>
          <w:sz w:val="32"/>
          <w:szCs w:val="32"/>
          <w:highlight w:val="none"/>
          <w:lang w:val="en-US" w:eastAsia="zh-CN"/>
        </w:rPr>
        <w:t>3.7</w:t>
      </w:r>
      <w:r>
        <w:rPr>
          <w:rFonts w:hint="eastAsia" w:ascii="Times New Roman" w:hAnsi="Times New Roman" w:eastAsia="方正仿宋_GBK" w:cs="Times New Roman"/>
          <w:color w:val="auto"/>
          <w:spacing w:val="0"/>
          <w:kern w:val="0"/>
          <w:sz w:val="32"/>
          <w:szCs w:val="32"/>
          <w:highlight w:val="none"/>
          <w:lang w:val="en-US" w:eastAsia="zh-CN"/>
        </w:rPr>
        <w:t>亿元，调出资金</w:t>
      </w:r>
      <w:r>
        <w:rPr>
          <w:rFonts w:hint="default" w:ascii="Times New Roman" w:hAnsi="Times New Roman" w:eastAsia="方正仿宋_GBK" w:cs="Times New Roman"/>
          <w:color w:val="auto"/>
          <w:spacing w:val="0"/>
          <w:kern w:val="0"/>
          <w:sz w:val="32"/>
          <w:szCs w:val="32"/>
          <w:highlight w:val="none"/>
          <w:lang w:val="en-US" w:eastAsia="zh-CN"/>
        </w:rPr>
        <w:t>1.8</w:t>
      </w:r>
      <w:r>
        <w:rPr>
          <w:rFonts w:hint="eastAsia" w:ascii="Times New Roman" w:hAnsi="Times New Roman" w:eastAsia="方正仿宋_GBK" w:cs="Times New Roman"/>
          <w:color w:val="auto"/>
          <w:spacing w:val="0"/>
          <w:kern w:val="0"/>
          <w:sz w:val="32"/>
          <w:szCs w:val="32"/>
          <w:highlight w:val="none"/>
          <w:lang w:val="en-US" w:eastAsia="zh-CN"/>
        </w:rPr>
        <w:t>亿元，安排预算稳定调节基金</w:t>
      </w:r>
      <w:r>
        <w:rPr>
          <w:rFonts w:hint="default" w:ascii="Times New Roman" w:hAnsi="Times New Roman" w:eastAsia="方正仿宋_GBK" w:cs="Times New Roman"/>
          <w:color w:val="auto"/>
          <w:spacing w:val="0"/>
          <w:kern w:val="0"/>
          <w:sz w:val="32"/>
          <w:szCs w:val="32"/>
          <w:highlight w:val="none"/>
          <w:lang w:val="en-US" w:eastAsia="zh-CN"/>
        </w:rPr>
        <w:t>0.9</w:t>
      </w:r>
      <w:r>
        <w:rPr>
          <w:rFonts w:hint="eastAsia" w:ascii="Times New Roman" w:hAnsi="Times New Roman" w:eastAsia="方正仿宋_GBK" w:cs="Times New Roman"/>
          <w:color w:val="auto"/>
          <w:spacing w:val="0"/>
          <w:kern w:val="0"/>
          <w:sz w:val="32"/>
          <w:szCs w:val="32"/>
          <w:highlight w:val="none"/>
          <w:lang w:val="en-US" w:eastAsia="zh-CN"/>
        </w:rPr>
        <w:t>亿元，支出总计为</w:t>
      </w:r>
      <w:r>
        <w:rPr>
          <w:rFonts w:hint="default" w:ascii="Times New Roman" w:hAnsi="Times New Roman" w:eastAsia="方正仿宋_GBK" w:cs="Times New Roman"/>
          <w:color w:val="auto"/>
          <w:spacing w:val="0"/>
          <w:kern w:val="0"/>
          <w:sz w:val="32"/>
          <w:szCs w:val="32"/>
          <w:highlight w:val="none"/>
          <w:lang w:val="en-US" w:eastAsia="zh-CN"/>
        </w:rPr>
        <w:t>56.2</w:t>
      </w:r>
      <w:r>
        <w:rPr>
          <w:rFonts w:hint="eastAsia" w:ascii="Times New Roman" w:hAnsi="Times New Roman" w:eastAsia="方正仿宋_GBK" w:cs="Times New Roman"/>
          <w:color w:val="auto"/>
          <w:spacing w:val="0"/>
          <w:kern w:val="0"/>
          <w:sz w:val="32"/>
          <w:szCs w:val="32"/>
          <w:highlight w:val="none"/>
          <w:lang w:val="en-US" w:eastAsia="zh-CN"/>
        </w:rPr>
        <w:t>亿元。收支相抵，当年财政收支平衡。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val="0"/>
          <w:color w:val="auto"/>
          <w:spacing w:val="0"/>
          <w:kern w:val="0"/>
          <w:sz w:val="32"/>
          <w:szCs w:val="32"/>
          <w:highlight w:val="none"/>
          <w:u w:val="none"/>
        </w:rPr>
      </w:pPr>
      <w:r>
        <w:rPr>
          <w:rFonts w:hint="eastAsia" w:ascii="Times New Roman" w:hAnsi="Times New Roman" w:eastAsia="方正楷体_GBK" w:cs="方正楷体_GBK"/>
          <w:b w:val="0"/>
          <w:bCs w:val="0"/>
          <w:color w:val="auto"/>
          <w:spacing w:val="0"/>
          <w:kern w:val="0"/>
          <w:sz w:val="32"/>
          <w:szCs w:val="32"/>
          <w:highlight w:val="none"/>
          <w:u w:val="none"/>
        </w:rPr>
        <w:t>（二）政府性基金预算执行情况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2024年，全区政府性基金收入完成</w:t>
      </w:r>
      <w:r>
        <w:rPr>
          <w:rFonts w:hint="default" w:ascii="Times New Roman" w:hAnsi="Times New Roman" w:eastAsia="方正仿宋_GBK" w:cs="Times New Roman"/>
          <w:color w:val="auto"/>
          <w:spacing w:val="0"/>
          <w:kern w:val="0"/>
          <w:sz w:val="32"/>
          <w:szCs w:val="32"/>
          <w:highlight w:val="none"/>
          <w:lang w:val="en-US" w:eastAsia="zh-CN"/>
        </w:rPr>
        <w:t>6.6</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101.6</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25.4</w:t>
      </w:r>
      <w:r>
        <w:rPr>
          <w:rFonts w:hint="eastAsia" w:ascii="Times New Roman" w:hAnsi="Times New Roman" w:eastAsia="方正仿宋_GBK" w:cs="Times New Roman"/>
          <w:color w:val="auto"/>
          <w:spacing w:val="0"/>
          <w:kern w:val="0"/>
          <w:sz w:val="32"/>
          <w:szCs w:val="32"/>
          <w:highlight w:val="none"/>
          <w:lang w:val="en-US" w:eastAsia="zh-CN"/>
        </w:rPr>
        <w:t>%，减收</w:t>
      </w:r>
      <w:r>
        <w:rPr>
          <w:rFonts w:hint="default" w:ascii="Times New Roman" w:hAnsi="Times New Roman" w:eastAsia="方正仿宋_GBK" w:cs="Times New Roman"/>
          <w:color w:val="auto"/>
          <w:spacing w:val="0"/>
          <w:kern w:val="0"/>
          <w:sz w:val="32"/>
          <w:szCs w:val="32"/>
          <w:highlight w:val="none"/>
          <w:lang w:val="en-US" w:eastAsia="zh-CN"/>
        </w:rPr>
        <w:t>2.2</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国有土地使用权出让收入</w:t>
      </w:r>
      <w:r>
        <w:rPr>
          <w:rFonts w:hint="default" w:ascii="Times New Roman" w:hAnsi="Times New Roman" w:eastAsia="方正仿宋_GBK" w:cs="Times New Roman"/>
          <w:color w:val="auto"/>
          <w:spacing w:val="0"/>
          <w:kern w:val="0"/>
          <w:sz w:val="32"/>
          <w:szCs w:val="32"/>
          <w:highlight w:val="none"/>
          <w:lang w:val="en-US" w:eastAsia="zh-CN"/>
        </w:rPr>
        <w:t>5.9</w:t>
      </w:r>
      <w:r>
        <w:rPr>
          <w:rFonts w:hint="eastAsia" w:ascii="Times New Roman" w:hAnsi="Times New Roman" w:eastAsia="方正仿宋_GBK" w:cs="Times New Roman"/>
          <w:color w:val="auto"/>
          <w:spacing w:val="0"/>
          <w:kern w:val="0"/>
          <w:sz w:val="32"/>
          <w:szCs w:val="32"/>
          <w:highlight w:val="none"/>
          <w:lang w:val="en-US" w:eastAsia="zh-CN"/>
        </w:rPr>
        <w:t>亿元，国有土地收益基金收入</w:t>
      </w:r>
      <w:r>
        <w:rPr>
          <w:rFonts w:hint="default" w:ascii="Times New Roman" w:hAnsi="Times New Roman" w:eastAsia="方正仿宋_GBK" w:cs="Times New Roman"/>
          <w:color w:val="auto"/>
          <w:spacing w:val="0"/>
          <w:kern w:val="0"/>
          <w:sz w:val="32"/>
          <w:szCs w:val="32"/>
          <w:highlight w:val="none"/>
          <w:lang w:val="en-US" w:eastAsia="zh-CN"/>
        </w:rPr>
        <w:t>3215</w:t>
      </w:r>
      <w:r>
        <w:rPr>
          <w:rFonts w:hint="eastAsia" w:ascii="Times New Roman" w:hAnsi="Times New Roman" w:eastAsia="方正仿宋_GBK" w:cs="Times New Roman"/>
          <w:color w:val="auto"/>
          <w:spacing w:val="0"/>
          <w:kern w:val="0"/>
          <w:sz w:val="32"/>
          <w:szCs w:val="32"/>
          <w:highlight w:val="none"/>
          <w:lang w:val="en-US" w:eastAsia="zh-CN"/>
        </w:rPr>
        <w:t>万元，城市基础设施配套费收入</w:t>
      </w:r>
      <w:r>
        <w:rPr>
          <w:rFonts w:hint="default" w:ascii="Times New Roman" w:hAnsi="Times New Roman" w:eastAsia="方正仿宋_GBK" w:cs="Times New Roman"/>
          <w:color w:val="auto"/>
          <w:spacing w:val="0"/>
          <w:kern w:val="0"/>
          <w:sz w:val="32"/>
          <w:szCs w:val="32"/>
          <w:highlight w:val="none"/>
          <w:lang w:val="en-US" w:eastAsia="zh-CN"/>
        </w:rPr>
        <w:t>488</w:t>
      </w:r>
      <w:r>
        <w:rPr>
          <w:rFonts w:hint="eastAsia" w:ascii="Times New Roman" w:hAnsi="Times New Roman" w:eastAsia="方正仿宋_GBK" w:cs="Times New Roman"/>
          <w:color w:val="auto"/>
          <w:spacing w:val="0"/>
          <w:kern w:val="0"/>
          <w:sz w:val="32"/>
          <w:szCs w:val="32"/>
          <w:highlight w:val="none"/>
          <w:lang w:val="en-US" w:eastAsia="zh-CN"/>
        </w:rPr>
        <w:t>万元，污水处理费收入</w:t>
      </w:r>
      <w:r>
        <w:rPr>
          <w:rFonts w:hint="default" w:ascii="Times New Roman" w:hAnsi="Times New Roman" w:eastAsia="方正仿宋_GBK" w:cs="Times New Roman"/>
          <w:color w:val="auto"/>
          <w:spacing w:val="0"/>
          <w:kern w:val="0"/>
          <w:sz w:val="32"/>
          <w:szCs w:val="32"/>
          <w:highlight w:val="none"/>
          <w:lang w:val="en-US" w:eastAsia="zh-CN"/>
        </w:rPr>
        <w:t>815</w:t>
      </w:r>
      <w:r>
        <w:rPr>
          <w:rFonts w:hint="eastAsia" w:ascii="Times New Roman" w:hAnsi="Times New Roman" w:eastAsia="方正仿宋_GBK" w:cs="Times New Roman"/>
          <w:color w:val="auto"/>
          <w:spacing w:val="0"/>
          <w:kern w:val="0"/>
          <w:sz w:val="32"/>
          <w:szCs w:val="32"/>
          <w:highlight w:val="none"/>
          <w:lang w:val="en-US" w:eastAsia="zh-CN"/>
        </w:rPr>
        <w:t>万元，农业土地开发收入</w:t>
      </w:r>
      <w:r>
        <w:rPr>
          <w:rFonts w:hint="default" w:ascii="Times New Roman" w:hAnsi="Times New Roman" w:eastAsia="方正仿宋_GBK" w:cs="Times New Roman"/>
          <w:color w:val="auto"/>
          <w:spacing w:val="0"/>
          <w:kern w:val="0"/>
          <w:sz w:val="32"/>
          <w:szCs w:val="32"/>
          <w:highlight w:val="none"/>
          <w:lang w:val="en-US" w:eastAsia="zh-CN"/>
        </w:rPr>
        <w:t>105</w:t>
      </w:r>
      <w:r>
        <w:rPr>
          <w:rFonts w:hint="eastAsia" w:ascii="Times New Roman" w:hAnsi="Times New Roman" w:eastAsia="方正仿宋_GBK" w:cs="Times New Roman"/>
          <w:color w:val="auto"/>
          <w:spacing w:val="0"/>
          <w:kern w:val="0"/>
          <w:sz w:val="32"/>
          <w:szCs w:val="32"/>
          <w:highlight w:val="none"/>
          <w:lang w:val="en-US" w:eastAsia="zh-CN"/>
        </w:rPr>
        <w:t>万元，彩票公益金收入</w:t>
      </w:r>
      <w:r>
        <w:rPr>
          <w:rFonts w:hint="default" w:ascii="Times New Roman" w:hAnsi="Times New Roman" w:eastAsia="方正仿宋_GBK" w:cs="Times New Roman"/>
          <w:color w:val="auto"/>
          <w:spacing w:val="0"/>
          <w:kern w:val="0"/>
          <w:sz w:val="32"/>
          <w:szCs w:val="32"/>
          <w:highlight w:val="none"/>
          <w:lang w:val="en-US" w:eastAsia="zh-CN"/>
        </w:rPr>
        <w:t>260</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ascii="Times New Roman" w:hAnsi="Times New Roman" w:eastAsia="方正仿宋_GBK" w:cs="Times New Roman"/>
          <w:color w:val="auto"/>
          <w:spacing w:val="0"/>
          <w:kern w:val="0"/>
          <w:sz w:val="32"/>
          <w:szCs w:val="32"/>
          <w:highlight w:val="none"/>
          <w:u w:val="none"/>
          <w:lang w:val="en-US" w:eastAsia="zh-CN"/>
        </w:rPr>
        <w:t>其他政府性基金收入</w:t>
      </w:r>
      <w:r>
        <w:rPr>
          <w:rFonts w:hint="default" w:ascii="Times New Roman" w:hAnsi="Times New Roman" w:eastAsia="方正仿宋_GBK" w:cs="Times New Roman"/>
          <w:color w:val="auto"/>
          <w:spacing w:val="0"/>
          <w:kern w:val="0"/>
          <w:sz w:val="32"/>
          <w:szCs w:val="32"/>
          <w:highlight w:val="none"/>
          <w:u w:val="none"/>
          <w:lang w:val="en-US" w:eastAsia="zh-CN"/>
        </w:rPr>
        <w:t>-65</w:t>
      </w:r>
      <w:r>
        <w:rPr>
          <w:rFonts w:hint="eastAsia" w:ascii="Times New Roman" w:hAnsi="Times New Roman" w:eastAsia="方正仿宋_GBK" w:cs="Times New Roman"/>
          <w:color w:val="auto"/>
          <w:spacing w:val="0"/>
          <w:kern w:val="0"/>
          <w:sz w:val="32"/>
          <w:szCs w:val="32"/>
          <w:highlight w:val="none"/>
          <w:u w:val="none"/>
          <w:lang w:val="en-US" w:eastAsia="zh-CN"/>
        </w:rPr>
        <w:t>万元，其他地方自行试点项目收益专项债券对应项目专项收入</w:t>
      </w:r>
      <w:r>
        <w:rPr>
          <w:rFonts w:hint="default" w:ascii="Times New Roman" w:hAnsi="Times New Roman" w:eastAsia="方正仿宋_GBK" w:cs="Times New Roman"/>
          <w:color w:val="auto"/>
          <w:spacing w:val="0"/>
          <w:kern w:val="0"/>
          <w:sz w:val="32"/>
          <w:szCs w:val="32"/>
          <w:highlight w:val="none"/>
          <w:u w:val="none"/>
          <w:lang w:val="en-US" w:eastAsia="zh-CN"/>
        </w:rPr>
        <w:t>171</w:t>
      </w:r>
      <w:r>
        <w:rPr>
          <w:rFonts w:hint="eastAsia" w:eastAsia="方正仿宋_GBK" w:cs="Times New Roman"/>
          <w:color w:val="auto"/>
          <w:spacing w:val="0"/>
          <w:kern w:val="0"/>
          <w:sz w:val="32"/>
          <w:szCs w:val="32"/>
          <w:highlight w:val="none"/>
          <w:u w:val="none"/>
          <w:lang w:val="en-US" w:eastAsia="zh-CN"/>
        </w:rPr>
        <w:t>1</w:t>
      </w:r>
      <w:r>
        <w:rPr>
          <w:rFonts w:hint="eastAsia" w:ascii="Times New Roman" w:hAnsi="Times New Roman" w:eastAsia="方正仿宋_GBK" w:cs="Times New Roman"/>
          <w:color w:val="auto"/>
          <w:spacing w:val="0"/>
          <w:kern w:val="0"/>
          <w:sz w:val="32"/>
          <w:szCs w:val="32"/>
          <w:highlight w:val="none"/>
          <w:u w:val="none"/>
          <w:lang w:val="en-US" w:eastAsia="zh-CN"/>
        </w:rPr>
        <w:t>万元。</w:t>
      </w:r>
      <w:r>
        <w:rPr>
          <w:rFonts w:hint="eastAsia" w:ascii="Times New Roman" w:hAnsi="Times New Roman" w:eastAsia="方正仿宋_GBK" w:cs="Times New Roman"/>
          <w:color w:val="auto"/>
          <w:spacing w:val="0"/>
          <w:kern w:val="0"/>
          <w:sz w:val="32"/>
          <w:szCs w:val="32"/>
          <w:highlight w:val="none"/>
          <w:lang w:val="en-US" w:eastAsia="zh-CN"/>
        </w:rPr>
        <w:t>全区政府性基金支出完成</w:t>
      </w:r>
      <w:r>
        <w:rPr>
          <w:rFonts w:hint="default" w:ascii="Times New Roman" w:hAnsi="Times New Roman" w:eastAsia="方正仿宋_GBK" w:cs="Times New Roman"/>
          <w:color w:val="auto"/>
          <w:spacing w:val="0"/>
          <w:kern w:val="0"/>
          <w:sz w:val="32"/>
          <w:szCs w:val="32"/>
          <w:highlight w:val="none"/>
          <w:lang w:val="en-US" w:eastAsia="zh-CN"/>
        </w:rPr>
        <w:t>12.2</w:t>
      </w:r>
      <w:r>
        <w:rPr>
          <w:rFonts w:hint="eastAsia" w:ascii="Times New Roman" w:hAnsi="Times New Roman" w:eastAsia="方正仿宋_GBK" w:cs="Times New Roman"/>
          <w:color w:val="auto"/>
          <w:spacing w:val="0"/>
          <w:kern w:val="0"/>
          <w:sz w:val="32"/>
          <w:szCs w:val="32"/>
          <w:highlight w:val="none"/>
          <w:lang w:val="en-US" w:eastAsia="zh-CN"/>
        </w:rPr>
        <w:t>亿元，占调整预算的</w:t>
      </w:r>
      <w:r>
        <w:rPr>
          <w:rFonts w:hint="default" w:ascii="Times New Roman" w:hAnsi="Times New Roman" w:eastAsia="方正仿宋_GBK" w:cs="Times New Roman"/>
          <w:color w:val="auto"/>
          <w:spacing w:val="0"/>
          <w:kern w:val="0"/>
          <w:sz w:val="32"/>
          <w:szCs w:val="32"/>
          <w:highlight w:val="none"/>
          <w:lang w:val="en-US" w:eastAsia="zh-CN"/>
        </w:rPr>
        <w:t>82.4</w:t>
      </w:r>
      <w:r>
        <w:rPr>
          <w:rFonts w:hint="eastAsia" w:ascii="Times New Roman" w:hAnsi="Times New Roman" w:eastAsia="方正仿宋_GBK" w:cs="Times New Roman"/>
          <w:color w:val="auto"/>
          <w:spacing w:val="0"/>
          <w:kern w:val="0"/>
          <w:sz w:val="32"/>
          <w:szCs w:val="32"/>
          <w:highlight w:val="none"/>
          <w:lang w:val="en-US" w:eastAsia="zh-CN"/>
        </w:rPr>
        <w:t>%，较上年下降</w:t>
      </w:r>
      <w:r>
        <w:rPr>
          <w:rFonts w:hint="default" w:ascii="Times New Roman" w:hAnsi="Times New Roman" w:eastAsia="方正仿宋_GBK" w:cs="Times New Roman"/>
          <w:color w:val="auto"/>
          <w:spacing w:val="0"/>
          <w:kern w:val="0"/>
          <w:sz w:val="32"/>
          <w:szCs w:val="32"/>
          <w:highlight w:val="none"/>
          <w:lang w:val="en-US" w:eastAsia="zh-CN"/>
        </w:rPr>
        <w:t>57.1</w:t>
      </w:r>
      <w:r>
        <w:rPr>
          <w:rFonts w:hint="eastAsia" w:ascii="Times New Roman" w:hAnsi="Times New Roman" w:eastAsia="方正仿宋_GBK" w:cs="Times New Roman"/>
          <w:color w:val="auto"/>
          <w:spacing w:val="0"/>
          <w:kern w:val="0"/>
          <w:sz w:val="32"/>
          <w:szCs w:val="32"/>
          <w:highlight w:val="none"/>
          <w:lang w:val="en-US" w:eastAsia="zh-CN"/>
        </w:rPr>
        <w:t>%，减支</w:t>
      </w:r>
      <w:r>
        <w:rPr>
          <w:rFonts w:hint="default" w:ascii="Times New Roman" w:hAnsi="Times New Roman" w:eastAsia="方正仿宋_GBK" w:cs="Times New Roman"/>
          <w:color w:val="auto"/>
          <w:spacing w:val="0"/>
          <w:kern w:val="0"/>
          <w:sz w:val="32"/>
          <w:szCs w:val="32"/>
          <w:highlight w:val="none"/>
          <w:lang w:val="en-US" w:eastAsia="zh-CN"/>
        </w:rPr>
        <w:t>16.2</w:t>
      </w:r>
      <w:r>
        <w:rPr>
          <w:rFonts w:hint="eastAsia" w:ascii="Times New Roman" w:hAnsi="Times New Roman" w:eastAsia="方正仿宋_GBK" w:cs="Times New Roman"/>
          <w:color w:val="auto"/>
          <w:spacing w:val="0"/>
          <w:kern w:val="0"/>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color w:val="auto"/>
          <w:spacing w:val="0"/>
          <w:kern w:val="0"/>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2024年，政府性基金预算收入</w:t>
      </w:r>
      <w:r>
        <w:rPr>
          <w:rFonts w:hint="default" w:ascii="Times New Roman" w:hAnsi="Times New Roman" w:eastAsia="方正仿宋_GBK" w:cs="Times New Roman"/>
          <w:color w:val="auto"/>
          <w:spacing w:val="0"/>
          <w:kern w:val="0"/>
          <w:sz w:val="32"/>
          <w:szCs w:val="32"/>
          <w:highlight w:val="none"/>
          <w:lang w:val="en-US" w:eastAsia="zh-CN"/>
        </w:rPr>
        <w:t>6.6</w:t>
      </w:r>
      <w:r>
        <w:rPr>
          <w:rFonts w:hint="eastAsia" w:ascii="Times New Roman" w:hAnsi="Times New Roman" w:eastAsia="方正仿宋_GBK" w:cs="Times New Roman"/>
          <w:color w:val="auto"/>
          <w:spacing w:val="0"/>
          <w:kern w:val="0"/>
          <w:sz w:val="32"/>
          <w:szCs w:val="32"/>
          <w:highlight w:val="none"/>
          <w:lang w:val="en-US" w:eastAsia="zh-CN"/>
        </w:rPr>
        <w:t>亿元，上级补助收入</w:t>
      </w:r>
      <w:r>
        <w:rPr>
          <w:rFonts w:hint="default" w:ascii="Times New Roman" w:hAnsi="Times New Roman" w:eastAsia="方正仿宋_GBK" w:cs="Times New Roman"/>
          <w:color w:val="auto"/>
          <w:spacing w:val="0"/>
          <w:kern w:val="0"/>
          <w:sz w:val="32"/>
          <w:szCs w:val="32"/>
          <w:highlight w:val="none"/>
          <w:lang w:val="en-US" w:eastAsia="zh-CN"/>
        </w:rPr>
        <w:t>3.6</w:t>
      </w:r>
      <w:r>
        <w:rPr>
          <w:rFonts w:hint="eastAsia" w:ascii="Times New Roman" w:hAnsi="Times New Roman" w:eastAsia="方正仿宋_GBK" w:cs="Times New Roman"/>
          <w:color w:val="auto"/>
          <w:spacing w:val="0"/>
          <w:kern w:val="0"/>
          <w:sz w:val="32"/>
          <w:szCs w:val="32"/>
          <w:highlight w:val="none"/>
          <w:lang w:val="en-US" w:eastAsia="zh-CN"/>
        </w:rPr>
        <w:t>亿元，上年结转</w:t>
      </w:r>
      <w:r>
        <w:rPr>
          <w:rFonts w:hint="default" w:ascii="Times New Roman" w:hAnsi="Times New Roman" w:eastAsia="方正仿宋_GBK" w:cs="Times New Roman"/>
          <w:color w:val="auto"/>
          <w:spacing w:val="0"/>
          <w:kern w:val="0"/>
          <w:sz w:val="32"/>
          <w:szCs w:val="32"/>
          <w:highlight w:val="none"/>
          <w:lang w:val="en-US" w:eastAsia="zh-CN"/>
        </w:rPr>
        <w:t>0.5</w:t>
      </w:r>
      <w:r>
        <w:rPr>
          <w:rFonts w:hint="eastAsia" w:ascii="Times New Roman" w:hAnsi="Times New Roman" w:eastAsia="方正仿宋_GBK" w:cs="Times New Roman"/>
          <w:color w:val="auto"/>
          <w:spacing w:val="0"/>
          <w:kern w:val="0"/>
          <w:sz w:val="32"/>
          <w:szCs w:val="32"/>
          <w:highlight w:val="none"/>
          <w:lang w:val="en-US" w:eastAsia="zh-CN"/>
        </w:rPr>
        <w:t>亿元，调入资金</w:t>
      </w:r>
      <w:r>
        <w:rPr>
          <w:rFonts w:hint="default" w:ascii="Times New Roman" w:hAnsi="Times New Roman" w:eastAsia="方正仿宋_GBK" w:cs="Times New Roman"/>
          <w:color w:val="auto"/>
          <w:spacing w:val="0"/>
          <w:kern w:val="0"/>
          <w:sz w:val="32"/>
          <w:szCs w:val="32"/>
          <w:highlight w:val="none"/>
          <w:lang w:val="en-US" w:eastAsia="zh-CN"/>
        </w:rPr>
        <w:t>1.8</w:t>
      </w:r>
      <w:r>
        <w:rPr>
          <w:rFonts w:hint="eastAsia" w:ascii="Times New Roman" w:hAnsi="Times New Roman" w:eastAsia="方正仿宋_GBK" w:cs="Times New Roman"/>
          <w:color w:val="auto"/>
          <w:spacing w:val="0"/>
          <w:kern w:val="0"/>
          <w:sz w:val="32"/>
          <w:szCs w:val="32"/>
          <w:highlight w:val="none"/>
          <w:lang w:val="en-US" w:eastAsia="zh-CN"/>
        </w:rPr>
        <w:t>亿元，债务转贷收入</w:t>
      </w:r>
      <w:r>
        <w:rPr>
          <w:rFonts w:hint="default" w:ascii="Times New Roman" w:hAnsi="Times New Roman" w:eastAsia="方正仿宋_GBK" w:cs="Times New Roman"/>
          <w:color w:val="auto"/>
          <w:spacing w:val="0"/>
          <w:kern w:val="0"/>
          <w:sz w:val="32"/>
          <w:szCs w:val="32"/>
          <w:highlight w:val="none"/>
          <w:lang w:val="en-US" w:eastAsia="zh-CN"/>
        </w:rPr>
        <w:t>26.3</w:t>
      </w:r>
      <w:r>
        <w:rPr>
          <w:rFonts w:hint="eastAsia" w:ascii="Times New Roman" w:hAnsi="Times New Roman" w:eastAsia="方正仿宋_GBK" w:cs="Times New Roman"/>
          <w:color w:val="auto"/>
          <w:spacing w:val="0"/>
          <w:kern w:val="0"/>
          <w:sz w:val="32"/>
          <w:szCs w:val="32"/>
          <w:highlight w:val="none"/>
          <w:lang w:val="en-US" w:eastAsia="zh-CN"/>
        </w:rPr>
        <w:t>亿元，收入总计为</w:t>
      </w:r>
      <w:r>
        <w:rPr>
          <w:rFonts w:hint="default" w:ascii="Times New Roman" w:hAnsi="Times New Roman" w:eastAsia="方正仿宋_GBK" w:cs="Times New Roman"/>
          <w:color w:val="auto"/>
          <w:spacing w:val="0"/>
          <w:kern w:val="0"/>
          <w:sz w:val="32"/>
          <w:szCs w:val="32"/>
          <w:highlight w:val="none"/>
          <w:lang w:val="en-US" w:eastAsia="zh-CN"/>
        </w:rPr>
        <w:t>38.8</w:t>
      </w:r>
      <w:r>
        <w:rPr>
          <w:rFonts w:hint="eastAsia" w:ascii="Times New Roman" w:hAnsi="Times New Roman" w:eastAsia="方正仿宋_GBK" w:cs="Times New Roman"/>
          <w:color w:val="auto"/>
          <w:spacing w:val="0"/>
          <w:kern w:val="0"/>
          <w:sz w:val="32"/>
          <w:szCs w:val="32"/>
          <w:highlight w:val="none"/>
          <w:lang w:val="en-US" w:eastAsia="zh-CN"/>
        </w:rPr>
        <w:t>亿元。政府性基金预算支出</w:t>
      </w:r>
      <w:r>
        <w:rPr>
          <w:rFonts w:hint="default" w:ascii="Times New Roman" w:hAnsi="Times New Roman" w:eastAsia="方正仿宋_GBK" w:cs="Times New Roman"/>
          <w:color w:val="auto"/>
          <w:spacing w:val="0"/>
          <w:kern w:val="0"/>
          <w:sz w:val="32"/>
          <w:szCs w:val="32"/>
          <w:highlight w:val="none"/>
          <w:lang w:val="en-US" w:eastAsia="zh-CN"/>
        </w:rPr>
        <w:t>12.2</w:t>
      </w:r>
      <w:r>
        <w:rPr>
          <w:rFonts w:hint="eastAsia" w:ascii="Times New Roman" w:hAnsi="Times New Roman" w:eastAsia="方正仿宋_GBK" w:cs="Times New Roman"/>
          <w:color w:val="auto"/>
          <w:spacing w:val="0"/>
          <w:kern w:val="0"/>
          <w:sz w:val="32"/>
          <w:szCs w:val="32"/>
          <w:highlight w:val="none"/>
          <w:lang w:val="en-US" w:eastAsia="zh-CN"/>
        </w:rPr>
        <w:t>亿元，结转下年支出</w:t>
      </w:r>
      <w:r>
        <w:rPr>
          <w:rFonts w:hint="default" w:ascii="Times New Roman" w:hAnsi="Times New Roman" w:eastAsia="方正仿宋_GBK" w:cs="Times New Roman"/>
          <w:color w:val="auto"/>
          <w:spacing w:val="0"/>
          <w:kern w:val="0"/>
          <w:sz w:val="32"/>
          <w:szCs w:val="32"/>
          <w:highlight w:val="none"/>
          <w:lang w:val="en-US" w:eastAsia="zh-CN"/>
        </w:rPr>
        <w:t>2.6</w:t>
      </w:r>
      <w:r>
        <w:rPr>
          <w:rFonts w:hint="eastAsia" w:ascii="Times New Roman" w:hAnsi="Times New Roman" w:eastAsia="方正仿宋_GBK" w:cs="Times New Roman"/>
          <w:color w:val="auto"/>
          <w:spacing w:val="0"/>
          <w:kern w:val="0"/>
          <w:sz w:val="32"/>
          <w:szCs w:val="32"/>
          <w:highlight w:val="none"/>
          <w:lang w:val="en-US" w:eastAsia="zh-CN"/>
        </w:rPr>
        <w:t>亿元，调出资金</w:t>
      </w:r>
      <w:r>
        <w:rPr>
          <w:rFonts w:hint="default" w:ascii="Times New Roman" w:hAnsi="Times New Roman" w:eastAsia="方正仿宋_GBK" w:cs="Times New Roman"/>
          <w:color w:val="auto"/>
          <w:spacing w:val="0"/>
          <w:kern w:val="0"/>
          <w:sz w:val="32"/>
          <w:szCs w:val="32"/>
          <w:highlight w:val="none"/>
          <w:lang w:val="en-US" w:eastAsia="zh-CN"/>
        </w:rPr>
        <w:t>1</w:t>
      </w:r>
      <w:r>
        <w:rPr>
          <w:rFonts w:hint="eastAsia" w:ascii="Times New Roman" w:hAnsi="Times New Roman" w:eastAsia="方正仿宋_GBK" w:cs="Times New Roman"/>
          <w:color w:val="auto"/>
          <w:spacing w:val="0"/>
          <w:kern w:val="0"/>
          <w:sz w:val="32"/>
          <w:szCs w:val="32"/>
          <w:highlight w:val="none"/>
          <w:lang w:val="en-US" w:eastAsia="zh-CN"/>
        </w:rPr>
        <w:t>亿元，</w:t>
      </w:r>
      <w:r>
        <w:rPr>
          <w:rFonts w:hint="eastAsia" w:eastAsia="方正仿宋_GBK" w:cs="Times New Roman"/>
          <w:color w:val="auto"/>
          <w:spacing w:val="0"/>
          <w:kern w:val="0"/>
          <w:sz w:val="32"/>
          <w:szCs w:val="32"/>
          <w:highlight w:val="none"/>
          <w:lang w:val="en-US" w:eastAsia="zh-CN"/>
        </w:rPr>
        <w:t>债务</w:t>
      </w:r>
      <w:r>
        <w:rPr>
          <w:rFonts w:hint="eastAsia" w:ascii="Times New Roman" w:hAnsi="Times New Roman" w:eastAsia="方正仿宋_GBK" w:cs="Times New Roman"/>
          <w:color w:val="auto"/>
          <w:spacing w:val="0"/>
          <w:kern w:val="0"/>
          <w:sz w:val="32"/>
          <w:szCs w:val="32"/>
          <w:highlight w:val="none"/>
          <w:lang w:val="en-US" w:eastAsia="zh-CN"/>
        </w:rPr>
        <w:t>还本支出</w:t>
      </w:r>
      <w:r>
        <w:rPr>
          <w:rFonts w:hint="default" w:ascii="Times New Roman" w:hAnsi="Times New Roman" w:eastAsia="方正仿宋_GBK" w:cs="Times New Roman"/>
          <w:color w:val="auto"/>
          <w:spacing w:val="0"/>
          <w:kern w:val="0"/>
          <w:sz w:val="32"/>
          <w:szCs w:val="32"/>
          <w:highlight w:val="none"/>
          <w:lang w:val="en-US" w:eastAsia="zh-CN"/>
        </w:rPr>
        <w:t>23</w:t>
      </w:r>
      <w:r>
        <w:rPr>
          <w:rFonts w:hint="eastAsia" w:ascii="Times New Roman" w:hAnsi="Times New Roman" w:eastAsia="方正仿宋_GBK" w:cs="Times New Roman"/>
          <w:color w:val="auto"/>
          <w:spacing w:val="0"/>
          <w:kern w:val="0"/>
          <w:sz w:val="32"/>
          <w:szCs w:val="32"/>
          <w:highlight w:val="none"/>
          <w:lang w:val="en-US" w:eastAsia="zh-CN"/>
        </w:rPr>
        <w:t>亿元，支出总计为</w:t>
      </w:r>
      <w:r>
        <w:rPr>
          <w:rFonts w:hint="default" w:ascii="Times New Roman" w:hAnsi="Times New Roman" w:eastAsia="方正仿宋_GBK" w:cs="Times New Roman"/>
          <w:color w:val="auto"/>
          <w:spacing w:val="0"/>
          <w:kern w:val="0"/>
          <w:sz w:val="32"/>
          <w:szCs w:val="32"/>
          <w:highlight w:val="none"/>
          <w:lang w:val="en-US" w:eastAsia="zh-CN"/>
        </w:rPr>
        <w:t>38.8</w:t>
      </w:r>
      <w:r>
        <w:rPr>
          <w:rFonts w:hint="eastAsia" w:ascii="Times New Roman" w:hAnsi="Times New Roman" w:eastAsia="方正仿宋_GBK" w:cs="Times New Roman"/>
          <w:color w:val="auto"/>
          <w:spacing w:val="0"/>
          <w:kern w:val="0"/>
          <w:sz w:val="32"/>
          <w:szCs w:val="32"/>
          <w:highlight w:val="none"/>
          <w:lang w:val="en-US" w:eastAsia="zh-CN"/>
        </w:rPr>
        <w:t>亿元。收支相抵，当年财政收支平衡。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val="0"/>
          <w:color w:val="auto"/>
          <w:spacing w:val="0"/>
          <w:kern w:val="0"/>
          <w:sz w:val="32"/>
          <w:szCs w:val="32"/>
          <w:highlight w:val="none"/>
          <w:u w:val="none"/>
        </w:rPr>
      </w:pPr>
      <w:r>
        <w:rPr>
          <w:rFonts w:hint="eastAsia" w:ascii="Times New Roman" w:hAnsi="Times New Roman" w:eastAsia="方正楷体_GBK" w:cs="方正楷体_GBK"/>
          <w:b w:val="0"/>
          <w:bCs w:val="0"/>
          <w:color w:val="auto"/>
          <w:spacing w:val="0"/>
          <w:kern w:val="0"/>
          <w:sz w:val="32"/>
          <w:szCs w:val="32"/>
          <w:highlight w:val="none"/>
          <w:u w:val="none"/>
        </w:rPr>
        <w:t>（</w:t>
      </w:r>
      <w:r>
        <w:rPr>
          <w:rFonts w:hint="eastAsia" w:ascii="Times New Roman" w:hAnsi="Times New Roman" w:eastAsia="方正楷体_GBK" w:cs="方正楷体_GBK"/>
          <w:b w:val="0"/>
          <w:bCs w:val="0"/>
          <w:color w:val="auto"/>
          <w:spacing w:val="0"/>
          <w:kern w:val="0"/>
          <w:sz w:val="32"/>
          <w:szCs w:val="32"/>
          <w:highlight w:val="none"/>
          <w:u w:val="none"/>
          <w:lang w:val="en-US" w:eastAsia="zh-CN"/>
        </w:rPr>
        <w:t>三</w:t>
      </w:r>
      <w:r>
        <w:rPr>
          <w:rFonts w:hint="eastAsia" w:ascii="Times New Roman" w:hAnsi="Times New Roman" w:eastAsia="方正楷体_GBK" w:cs="方正楷体_GBK"/>
          <w:b w:val="0"/>
          <w:bCs w:val="0"/>
          <w:color w:val="auto"/>
          <w:spacing w:val="0"/>
          <w:kern w:val="0"/>
          <w:sz w:val="32"/>
          <w:szCs w:val="32"/>
          <w:highlight w:val="none"/>
          <w:u w:val="none"/>
        </w:rPr>
        <w:t>）社会保险基金预算执行情况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default" w:ascii="Times New Roman" w:hAnsi="Times New Roman" w:eastAsia="方正仿宋_GBK" w:cs="Times New Roman"/>
          <w:color w:val="auto"/>
          <w:spacing w:val="0"/>
          <w:kern w:val="0"/>
          <w:sz w:val="32"/>
          <w:szCs w:val="32"/>
          <w:highlight w:val="none"/>
          <w:lang w:val="en-US" w:eastAsia="zh-CN"/>
        </w:rPr>
        <w:t>2024年，全区社会保险基金收入完成6.8亿元，占调整预算的99%，其中</w:t>
      </w:r>
      <w:r>
        <w:rPr>
          <w:rFonts w:hint="eastAsia"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机关事业单位基本养老保险基金收入3.4亿元，城乡居民基本养老保险基金收入3.4亿元。社会保险基金支出完成6.4亿元，占调整预算的99%，其中</w:t>
      </w:r>
      <w:r>
        <w:rPr>
          <w:rFonts w:hint="eastAsia"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机关事业单位基本养老保险基金支出3.6亿元，城乡居民基本养老保险基金支出2.8亿元</w:t>
      </w:r>
      <w:r>
        <w:rPr>
          <w:rFonts w:hint="eastAsia" w:ascii="Times New Roman" w:hAnsi="Times New Roman"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val="0"/>
          <w:color w:val="auto"/>
          <w:spacing w:val="0"/>
          <w:kern w:val="0"/>
          <w:sz w:val="32"/>
          <w:szCs w:val="24"/>
          <w:highlight w:val="none"/>
          <w:u w:val="none"/>
          <w:lang w:val="zh-CN"/>
        </w:rPr>
      </w:pPr>
      <w:r>
        <w:rPr>
          <w:rFonts w:hint="eastAsia" w:ascii="Times New Roman" w:hAnsi="Times New Roman" w:eastAsia="方正楷体_GBK" w:cs="方正楷体_GBK"/>
          <w:b w:val="0"/>
          <w:bCs w:val="0"/>
          <w:color w:val="auto"/>
          <w:spacing w:val="0"/>
          <w:kern w:val="0"/>
          <w:sz w:val="32"/>
          <w:szCs w:val="24"/>
          <w:highlight w:val="none"/>
          <w:u w:val="none"/>
          <w:lang w:val="zh-CN"/>
        </w:rPr>
        <w:t>（四）国有资本经营预算执行情况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zh-CN" w:eastAsia="zh-CN"/>
        </w:rPr>
      </w:pPr>
      <w:r>
        <w:rPr>
          <w:rFonts w:hint="default" w:ascii="Times New Roman" w:hAnsi="Times New Roman" w:eastAsia="方正仿宋_GBK" w:cs="Times New Roman"/>
          <w:color w:val="auto"/>
          <w:spacing w:val="0"/>
          <w:kern w:val="0"/>
          <w:sz w:val="32"/>
          <w:szCs w:val="32"/>
          <w:highlight w:val="none"/>
          <w:lang w:val="en-US" w:eastAsia="zh-CN"/>
        </w:rPr>
        <w:t>202</w:t>
      </w:r>
      <w:r>
        <w:rPr>
          <w:rFonts w:hint="eastAsia" w:ascii="Times New Roman" w:hAnsi="Times New Roman" w:eastAsia="方正仿宋_GBK" w:cs="Times New Roman"/>
          <w:color w:val="auto"/>
          <w:spacing w:val="0"/>
          <w:kern w:val="0"/>
          <w:sz w:val="32"/>
          <w:szCs w:val="32"/>
          <w:highlight w:val="none"/>
          <w:lang w:val="en-US" w:eastAsia="zh-CN"/>
        </w:rPr>
        <w:t>4</w:t>
      </w:r>
      <w:r>
        <w:rPr>
          <w:rFonts w:hint="eastAsia" w:ascii="Times New Roman" w:hAnsi="Times New Roman" w:eastAsia="方正仿宋_GBK" w:cs="Times New Roman"/>
          <w:color w:val="auto"/>
          <w:spacing w:val="0"/>
          <w:kern w:val="0"/>
          <w:sz w:val="32"/>
          <w:szCs w:val="32"/>
          <w:highlight w:val="none"/>
          <w:lang w:val="zh-CN" w:eastAsia="zh-CN"/>
        </w:rPr>
        <w:t>年，全区国有资本经营预算收入完成</w:t>
      </w:r>
      <w:r>
        <w:rPr>
          <w:rFonts w:hint="default" w:ascii="Times New Roman" w:hAnsi="Times New Roman" w:eastAsia="方正仿宋_GBK" w:cs="Times New Roman"/>
          <w:color w:val="auto"/>
          <w:spacing w:val="0"/>
          <w:kern w:val="0"/>
          <w:sz w:val="32"/>
          <w:szCs w:val="32"/>
          <w:highlight w:val="none"/>
          <w:lang w:val="en-US" w:eastAsia="zh-CN"/>
        </w:rPr>
        <w:t>0</w:t>
      </w:r>
      <w:r>
        <w:rPr>
          <w:rFonts w:hint="eastAsia" w:ascii="Times New Roman" w:hAnsi="Times New Roman" w:eastAsia="方正仿宋_GBK" w:cs="Times New Roman"/>
          <w:color w:val="auto"/>
          <w:spacing w:val="0"/>
          <w:kern w:val="0"/>
          <w:sz w:val="32"/>
          <w:szCs w:val="32"/>
          <w:highlight w:val="none"/>
          <w:lang w:val="zh-CN" w:eastAsia="zh-CN"/>
        </w:rPr>
        <w:t>元，支出完成</w:t>
      </w:r>
      <w:r>
        <w:rPr>
          <w:rFonts w:hint="default" w:ascii="Times New Roman" w:hAnsi="Times New Roman" w:eastAsia="方正仿宋_GBK" w:cs="Times New Roman"/>
          <w:color w:val="auto"/>
          <w:spacing w:val="0"/>
          <w:kern w:val="0"/>
          <w:sz w:val="32"/>
          <w:szCs w:val="32"/>
          <w:highlight w:val="none"/>
          <w:lang w:val="en-US" w:eastAsia="zh-CN"/>
        </w:rPr>
        <w:t>55</w:t>
      </w:r>
      <w:r>
        <w:rPr>
          <w:rFonts w:hint="eastAsia" w:ascii="Times New Roman" w:hAnsi="Times New Roman" w:eastAsia="方正仿宋_GBK" w:cs="Times New Roman"/>
          <w:color w:val="auto"/>
          <w:spacing w:val="0"/>
          <w:kern w:val="0"/>
          <w:sz w:val="32"/>
          <w:szCs w:val="32"/>
          <w:highlight w:val="none"/>
          <w:lang w:val="zh-CN" w:eastAsia="zh-CN"/>
        </w:rPr>
        <w:t>万元，全部为上级转移支付资金。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val="0"/>
          <w:color w:val="auto"/>
          <w:spacing w:val="0"/>
          <w:kern w:val="0"/>
          <w:sz w:val="32"/>
          <w:szCs w:val="24"/>
          <w:highlight w:val="none"/>
          <w:u w:val="none"/>
          <w:lang w:val="en-US" w:eastAsia="zh-CN"/>
        </w:rPr>
      </w:pPr>
      <w:r>
        <w:rPr>
          <w:rFonts w:hint="eastAsia" w:ascii="Times New Roman" w:hAnsi="Times New Roman" w:eastAsia="方正楷体_GBK" w:cs="方正楷体_GBK"/>
          <w:b w:val="0"/>
          <w:bCs w:val="0"/>
          <w:color w:val="auto"/>
          <w:spacing w:val="0"/>
          <w:kern w:val="0"/>
          <w:sz w:val="32"/>
          <w:szCs w:val="24"/>
          <w:highlight w:val="none"/>
          <w:u w:val="none"/>
          <w:lang w:val="en-US" w:eastAsia="zh-CN"/>
        </w:rPr>
        <w:t>（五）地方政府债务情况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仿宋" w:cs="宋体"/>
          <w:b/>
          <w:bCs/>
          <w:color w:val="auto"/>
          <w:spacing w:val="0"/>
          <w:kern w:val="0"/>
          <w:sz w:val="32"/>
          <w:szCs w:val="32"/>
          <w:highlight w:val="none"/>
          <w:u w:val="none"/>
          <w:lang w:val="en-US" w:eastAsia="zh-CN"/>
        </w:rPr>
      </w:pPr>
      <w:r>
        <w:rPr>
          <w:rFonts w:hint="eastAsia" w:ascii="Times New Roman" w:hAnsi="Times New Roman" w:eastAsia="仿宋" w:cs="宋体"/>
          <w:b/>
          <w:bCs/>
          <w:color w:val="auto"/>
          <w:spacing w:val="0"/>
          <w:kern w:val="0"/>
          <w:sz w:val="32"/>
          <w:szCs w:val="32"/>
          <w:highlight w:val="none"/>
          <w:u w:val="none"/>
          <w:lang w:val="en-US" w:eastAsia="zh-CN"/>
        </w:rPr>
        <w:t>1.地方政府债务限额及余额情况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根据上级下达新增政府债券及存量政府债务情况，截至2024年底，我区政府债务限额</w:t>
      </w:r>
      <w:r>
        <w:rPr>
          <w:rFonts w:hint="default" w:ascii="Times New Roman" w:hAnsi="Times New Roman" w:eastAsia="方正仿宋_GBK" w:cs="Times New Roman"/>
          <w:color w:val="auto"/>
          <w:spacing w:val="0"/>
          <w:kern w:val="0"/>
          <w:sz w:val="32"/>
          <w:szCs w:val="32"/>
          <w:highlight w:val="none"/>
          <w:lang w:val="en-US" w:eastAsia="zh-CN"/>
        </w:rPr>
        <w:t>110.4</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一般债务</w:t>
      </w:r>
      <w:r>
        <w:rPr>
          <w:rFonts w:hint="default" w:ascii="Times New Roman" w:hAnsi="Times New Roman" w:eastAsia="方正仿宋_GBK" w:cs="Times New Roman"/>
          <w:color w:val="auto"/>
          <w:spacing w:val="0"/>
          <w:kern w:val="0"/>
          <w:sz w:val="32"/>
          <w:szCs w:val="32"/>
          <w:highlight w:val="none"/>
          <w:lang w:val="en-US" w:eastAsia="zh-CN"/>
        </w:rPr>
        <w:t>17</w:t>
      </w:r>
      <w:r>
        <w:rPr>
          <w:rFonts w:hint="eastAsia" w:ascii="Times New Roman" w:hAnsi="Times New Roman" w:eastAsia="方正仿宋_GBK" w:cs="Times New Roman"/>
          <w:color w:val="auto"/>
          <w:spacing w:val="0"/>
          <w:kern w:val="0"/>
          <w:sz w:val="32"/>
          <w:szCs w:val="32"/>
          <w:highlight w:val="none"/>
          <w:lang w:val="en-US" w:eastAsia="zh-CN"/>
        </w:rPr>
        <w:t>亿元、专项债务</w:t>
      </w:r>
      <w:r>
        <w:rPr>
          <w:rFonts w:hint="default" w:ascii="Times New Roman" w:hAnsi="Times New Roman" w:eastAsia="方正仿宋_GBK" w:cs="Times New Roman"/>
          <w:color w:val="auto"/>
          <w:spacing w:val="0"/>
          <w:kern w:val="0"/>
          <w:sz w:val="32"/>
          <w:szCs w:val="32"/>
          <w:highlight w:val="none"/>
          <w:lang w:val="en-US" w:eastAsia="zh-CN"/>
        </w:rPr>
        <w:t>93.4</w:t>
      </w:r>
      <w:r>
        <w:rPr>
          <w:rFonts w:hint="eastAsia" w:ascii="Times New Roman" w:hAnsi="Times New Roman" w:eastAsia="方正仿宋_GBK" w:cs="Times New Roman"/>
          <w:color w:val="auto"/>
          <w:spacing w:val="0"/>
          <w:kern w:val="0"/>
          <w:sz w:val="32"/>
          <w:szCs w:val="32"/>
          <w:highlight w:val="none"/>
          <w:lang w:val="en-US" w:eastAsia="zh-CN"/>
        </w:rPr>
        <w:t>亿元。政府债务余额为</w:t>
      </w:r>
      <w:r>
        <w:rPr>
          <w:rFonts w:hint="default" w:ascii="Times New Roman" w:hAnsi="Times New Roman" w:eastAsia="方正仿宋_GBK" w:cs="Times New Roman"/>
          <w:color w:val="auto"/>
          <w:spacing w:val="0"/>
          <w:kern w:val="0"/>
          <w:sz w:val="32"/>
          <w:szCs w:val="32"/>
          <w:highlight w:val="none"/>
          <w:lang w:val="en-US" w:eastAsia="zh-CN"/>
        </w:rPr>
        <w:t>108.1</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一般债务</w:t>
      </w:r>
      <w:r>
        <w:rPr>
          <w:rFonts w:hint="default" w:ascii="Times New Roman" w:hAnsi="Times New Roman" w:eastAsia="方正仿宋_GBK" w:cs="Times New Roman"/>
          <w:color w:val="auto"/>
          <w:spacing w:val="0"/>
          <w:kern w:val="0"/>
          <w:sz w:val="32"/>
          <w:szCs w:val="32"/>
          <w:highlight w:val="none"/>
          <w:lang w:val="en-US" w:eastAsia="zh-CN"/>
        </w:rPr>
        <w:t>16.6</w:t>
      </w:r>
      <w:r>
        <w:rPr>
          <w:rFonts w:hint="eastAsia" w:ascii="Times New Roman" w:hAnsi="Times New Roman" w:eastAsia="方正仿宋_GBK" w:cs="Times New Roman"/>
          <w:color w:val="auto"/>
          <w:spacing w:val="0"/>
          <w:kern w:val="0"/>
          <w:sz w:val="32"/>
          <w:szCs w:val="32"/>
          <w:highlight w:val="none"/>
          <w:lang w:val="en-US" w:eastAsia="zh-CN"/>
        </w:rPr>
        <w:t>亿元、专项债务</w:t>
      </w:r>
      <w:r>
        <w:rPr>
          <w:rFonts w:hint="default" w:ascii="Times New Roman" w:hAnsi="Times New Roman" w:eastAsia="方正仿宋_GBK" w:cs="Times New Roman"/>
          <w:color w:val="auto"/>
          <w:spacing w:val="0"/>
          <w:kern w:val="0"/>
          <w:sz w:val="32"/>
          <w:szCs w:val="32"/>
          <w:highlight w:val="none"/>
          <w:lang w:val="en-US" w:eastAsia="zh-CN"/>
        </w:rPr>
        <w:t>91.5</w:t>
      </w:r>
      <w:r>
        <w:rPr>
          <w:rFonts w:hint="eastAsia" w:ascii="Times New Roman" w:hAnsi="Times New Roman" w:eastAsia="方正仿宋_GBK" w:cs="Times New Roman"/>
          <w:color w:val="auto"/>
          <w:spacing w:val="0"/>
          <w:kern w:val="0"/>
          <w:sz w:val="32"/>
          <w:szCs w:val="32"/>
          <w:highlight w:val="none"/>
          <w:lang w:val="en-US" w:eastAsia="zh-CN"/>
        </w:rPr>
        <w:t>亿元，未突破政府债务限额。</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仿宋" w:cs="宋体"/>
          <w:b/>
          <w:bCs/>
          <w:color w:val="auto"/>
          <w:spacing w:val="0"/>
          <w:kern w:val="0"/>
          <w:sz w:val="32"/>
          <w:szCs w:val="32"/>
          <w:highlight w:val="none"/>
          <w:u w:val="none"/>
          <w:lang w:val="en-US" w:eastAsia="zh-CN"/>
        </w:rPr>
      </w:pPr>
      <w:r>
        <w:rPr>
          <w:rFonts w:hint="eastAsia" w:ascii="Times New Roman" w:hAnsi="Times New Roman" w:eastAsia="仿宋" w:cs="宋体"/>
          <w:b/>
          <w:bCs/>
          <w:color w:val="auto"/>
          <w:spacing w:val="0"/>
          <w:kern w:val="0"/>
          <w:sz w:val="32"/>
          <w:szCs w:val="32"/>
          <w:highlight w:val="none"/>
          <w:u w:val="none"/>
          <w:lang w:val="en-US" w:eastAsia="zh-CN"/>
        </w:rPr>
        <w:t>2.地方政府债券发行及使用情况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2024年，上级下达我区政府债券资金</w:t>
      </w:r>
      <w:r>
        <w:rPr>
          <w:rFonts w:hint="default" w:ascii="Times New Roman" w:hAnsi="Times New Roman" w:eastAsia="方正仿宋_GBK" w:cs="Times New Roman"/>
          <w:color w:val="auto"/>
          <w:spacing w:val="0"/>
          <w:kern w:val="0"/>
          <w:sz w:val="32"/>
          <w:szCs w:val="32"/>
          <w:highlight w:val="none"/>
          <w:lang w:val="en-US" w:eastAsia="zh-CN"/>
        </w:rPr>
        <w:t>29.5</w:t>
      </w:r>
      <w:r>
        <w:rPr>
          <w:rFonts w:hint="eastAsia" w:ascii="Times New Roman" w:hAnsi="Times New Roman" w:eastAsia="方正仿宋_GBK" w:cs="Times New Roman"/>
          <w:color w:val="auto"/>
          <w:spacing w:val="0"/>
          <w:kern w:val="0"/>
          <w:sz w:val="32"/>
          <w:szCs w:val="32"/>
          <w:highlight w:val="none"/>
          <w:lang w:val="en-US" w:eastAsia="zh-CN"/>
        </w:rPr>
        <w:t>亿元（含再融资债券</w:t>
      </w:r>
      <w:r>
        <w:rPr>
          <w:rFonts w:hint="default" w:ascii="Times New Roman" w:hAnsi="Times New Roman" w:eastAsia="方正仿宋_GBK" w:cs="Times New Roman"/>
          <w:color w:val="auto"/>
          <w:spacing w:val="0"/>
          <w:kern w:val="0"/>
          <w:sz w:val="32"/>
          <w:szCs w:val="32"/>
          <w:highlight w:val="none"/>
          <w:lang w:val="en-US" w:eastAsia="zh-CN"/>
        </w:rPr>
        <w:t>23.1</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一般债券</w:t>
      </w:r>
      <w:r>
        <w:rPr>
          <w:rFonts w:hint="default" w:ascii="Times New Roman" w:hAnsi="Times New Roman" w:eastAsia="方正仿宋_GBK" w:cs="Times New Roman"/>
          <w:color w:val="auto"/>
          <w:spacing w:val="0"/>
          <w:kern w:val="0"/>
          <w:sz w:val="32"/>
          <w:szCs w:val="32"/>
          <w:highlight w:val="none"/>
          <w:lang w:val="en-US" w:eastAsia="zh-CN"/>
        </w:rPr>
        <w:t>3.2</w:t>
      </w:r>
      <w:r>
        <w:rPr>
          <w:rFonts w:hint="eastAsia" w:ascii="Times New Roman" w:hAnsi="Times New Roman" w:eastAsia="方正仿宋_GBK" w:cs="Times New Roman"/>
          <w:color w:val="auto"/>
          <w:spacing w:val="0"/>
          <w:kern w:val="0"/>
          <w:sz w:val="32"/>
          <w:szCs w:val="32"/>
          <w:highlight w:val="none"/>
          <w:lang w:val="en-US" w:eastAsia="zh-CN"/>
        </w:rPr>
        <w:t>亿元（含再融资债券</w:t>
      </w:r>
      <w:r>
        <w:rPr>
          <w:rFonts w:hint="default" w:ascii="Times New Roman" w:hAnsi="Times New Roman" w:eastAsia="方正仿宋_GBK" w:cs="Times New Roman"/>
          <w:color w:val="auto"/>
          <w:spacing w:val="0"/>
          <w:kern w:val="0"/>
          <w:sz w:val="32"/>
          <w:szCs w:val="32"/>
          <w:highlight w:val="none"/>
          <w:lang w:val="en-US" w:eastAsia="zh-CN"/>
        </w:rPr>
        <w:t>2</w:t>
      </w:r>
      <w:r>
        <w:rPr>
          <w:rFonts w:hint="eastAsia" w:ascii="Times New Roman" w:hAnsi="Times New Roman" w:eastAsia="方正仿宋_GBK" w:cs="Times New Roman"/>
          <w:color w:val="auto"/>
          <w:spacing w:val="0"/>
          <w:kern w:val="0"/>
          <w:sz w:val="32"/>
          <w:szCs w:val="32"/>
          <w:highlight w:val="none"/>
          <w:lang w:val="en-US" w:eastAsia="zh-CN"/>
        </w:rPr>
        <w:t>亿元），专项债券</w:t>
      </w:r>
      <w:r>
        <w:rPr>
          <w:rFonts w:hint="default" w:ascii="Times New Roman" w:hAnsi="Times New Roman" w:eastAsia="方正仿宋_GBK" w:cs="Times New Roman"/>
          <w:color w:val="auto"/>
          <w:spacing w:val="0"/>
          <w:kern w:val="0"/>
          <w:sz w:val="32"/>
          <w:szCs w:val="32"/>
          <w:highlight w:val="none"/>
          <w:lang w:val="en-US" w:eastAsia="zh-CN"/>
        </w:rPr>
        <w:t>26.3</w:t>
      </w:r>
      <w:r>
        <w:rPr>
          <w:rFonts w:hint="eastAsia" w:ascii="Times New Roman" w:hAnsi="Times New Roman" w:eastAsia="方正仿宋_GBK" w:cs="Times New Roman"/>
          <w:color w:val="auto"/>
          <w:spacing w:val="0"/>
          <w:kern w:val="0"/>
          <w:sz w:val="32"/>
          <w:szCs w:val="32"/>
          <w:highlight w:val="none"/>
          <w:lang w:val="en-US" w:eastAsia="zh-CN"/>
        </w:rPr>
        <w:t>亿元（含再融资债券</w:t>
      </w:r>
      <w:r>
        <w:rPr>
          <w:rFonts w:hint="default" w:ascii="Times New Roman" w:hAnsi="Times New Roman" w:eastAsia="方正仿宋_GBK" w:cs="Times New Roman"/>
          <w:color w:val="auto"/>
          <w:spacing w:val="0"/>
          <w:kern w:val="0"/>
          <w:sz w:val="32"/>
          <w:szCs w:val="32"/>
          <w:highlight w:val="none"/>
          <w:lang w:val="en-US" w:eastAsia="zh-CN"/>
        </w:rPr>
        <w:t>21.2</w:t>
      </w:r>
      <w:r>
        <w:rPr>
          <w:rFonts w:hint="eastAsia" w:ascii="Times New Roman" w:hAnsi="Times New Roman" w:eastAsia="方正仿宋_GBK" w:cs="Times New Roman"/>
          <w:color w:val="auto"/>
          <w:spacing w:val="0"/>
          <w:kern w:val="0"/>
          <w:sz w:val="32"/>
          <w:szCs w:val="32"/>
          <w:highlight w:val="none"/>
          <w:lang w:val="en-US" w:eastAsia="zh-CN"/>
        </w:rPr>
        <w:t>亿元）。政府债券资金共支付</w:t>
      </w:r>
      <w:r>
        <w:rPr>
          <w:rFonts w:hint="default" w:ascii="Times New Roman" w:hAnsi="Times New Roman" w:eastAsia="方正仿宋_GBK" w:cs="Times New Roman"/>
          <w:color w:val="auto"/>
          <w:spacing w:val="0"/>
          <w:kern w:val="0"/>
          <w:sz w:val="32"/>
          <w:szCs w:val="32"/>
          <w:highlight w:val="none"/>
          <w:lang w:val="en-US" w:eastAsia="zh-CN"/>
        </w:rPr>
        <w:t>27.6</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一般债券</w:t>
      </w:r>
      <w:r>
        <w:rPr>
          <w:rFonts w:hint="default" w:ascii="Times New Roman" w:hAnsi="Times New Roman" w:eastAsia="方正仿宋_GBK" w:cs="Times New Roman"/>
          <w:color w:val="auto"/>
          <w:spacing w:val="0"/>
          <w:kern w:val="0"/>
          <w:sz w:val="32"/>
          <w:szCs w:val="32"/>
          <w:highlight w:val="none"/>
          <w:lang w:val="en-US" w:eastAsia="zh-CN"/>
        </w:rPr>
        <w:t>2.2</w:t>
      </w:r>
      <w:r>
        <w:rPr>
          <w:rFonts w:hint="eastAsia" w:ascii="Times New Roman" w:hAnsi="Times New Roman" w:eastAsia="方正仿宋_GBK" w:cs="Times New Roman"/>
          <w:color w:val="auto"/>
          <w:spacing w:val="0"/>
          <w:kern w:val="0"/>
          <w:sz w:val="32"/>
          <w:szCs w:val="32"/>
          <w:highlight w:val="none"/>
          <w:lang w:val="en-US" w:eastAsia="zh-CN"/>
        </w:rPr>
        <w:t>亿元，专项债券</w:t>
      </w:r>
      <w:r>
        <w:rPr>
          <w:rFonts w:hint="default" w:ascii="Times New Roman" w:hAnsi="Times New Roman" w:eastAsia="方正仿宋_GBK" w:cs="Times New Roman"/>
          <w:color w:val="auto"/>
          <w:spacing w:val="0"/>
          <w:kern w:val="0"/>
          <w:sz w:val="32"/>
          <w:szCs w:val="32"/>
          <w:highlight w:val="none"/>
          <w:lang w:val="en-US" w:eastAsia="zh-CN"/>
        </w:rPr>
        <w:t>25.4</w:t>
      </w:r>
      <w:r>
        <w:rPr>
          <w:rFonts w:hint="eastAsia" w:ascii="Times New Roman" w:hAnsi="Times New Roman" w:eastAsia="方正仿宋_GBK" w:cs="Times New Roman"/>
          <w:color w:val="auto"/>
          <w:spacing w:val="0"/>
          <w:kern w:val="0"/>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仿宋" w:cs="宋体"/>
          <w:b/>
          <w:bCs/>
          <w:color w:val="auto"/>
          <w:spacing w:val="0"/>
          <w:kern w:val="0"/>
          <w:sz w:val="32"/>
          <w:szCs w:val="32"/>
          <w:highlight w:val="none"/>
          <w:u w:val="none"/>
          <w:lang w:val="en-US" w:eastAsia="zh-CN"/>
        </w:rPr>
      </w:pPr>
      <w:r>
        <w:rPr>
          <w:rFonts w:hint="eastAsia" w:ascii="Times New Roman" w:hAnsi="Times New Roman" w:eastAsia="仿宋" w:cs="宋体"/>
          <w:b/>
          <w:bCs/>
          <w:color w:val="auto"/>
          <w:spacing w:val="0"/>
          <w:kern w:val="0"/>
          <w:sz w:val="32"/>
          <w:szCs w:val="32"/>
          <w:highlight w:val="none"/>
          <w:u w:val="none"/>
          <w:lang w:val="en-US" w:eastAsia="zh-CN"/>
        </w:rPr>
        <w:t>3.政府债务还本付息情况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2024年，我区共上解政府债券本息及付息服务费</w:t>
      </w:r>
      <w:r>
        <w:rPr>
          <w:rFonts w:hint="default" w:ascii="Times New Roman" w:hAnsi="Times New Roman" w:eastAsia="方正仿宋_GBK" w:cs="Times New Roman"/>
          <w:color w:val="auto"/>
          <w:spacing w:val="0"/>
          <w:kern w:val="0"/>
          <w:sz w:val="32"/>
          <w:szCs w:val="32"/>
          <w:highlight w:val="none"/>
          <w:lang w:val="en-US" w:eastAsia="zh-CN"/>
        </w:rPr>
        <w:t>23</w:t>
      </w:r>
      <w:r>
        <w:rPr>
          <w:rFonts w:hint="eastAsia" w:ascii="Times New Roman" w:hAnsi="Times New Roman" w:eastAsia="方正仿宋_GBK" w:cs="Times New Roman"/>
          <w:color w:val="auto"/>
          <w:spacing w:val="0"/>
          <w:kern w:val="0"/>
          <w:sz w:val="32"/>
          <w:szCs w:val="32"/>
          <w:highlight w:val="none"/>
          <w:lang w:val="en-US" w:eastAsia="zh-CN"/>
        </w:rPr>
        <w:t>亿元，没有发生逾期风险事件。</w:t>
      </w:r>
    </w:p>
    <w:p>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val="0"/>
          <w:color w:val="auto"/>
          <w:spacing w:val="0"/>
          <w:kern w:val="0"/>
          <w:sz w:val="32"/>
          <w:szCs w:val="24"/>
          <w:highlight w:val="none"/>
          <w:u w:val="none"/>
          <w:lang w:val="zh-CN"/>
        </w:rPr>
      </w:pPr>
      <w:r>
        <w:rPr>
          <w:rFonts w:hint="eastAsia" w:ascii="Times New Roman" w:hAnsi="Times New Roman" w:eastAsia="方正楷体_GBK" w:cs="方正楷体_GBK"/>
          <w:b w:val="0"/>
          <w:bCs w:val="0"/>
          <w:color w:val="auto"/>
          <w:spacing w:val="0"/>
          <w:kern w:val="0"/>
          <w:sz w:val="32"/>
          <w:szCs w:val="24"/>
          <w:highlight w:val="none"/>
          <w:u w:val="none"/>
          <w:lang w:val="zh-CN"/>
        </w:rPr>
        <w:t>预算执行特点和成效</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1.落实积极财政政策，经济回升向好态势更加巩固。</w:t>
      </w:r>
      <w:r>
        <w:rPr>
          <w:rFonts w:hint="default" w:ascii="Times New Roman" w:hAnsi="Times New Roman" w:eastAsia="方正仿宋_GBK" w:cs="Times New Roman"/>
          <w:color w:val="auto"/>
          <w:spacing w:val="0"/>
          <w:kern w:val="0"/>
          <w:sz w:val="32"/>
          <w:szCs w:val="32"/>
          <w:highlight w:val="none"/>
          <w:lang w:val="en-US" w:eastAsia="zh-CN"/>
        </w:rPr>
        <w:t>组合使用</w:t>
      </w:r>
      <w:r>
        <w:rPr>
          <w:rFonts w:hint="eastAsia" w:ascii="Times New Roman" w:hAnsi="Times New Roman" w:eastAsia="方正仿宋_GBK" w:cs="Times New Roman"/>
          <w:color w:val="auto"/>
          <w:spacing w:val="0"/>
          <w:kern w:val="0"/>
          <w:sz w:val="32"/>
          <w:szCs w:val="32"/>
          <w:highlight w:val="none"/>
          <w:lang w:val="en-US" w:eastAsia="zh-CN"/>
        </w:rPr>
        <w:t>上级专款、超长期国债、地方政府债券、政府采购等工具，保持财政投入强度，</w:t>
      </w:r>
      <w:r>
        <w:rPr>
          <w:rFonts w:hint="default" w:ascii="Times New Roman" w:hAnsi="Times New Roman" w:eastAsia="方正仿宋_GBK" w:cs="Times New Roman"/>
          <w:color w:val="auto"/>
          <w:spacing w:val="0"/>
          <w:kern w:val="0"/>
          <w:sz w:val="32"/>
          <w:szCs w:val="32"/>
          <w:highlight w:val="none"/>
          <w:lang w:val="en-US" w:eastAsia="zh-CN"/>
        </w:rPr>
        <w:t>强化财政宏观政策逆周期和跨周期调节</w:t>
      </w:r>
      <w:r>
        <w:rPr>
          <w:rFonts w:hint="eastAsia" w:ascii="Times New Roman" w:hAnsi="Times New Roman"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b/>
          <w:bCs/>
          <w:color w:val="auto"/>
          <w:spacing w:val="0"/>
          <w:kern w:val="0"/>
          <w:sz w:val="32"/>
          <w:szCs w:val="32"/>
          <w:highlight w:val="none"/>
          <w:lang w:val="en-US" w:eastAsia="zh-CN"/>
        </w:rPr>
        <w:t>一是着力扩投资促消费。</w:t>
      </w:r>
      <w:r>
        <w:rPr>
          <w:rFonts w:hint="eastAsia" w:ascii="Times New Roman" w:hAnsi="Times New Roman" w:eastAsia="方正仿宋_GBK" w:cs="Times New Roman"/>
          <w:color w:val="auto"/>
          <w:spacing w:val="0"/>
          <w:kern w:val="0"/>
          <w:sz w:val="32"/>
          <w:szCs w:val="32"/>
          <w:highlight w:val="none"/>
          <w:lang w:val="en-US" w:eastAsia="zh-CN"/>
        </w:rPr>
        <w:t>落实超长期国债项目资金3.3亿元，用于瀑河治理工程、燃气安全基础设施项目。投入资金1.6亿元，用于交通基础设施建设、城乡人居环境改善等领域，发挥了财政资金稳投资、补短板、惠民生作用。</w:t>
      </w:r>
      <w:r>
        <w:rPr>
          <w:rFonts w:hint="eastAsia" w:ascii="Times New Roman" w:hAnsi="Times New Roman" w:eastAsia="方正仿宋_GBK" w:cs="Times New Roman"/>
          <w:color w:val="auto"/>
          <w:spacing w:val="0"/>
          <w:kern w:val="0"/>
          <w:sz w:val="32"/>
          <w:szCs w:val="32"/>
          <w:highlight w:val="none"/>
          <w:lang w:val="zh-CN" w:eastAsia="zh-CN"/>
        </w:rPr>
        <w:t>投入资金</w:t>
      </w:r>
      <w:r>
        <w:rPr>
          <w:rFonts w:hint="eastAsia" w:ascii="Times New Roman" w:hAnsi="Times New Roman" w:eastAsia="方正仿宋_GBK" w:cs="Times New Roman"/>
          <w:color w:val="auto"/>
          <w:spacing w:val="0"/>
          <w:kern w:val="0"/>
          <w:sz w:val="32"/>
          <w:szCs w:val="32"/>
          <w:highlight w:val="none"/>
          <w:lang w:val="en-US" w:eastAsia="zh-CN"/>
        </w:rPr>
        <w:t>1140</w:t>
      </w:r>
      <w:r>
        <w:rPr>
          <w:rFonts w:hint="eastAsia" w:ascii="Times New Roman" w:hAnsi="Times New Roman" w:eastAsia="方正仿宋_GBK" w:cs="Times New Roman"/>
          <w:color w:val="auto"/>
          <w:spacing w:val="0"/>
          <w:kern w:val="0"/>
          <w:sz w:val="32"/>
          <w:szCs w:val="32"/>
          <w:highlight w:val="none"/>
          <w:lang w:val="zh-CN" w:eastAsia="zh-CN"/>
        </w:rPr>
        <w:t>万元</w:t>
      </w:r>
      <w:r>
        <w:rPr>
          <w:rFonts w:hint="eastAsia" w:ascii="Times New Roman" w:hAnsi="Times New Roman" w:eastAsia="方正仿宋_GBK" w:cs="Times New Roman"/>
          <w:color w:val="auto"/>
          <w:spacing w:val="0"/>
          <w:kern w:val="0"/>
          <w:sz w:val="32"/>
          <w:szCs w:val="32"/>
          <w:highlight w:val="none"/>
          <w:lang w:val="en-US" w:eastAsia="zh-CN"/>
        </w:rPr>
        <w:t>支持</w:t>
      </w:r>
      <w:r>
        <w:rPr>
          <w:rFonts w:hint="eastAsia" w:ascii="Times New Roman" w:hAnsi="Times New Roman" w:eastAsia="方正仿宋_GBK" w:cs="Times New Roman"/>
          <w:color w:val="auto"/>
          <w:spacing w:val="0"/>
          <w:kern w:val="0"/>
          <w:sz w:val="32"/>
          <w:szCs w:val="32"/>
          <w:highlight w:val="none"/>
          <w:lang w:val="zh-CN" w:eastAsia="zh-CN"/>
        </w:rPr>
        <w:t>汽车消费</w:t>
      </w:r>
      <w:r>
        <w:rPr>
          <w:rFonts w:hint="default" w:ascii="Times New Roman" w:hAnsi="Times New Roman" w:eastAsia="方正仿宋_GBK" w:cs="Times New Roman"/>
          <w:color w:val="auto"/>
          <w:spacing w:val="0"/>
          <w:kern w:val="0"/>
          <w:sz w:val="32"/>
          <w:szCs w:val="32"/>
          <w:highlight w:val="none"/>
          <w:lang w:val="en-US" w:eastAsia="zh-CN"/>
        </w:rPr>
        <w:t>活动</w:t>
      </w:r>
      <w:r>
        <w:rPr>
          <w:rFonts w:hint="eastAsia" w:ascii="Times New Roman" w:hAnsi="Times New Roman" w:eastAsia="方正仿宋_GBK" w:cs="Times New Roman"/>
          <w:color w:val="auto"/>
          <w:spacing w:val="0"/>
          <w:kern w:val="0"/>
          <w:sz w:val="32"/>
          <w:szCs w:val="32"/>
          <w:highlight w:val="none"/>
          <w:lang w:val="en-US" w:eastAsia="zh-CN"/>
        </w:rPr>
        <w:t>，打造消费场景，激发消费活力。</w:t>
      </w:r>
      <w:r>
        <w:rPr>
          <w:rFonts w:hint="eastAsia" w:ascii="Times New Roman" w:hAnsi="Times New Roman" w:eastAsia="方正仿宋_GBK" w:cs="Times New Roman"/>
          <w:b/>
          <w:bCs/>
          <w:color w:val="auto"/>
          <w:spacing w:val="0"/>
          <w:kern w:val="0"/>
          <w:sz w:val="32"/>
          <w:szCs w:val="32"/>
          <w:highlight w:val="none"/>
          <w:lang w:val="en-US" w:eastAsia="zh-CN"/>
        </w:rPr>
        <w:t>二是不折不扣落实结构性减税降费政策。</w:t>
      </w:r>
      <w:r>
        <w:rPr>
          <w:rFonts w:hint="eastAsia" w:ascii="Times New Roman" w:hAnsi="Times New Roman" w:eastAsia="方正仿宋_GBK" w:cs="Times New Roman"/>
          <w:color w:val="auto"/>
          <w:spacing w:val="0"/>
          <w:kern w:val="0"/>
          <w:sz w:val="32"/>
          <w:szCs w:val="32"/>
          <w:highlight w:val="none"/>
          <w:lang w:val="en-US" w:eastAsia="zh-CN"/>
        </w:rPr>
        <w:t>2024年</w:t>
      </w:r>
      <w:r>
        <w:rPr>
          <w:rFonts w:hint="eastAsia" w:ascii="Times New Roman" w:hAnsi="Times New Roman" w:eastAsia="方正仿宋_GBK" w:cs="Times New Roman"/>
          <w:color w:val="auto"/>
          <w:spacing w:val="0"/>
          <w:kern w:val="0"/>
          <w:sz w:val="32"/>
          <w:szCs w:val="32"/>
          <w:highlight w:val="none"/>
          <w:lang w:val="zh-CN" w:eastAsia="zh-CN"/>
        </w:rPr>
        <w:t>全区累计</w:t>
      </w:r>
      <w:r>
        <w:rPr>
          <w:rFonts w:hint="eastAsia" w:ascii="Times New Roman" w:hAnsi="Times New Roman" w:eastAsia="方正仿宋_GBK" w:cs="Times New Roman"/>
          <w:color w:val="auto"/>
          <w:spacing w:val="0"/>
          <w:kern w:val="0"/>
          <w:sz w:val="32"/>
          <w:szCs w:val="32"/>
          <w:highlight w:val="none"/>
          <w:lang w:val="en-US" w:eastAsia="zh-CN"/>
        </w:rPr>
        <w:t>落实</w:t>
      </w:r>
      <w:r>
        <w:rPr>
          <w:rFonts w:hint="eastAsia" w:ascii="Times New Roman" w:hAnsi="Times New Roman" w:eastAsia="方正仿宋_GBK" w:cs="Times New Roman"/>
          <w:color w:val="auto"/>
          <w:spacing w:val="0"/>
          <w:kern w:val="0"/>
          <w:sz w:val="32"/>
          <w:szCs w:val="32"/>
          <w:highlight w:val="none"/>
          <w:lang w:val="zh-CN" w:eastAsia="zh-CN"/>
        </w:rPr>
        <w:t>减税降费</w:t>
      </w:r>
      <w:r>
        <w:rPr>
          <w:rFonts w:hint="eastAsia" w:ascii="Times New Roman" w:hAnsi="Times New Roman" w:eastAsia="方正仿宋_GBK" w:cs="Times New Roman"/>
          <w:color w:val="auto"/>
          <w:spacing w:val="0"/>
          <w:kern w:val="0"/>
          <w:sz w:val="32"/>
          <w:szCs w:val="32"/>
          <w:highlight w:val="none"/>
          <w:lang w:val="en-US" w:eastAsia="zh-CN"/>
        </w:rPr>
        <w:t>和留抵退税15.2</w:t>
      </w:r>
      <w:r>
        <w:rPr>
          <w:rFonts w:hint="eastAsia" w:ascii="Times New Roman" w:hAnsi="Times New Roman" w:eastAsia="方正仿宋_GBK" w:cs="Times New Roman"/>
          <w:color w:val="auto"/>
          <w:spacing w:val="0"/>
          <w:kern w:val="0"/>
          <w:sz w:val="32"/>
          <w:szCs w:val="32"/>
          <w:highlight w:val="none"/>
          <w:lang w:val="zh-CN" w:eastAsia="zh-CN"/>
        </w:rPr>
        <w:t>亿元，</w:t>
      </w:r>
      <w:r>
        <w:rPr>
          <w:rFonts w:hint="eastAsia" w:ascii="Times New Roman" w:hAnsi="Times New Roman" w:eastAsia="方正仿宋_GBK" w:cs="Times New Roman"/>
          <w:color w:val="auto"/>
          <w:spacing w:val="0"/>
          <w:kern w:val="0"/>
          <w:sz w:val="32"/>
          <w:szCs w:val="32"/>
          <w:highlight w:val="none"/>
          <w:lang w:val="en-US" w:eastAsia="zh-CN"/>
        </w:rPr>
        <w:t>助企抒困、有效提振了市场信心</w:t>
      </w:r>
      <w:r>
        <w:rPr>
          <w:rFonts w:hint="eastAsia" w:ascii="Times New Roman" w:hAnsi="Times New Roman" w:eastAsia="方正仿宋_GBK" w:cs="Times New Roman"/>
          <w:color w:val="auto"/>
          <w:spacing w:val="0"/>
          <w:kern w:val="0"/>
          <w:sz w:val="32"/>
          <w:szCs w:val="32"/>
          <w:highlight w:val="none"/>
          <w:lang w:val="zh-CN" w:eastAsia="zh-CN"/>
        </w:rPr>
        <w:t>。</w:t>
      </w:r>
      <w:r>
        <w:rPr>
          <w:rFonts w:hint="eastAsia" w:ascii="Times New Roman" w:hAnsi="Times New Roman" w:eastAsia="方正仿宋_GBK" w:cs="Times New Roman"/>
          <w:b/>
          <w:bCs/>
          <w:color w:val="auto"/>
          <w:spacing w:val="0"/>
          <w:kern w:val="0"/>
          <w:sz w:val="32"/>
          <w:szCs w:val="32"/>
          <w:highlight w:val="none"/>
          <w:lang w:val="en-US" w:eastAsia="zh-CN"/>
        </w:rPr>
        <w:t>三是优化政府采购领域营商环境。</w:t>
      </w:r>
      <w:r>
        <w:rPr>
          <w:rFonts w:hint="eastAsia" w:ascii="Times New Roman" w:hAnsi="Times New Roman" w:eastAsia="方正仿宋_GBK" w:cs="Times New Roman"/>
          <w:color w:val="auto"/>
          <w:spacing w:val="0"/>
          <w:kern w:val="0"/>
          <w:sz w:val="32"/>
          <w:szCs w:val="32"/>
          <w:highlight w:val="none"/>
          <w:lang w:val="en-US" w:eastAsia="zh-CN"/>
        </w:rPr>
        <w:t>落实政府采购预留中小企业份额要求和提高小微企业价格评审优惠幅度政策，2024年中小企业中标政府采购合同金额2.1亿元，占政府采购合同总金额的57.4%。开展政府采购领域专项清理整治工作，落实好政府采购公开招标“双盲”评审工作制度，充分调动各类经营主体积极性。</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2.</w:t>
      </w:r>
      <w:r>
        <w:rPr>
          <w:rFonts w:hint="eastAsia" w:ascii="Times New Roman" w:hAnsi="Times New Roman" w:eastAsia="方正仿宋_GBK" w:cs="方正仿宋_GBK"/>
          <w:b/>
          <w:bCs/>
          <w:color w:val="auto"/>
          <w:spacing w:val="0"/>
          <w:kern w:val="0"/>
          <w:sz w:val="32"/>
          <w:szCs w:val="32"/>
          <w:highlight w:val="none"/>
          <w:shd w:val="clear" w:color="auto" w:fill="FFFFFF"/>
          <w:lang w:val="en-US" w:eastAsia="zh-CN" w:bidi="ar-SA"/>
        </w:rPr>
        <w:t>紧盯群众关切，民生福祉更加殷实。</w:t>
      </w:r>
      <w:r>
        <w:rPr>
          <w:rFonts w:hint="default" w:ascii="Times New Roman" w:hAnsi="Times New Roman" w:eastAsia="方正仿宋_GBK" w:cs="Times New Roman"/>
          <w:color w:val="auto"/>
          <w:spacing w:val="0"/>
          <w:kern w:val="0"/>
          <w:sz w:val="32"/>
          <w:szCs w:val="32"/>
          <w:highlight w:val="none"/>
          <w:lang w:val="en-US" w:eastAsia="zh-CN"/>
        </w:rPr>
        <w:t>坚持尽力而为、量力而行，持续</w:t>
      </w:r>
      <w:r>
        <w:rPr>
          <w:rFonts w:hint="eastAsia" w:ascii="Times New Roman" w:hAnsi="Times New Roman" w:eastAsia="方正仿宋_GBK" w:cs="Times New Roman"/>
          <w:color w:val="auto"/>
          <w:spacing w:val="0"/>
          <w:kern w:val="0"/>
          <w:sz w:val="32"/>
          <w:szCs w:val="32"/>
          <w:highlight w:val="none"/>
          <w:lang w:val="en-US" w:eastAsia="zh-CN"/>
        </w:rPr>
        <w:t>强化</w:t>
      </w:r>
      <w:r>
        <w:rPr>
          <w:rFonts w:hint="default" w:ascii="Times New Roman" w:hAnsi="Times New Roman" w:eastAsia="方正仿宋_GBK" w:cs="Times New Roman"/>
          <w:color w:val="auto"/>
          <w:spacing w:val="0"/>
          <w:kern w:val="0"/>
          <w:sz w:val="32"/>
          <w:szCs w:val="32"/>
          <w:highlight w:val="none"/>
          <w:lang w:val="en-US" w:eastAsia="zh-CN"/>
        </w:rPr>
        <w:t>基础性、普惠性、兜底性</w:t>
      </w:r>
      <w:r>
        <w:rPr>
          <w:rFonts w:hint="eastAsia" w:ascii="Times New Roman" w:hAnsi="Times New Roman" w:eastAsia="方正仿宋_GBK" w:cs="Times New Roman"/>
          <w:color w:val="auto"/>
          <w:spacing w:val="0"/>
          <w:kern w:val="0"/>
          <w:sz w:val="32"/>
          <w:szCs w:val="32"/>
          <w:highlight w:val="none"/>
          <w:lang w:val="en-US" w:eastAsia="zh-CN"/>
        </w:rPr>
        <w:t>基本民生保障。</w:t>
      </w:r>
      <w:r>
        <w:rPr>
          <w:rFonts w:hint="eastAsia" w:ascii="Times New Roman" w:hAnsi="Times New Roman" w:eastAsia="方正仿宋_GBK" w:cs="Times New Roman"/>
          <w:b/>
          <w:bCs/>
          <w:color w:val="auto"/>
          <w:spacing w:val="0"/>
          <w:kern w:val="0"/>
          <w:sz w:val="32"/>
          <w:szCs w:val="32"/>
          <w:highlight w:val="none"/>
          <w:lang w:val="en-US" w:eastAsia="zh-CN"/>
        </w:rPr>
        <w:t>一是支持教育优质均衡发展。</w:t>
      </w:r>
      <w:r>
        <w:rPr>
          <w:rFonts w:hint="eastAsia" w:ascii="Times New Roman" w:hAnsi="Times New Roman" w:eastAsia="方正仿宋_GBK" w:cs="Times New Roman"/>
          <w:color w:val="auto"/>
          <w:spacing w:val="0"/>
          <w:kern w:val="0"/>
          <w:sz w:val="32"/>
          <w:szCs w:val="32"/>
          <w:highlight w:val="none"/>
          <w:lang w:val="en-US" w:eastAsia="zh-CN"/>
        </w:rPr>
        <w:t>全区教育支出12.5亿元，其中，足额落实各学段生均公用经费1亿元，拨付专项资金0.8亿元，用于第三中学建设及课桌椅采购、民办义务教育学校购买学位、小学生营养餐改善、落实国家资助等政策。家庭经济困难寄宿生生活补助标准年生均小学标准由1000元提高到1250元，初中由1250元提高到1500元，非寄宿生生活补助标准继续按寄宿生生活补助标准的50%核定，足额保障到位。</w:t>
      </w:r>
      <w:r>
        <w:rPr>
          <w:rFonts w:hint="eastAsia" w:ascii="Times New Roman" w:hAnsi="Times New Roman" w:eastAsia="方正仿宋_GBK" w:cs="Times New Roman"/>
          <w:b/>
          <w:bCs/>
          <w:color w:val="auto"/>
          <w:spacing w:val="0"/>
          <w:kern w:val="0"/>
          <w:sz w:val="32"/>
          <w:szCs w:val="32"/>
          <w:highlight w:val="none"/>
          <w:lang w:val="en-US" w:eastAsia="zh-CN"/>
        </w:rPr>
        <w:t>二是支持卫生健康事业发展。</w:t>
      </w:r>
      <w:r>
        <w:rPr>
          <w:rFonts w:hint="eastAsia" w:ascii="Times New Roman" w:hAnsi="Times New Roman" w:eastAsia="方正仿宋_GBK" w:cs="Times New Roman"/>
          <w:color w:val="auto"/>
          <w:spacing w:val="0"/>
          <w:kern w:val="0"/>
          <w:sz w:val="32"/>
          <w:szCs w:val="32"/>
          <w:highlight w:val="none"/>
          <w:lang w:val="en-US" w:eastAsia="zh-CN"/>
        </w:rPr>
        <w:t>把保障人民健康放在优先发展的地位，拨付专项资金</w:t>
      </w:r>
      <w:r>
        <w:rPr>
          <w:rFonts w:hint="default" w:ascii="Times New Roman" w:hAnsi="Times New Roman" w:eastAsia="方正仿宋_GBK" w:cs="Times New Roman"/>
          <w:color w:val="auto"/>
          <w:spacing w:val="0"/>
          <w:kern w:val="0"/>
          <w:sz w:val="32"/>
          <w:szCs w:val="32"/>
          <w:highlight w:val="none"/>
          <w:lang w:val="en-US" w:eastAsia="zh-CN"/>
        </w:rPr>
        <w:t>1.9</w:t>
      </w:r>
      <w:r>
        <w:rPr>
          <w:rFonts w:hint="eastAsia" w:ascii="Times New Roman" w:hAnsi="Times New Roman" w:eastAsia="方正仿宋_GBK" w:cs="Times New Roman"/>
          <w:color w:val="auto"/>
          <w:spacing w:val="0"/>
          <w:kern w:val="0"/>
          <w:sz w:val="32"/>
          <w:szCs w:val="32"/>
          <w:highlight w:val="none"/>
          <w:lang w:val="en-US" w:eastAsia="zh-CN"/>
        </w:rPr>
        <w:t>亿元，用于城乡居民基本医疗保险、医疗救助补助、基本公共卫生服务、落实国家基本药物制度等，着力减轻人民群众看病就医负担。其中，城乡居民基本医疗保险人均财政补助提高</w:t>
      </w:r>
      <w:r>
        <w:rPr>
          <w:rFonts w:hint="default" w:ascii="Times New Roman" w:hAnsi="Times New Roman" w:eastAsia="方正仿宋_GBK" w:cs="Times New Roman"/>
          <w:color w:val="auto"/>
          <w:spacing w:val="0"/>
          <w:kern w:val="0"/>
          <w:sz w:val="32"/>
          <w:szCs w:val="32"/>
          <w:highlight w:val="none"/>
          <w:lang w:val="en-US" w:eastAsia="zh-CN"/>
        </w:rPr>
        <w:t>30</w:t>
      </w:r>
      <w:r>
        <w:rPr>
          <w:rFonts w:hint="eastAsia" w:ascii="Times New Roman" w:hAnsi="Times New Roman" w:eastAsia="方正仿宋_GBK" w:cs="Times New Roman"/>
          <w:color w:val="auto"/>
          <w:spacing w:val="0"/>
          <w:kern w:val="0"/>
          <w:sz w:val="32"/>
          <w:szCs w:val="32"/>
          <w:highlight w:val="none"/>
          <w:lang w:val="en-US" w:eastAsia="zh-CN"/>
        </w:rPr>
        <w:t>元，达到每人每年</w:t>
      </w:r>
      <w:r>
        <w:rPr>
          <w:rFonts w:hint="default" w:ascii="Times New Roman" w:hAnsi="Times New Roman" w:eastAsia="方正仿宋_GBK" w:cs="Times New Roman"/>
          <w:color w:val="auto"/>
          <w:spacing w:val="0"/>
          <w:kern w:val="0"/>
          <w:sz w:val="32"/>
          <w:szCs w:val="32"/>
          <w:highlight w:val="none"/>
          <w:lang w:val="en-US" w:eastAsia="zh-CN"/>
        </w:rPr>
        <w:t>670</w:t>
      </w:r>
      <w:r>
        <w:rPr>
          <w:rFonts w:hint="eastAsia" w:ascii="Times New Roman" w:hAnsi="Times New Roman" w:eastAsia="方正仿宋_GBK" w:cs="Times New Roman"/>
          <w:color w:val="auto"/>
          <w:spacing w:val="0"/>
          <w:kern w:val="0"/>
          <w:sz w:val="32"/>
          <w:szCs w:val="32"/>
          <w:highlight w:val="none"/>
          <w:lang w:val="en-US" w:eastAsia="zh-CN"/>
        </w:rPr>
        <w:t>元，惠及群众</w:t>
      </w:r>
      <w:r>
        <w:rPr>
          <w:rFonts w:hint="default" w:ascii="Times New Roman" w:hAnsi="Times New Roman" w:eastAsia="方正仿宋_GBK" w:cs="Times New Roman"/>
          <w:color w:val="auto"/>
          <w:spacing w:val="0"/>
          <w:kern w:val="0"/>
          <w:sz w:val="32"/>
          <w:szCs w:val="32"/>
          <w:highlight w:val="none"/>
          <w:lang w:val="en-US" w:eastAsia="zh-CN"/>
        </w:rPr>
        <w:t>48</w:t>
      </w:r>
      <w:r>
        <w:rPr>
          <w:rFonts w:hint="eastAsia" w:ascii="Times New Roman" w:hAnsi="Times New Roman" w:eastAsia="方正仿宋_GBK" w:cs="Times New Roman"/>
          <w:color w:val="auto"/>
          <w:spacing w:val="0"/>
          <w:kern w:val="0"/>
          <w:sz w:val="32"/>
          <w:szCs w:val="32"/>
          <w:highlight w:val="none"/>
          <w:lang w:val="en-US" w:eastAsia="zh-CN"/>
        </w:rPr>
        <w:t>万余人，基本公共卫生服务经费人均财政补助标准提高</w:t>
      </w:r>
      <w:r>
        <w:rPr>
          <w:rFonts w:hint="default" w:ascii="Times New Roman" w:hAnsi="Times New Roman" w:eastAsia="方正仿宋_GBK" w:cs="Times New Roman"/>
          <w:color w:val="auto"/>
          <w:spacing w:val="0"/>
          <w:kern w:val="0"/>
          <w:sz w:val="32"/>
          <w:szCs w:val="32"/>
          <w:highlight w:val="none"/>
          <w:lang w:val="en-US" w:eastAsia="zh-CN"/>
        </w:rPr>
        <w:t>5</w:t>
      </w:r>
      <w:r>
        <w:rPr>
          <w:rFonts w:hint="eastAsia" w:ascii="Times New Roman" w:hAnsi="Times New Roman" w:eastAsia="方正仿宋_GBK" w:cs="Times New Roman"/>
          <w:color w:val="auto"/>
          <w:spacing w:val="0"/>
          <w:kern w:val="0"/>
          <w:sz w:val="32"/>
          <w:szCs w:val="32"/>
          <w:highlight w:val="none"/>
          <w:lang w:val="en-US" w:eastAsia="zh-CN"/>
        </w:rPr>
        <w:t>元，达到每人每年</w:t>
      </w:r>
      <w:r>
        <w:rPr>
          <w:rFonts w:hint="default" w:ascii="Times New Roman" w:hAnsi="Times New Roman" w:eastAsia="方正仿宋_GBK" w:cs="Times New Roman"/>
          <w:color w:val="auto"/>
          <w:spacing w:val="0"/>
          <w:kern w:val="0"/>
          <w:sz w:val="32"/>
          <w:szCs w:val="32"/>
          <w:highlight w:val="none"/>
          <w:lang w:val="en-US" w:eastAsia="zh-CN"/>
        </w:rPr>
        <w:t>94</w:t>
      </w:r>
      <w:r>
        <w:rPr>
          <w:rFonts w:hint="eastAsia" w:ascii="Times New Roman" w:hAnsi="Times New Roman" w:eastAsia="方正仿宋_GBK" w:cs="Times New Roman"/>
          <w:color w:val="auto"/>
          <w:spacing w:val="0"/>
          <w:kern w:val="0"/>
          <w:sz w:val="32"/>
          <w:szCs w:val="32"/>
          <w:highlight w:val="none"/>
          <w:lang w:val="en-US" w:eastAsia="zh-CN"/>
        </w:rPr>
        <w:t>元，惠及</w:t>
      </w:r>
      <w:r>
        <w:rPr>
          <w:rFonts w:hint="default" w:ascii="Times New Roman" w:hAnsi="Times New Roman" w:eastAsia="方正仿宋_GBK" w:cs="Times New Roman"/>
          <w:color w:val="auto"/>
          <w:spacing w:val="0"/>
          <w:kern w:val="0"/>
          <w:sz w:val="32"/>
          <w:szCs w:val="32"/>
          <w:highlight w:val="none"/>
          <w:lang w:val="en-US" w:eastAsia="zh-CN"/>
        </w:rPr>
        <w:t>60</w:t>
      </w:r>
      <w:r>
        <w:rPr>
          <w:rFonts w:hint="eastAsia" w:ascii="Times New Roman" w:hAnsi="Times New Roman" w:eastAsia="方正仿宋_GBK" w:cs="Times New Roman"/>
          <w:color w:val="auto"/>
          <w:spacing w:val="0"/>
          <w:kern w:val="0"/>
          <w:sz w:val="32"/>
          <w:szCs w:val="32"/>
          <w:highlight w:val="none"/>
          <w:lang w:val="en-US" w:eastAsia="zh-CN"/>
        </w:rPr>
        <w:t>余万人。</w:t>
      </w:r>
      <w:r>
        <w:rPr>
          <w:rFonts w:hint="eastAsia" w:ascii="Times New Roman" w:hAnsi="Times New Roman" w:eastAsia="方正仿宋_GBK" w:cs="Times New Roman"/>
          <w:b/>
          <w:bCs/>
          <w:color w:val="auto"/>
          <w:spacing w:val="0"/>
          <w:kern w:val="0"/>
          <w:sz w:val="32"/>
          <w:szCs w:val="32"/>
          <w:highlight w:val="none"/>
          <w:lang w:val="en-US" w:eastAsia="zh-CN"/>
        </w:rPr>
        <w:t>三是支持完善社保体系</w:t>
      </w:r>
      <w:r>
        <w:rPr>
          <w:rFonts w:hint="eastAsia" w:ascii="Times New Roman" w:hAnsi="Times New Roman" w:eastAsia="方正仿宋_GBK" w:cs="Times New Roman"/>
          <w:color w:val="auto"/>
          <w:spacing w:val="0"/>
          <w:kern w:val="0"/>
          <w:sz w:val="32"/>
          <w:szCs w:val="32"/>
          <w:highlight w:val="none"/>
          <w:lang w:val="en-US" w:eastAsia="zh-CN"/>
        </w:rPr>
        <w:t>。拨付专项资金</w:t>
      </w:r>
      <w:r>
        <w:rPr>
          <w:rFonts w:hint="default" w:ascii="Times New Roman" w:hAnsi="Times New Roman" w:eastAsia="方正仿宋_GBK" w:cs="Times New Roman"/>
          <w:color w:val="auto"/>
          <w:spacing w:val="0"/>
          <w:kern w:val="0"/>
          <w:sz w:val="32"/>
          <w:szCs w:val="32"/>
          <w:highlight w:val="none"/>
          <w:lang w:val="en-US" w:eastAsia="zh-CN"/>
        </w:rPr>
        <w:t>2.</w:t>
      </w:r>
      <w:r>
        <w:rPr>
          <w:rFonts w:hint="eastAsia" w:ascii="Times New Roman" w:hAnsi="Times New Roman" w:eastAsia="方正仿宋_GBK" w:cs="Times New Roman"/>
          <w:color w:val="auto"/>
          <w:spacing w:val="0"/>
          <w:kern w:val="0"/>
          <w:sz w:val="32"/>
          <w:szCs w:val="32"/>
          <w:highlight w:val="none"/>
          <w:lang w:val="en-US" w:eastAsia="zh-CN"/>
        </w:rPr>
        <w:t>9亿元，用于城乡居民基本养老保险补助，用于低保对象、特困人员、孤儿、残疾人、临时救助等困难群众基本生活保障以及落实就业优先政策。城乡居民基础养老金最低标准由每人每月</w:t>
      </w:r>
      <w:r>
        <w:rPr>
          <w:rFonts w:hint="default" w:ascii="Times New Roman" w:hAnsi="Times New Roman" w:eastAsia="方正仿宋_GBK" w:cs="Times New Roman"/>
          <w:color w:val="auto"/>
          <w:spacing w:val="0"/>
          <w:kern w:val="0"/>
          <w:sz w:val="32"/>
          <w:szCs w:val="32"/>
          <w:highlight w:val="none"/>
          <w:lang w:val="en-US" w:eastAsia="zh-CN"/>
        </w:rPr>
        <w:t>148</w:t>
      </w:r>
      <w:r>
        <w:rPr>
          <w:rFonts w:hint="eastAsia" w:ascii="Times New Roman" w:hAnsi="Times New Roman" w:eastAsia="方正仿宋_GBK" w:cs="Times New Roman"/>
          <w:color w:val="auto"/>
          <w:spacing w:val="0"/>
          <w:kern w:val="0"/>
          <w:sz w:val="32"/>
          <w:szCs w:val="32"/>
          <w:highlight w:val="none"/>
          <w:lang w:val="en-US" w:eastAsia="zh-CN"/>
        </w:rPr>
        <w:t>元提高至</w:t>
      </w:r>
      <w:r>
        <w:rPr>
          <w:rFonts w:hint="default" w:ascii="Times New Roman" w:hAnsi="Times New Roman" w:eastAsia="方正仿宋_GBK" w:cs="Times New Roman"/>
          <w:color w:val="auto"/>
          <w:spacing w:val="0"/>
          <w:kern w:val="0"/>
          <w:sz w:val="32"/>
          <w:szCs w:val="32"/>
          <w:highlight w:val="none"/>
          <w:lang w:val="en-US" w:eastAsia="zh-CN"/>
        </w:rPr>
        <w:t>180</w:t>
      </w:r>
      <w:r>
        <w:rPr>
          <w:rFonts w:hint="eastAsia" w:ascii="Times New Roman" w:hAnsi="Times New Roman" w:eastAsia="方正仿宋_GBK" w:cs="Times New Roman"/>
          <w:color w:val="auto"/>
          <w:spacing w:val="0"/>
          <w:kern w:val="0"/>
          <w:sz w:val="32"/>
          <w:szCs w:val="32"/>
          <w:highlight w:val="none"/>
          <w:lang w:val="en-US" w:eastAsia="zh-CN"/>
        </w:rPr>
        <w:t>元，困难残疾人生活补贴、重度残疾人护理补贴月人均标准分别由86元、80元提高到96元、90元，城乡特困标准每人每年分别提高</w:t>
      </w:r>
      <w:r>
        <w:rPr>
          <w:rFonts w:hint="default" w:ascii="Times New Roman" w:hAnsi="Times New Roman" w:eastAsia="方正仿宋_GBK" w:cs="Times New Roman"/>
          <w:color w:val="auto"/>
          <w:spacing w:val="0"/>
          <w:kern w:val="0"/>
          <w:sz w:val="32"/>
          <w:szCs w:val="32"/>
          <w:highlight w:val="none"/>
          <w:lang w:val="en-US" w:eastAsia="zh-CN"/>
        </w:rPr>
        <w:t>720</w:t>
      </w:r>
      <w:r>
        <w:rPr>
          <w:rFonts w:hint="eastAsia" w:ascii="Times New Roman" w:hAnsi="Times New Roman" w:eastAsia="方正仿宋_GBK" w:cs="Times New Roman"/>
          <w:color w:val="auto"/>
          <w:spacing w:val="0"/>
          <w:kern w:val="0"/>
          <w:sz w:val="32"/>
          <w:szCs w:val="32"/>
          <w:highlight w:val="none"/>
          <w:lang w:val="en-US" w:eastAsia="zh-CN"/>
        </w:rPr>
        <w:t>元、</w:t>
      </w:r>
      <w:r>
        <w:rPr>
          <w:rFonts w:hint="default" w:ascii="Times New Roman" w:hAnsi="Times New Roman" w:eastAsia="方正仿宋_GBK" w:cs="Times New Roman"/>
          <w:color w:val="auto"/>
          <w:spacing w:val="0"/>
          <w:kern w:val="0"/>
          <w:sz w:val="32"/>
          <w:szCs w:val="32"/>
          <w:highlight w:val="none"/>
          <w:lang w:val="en-US" w:eastAsia="zh-CN"/>
        </w:rPr>
        <w:t>1440</w:t>
      </w:r>
      <w:r>
        <w:rPr>
          <w:rFonts w:hint="eastAsia" w:ascii="Times New Roman" w:hAnsi="Times New Roman" w:eastAsia="方正仿宋_GBK" w:cs="Times New Roman"/>
          <w:color w:val="auto"/>
          <w:spacing w:val="0"/>
          <w:kern w:val="0"/>
          <w:sz w:val="32"/>
          <w:szCs w:val="32"/>
          <w:highlight w:val="none"/>
          <w:lang w:val="en-US" w:eastAsia="zh-CN"/>
        </w:rPr>
        <w:t>元，进一步增强群众获得感、幸福感。</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3.加强资金统筹，重大决策部署落实更加有力。</w:t>
      </w:r>
      <w:r>
        <w:rPr>
          <w:rFonts w:hint="default" w:ascii="Times New Roman" w:hAnsi="Times New Roman" w:eastAsia="方正仿宋_GBK" w:cs="Times New Roman"/>
          <w:color w:val="auto"/>
          <w:spacing w:val="0"/>
          <w:kern w:val="0"/>
          <w:sz w:val="32"/>
          <w:szCs w:val="32"/>
          <w:highlight w:val="none"/>
          <w:lang w:val="en-US" w:eastAsia="zh-CN"/>
        </w:rPr>
        <w:t>聚焦党中央决策和省委</w:t>
      </w:r>
      <w:r>
        <w:rPr>
          <w:rFonts w:hint="eastAsia" w:ascii="Times New Roman" w:hAnsi="Times New Roman" w:eastAsia="方正仿宋_GBK" w:cs="Times New Roman"/>
          <w:color w:val="auto"/>
          <w:spacing w:val="0"/>
          <w:kern w:val="0"/>
          <w:sz w:val="32"/>
          <w:szCs w:val="32"/>
          <w:highlight w:val="none"/>
          <w:lang w:val="en-US" w:eastAsia="zh-CN"/>
        </w:rPr>
        <w:t>、市委、区委</w:t>
      </w:r>
      <w:r>
        <w:rPr>
          <w:rFonts w:hint="default" w:ascii="Times New Roman" w:hAnsi="Times New Roman" w:eastAsia="方正仿宋_GBK" w:cs="Times New Roman"/>
          <w:color w:val="auto"/>
          <w:spacing w:val="0"/>
          <w:kern w:val="0"/>
          <w:sz w:val="32"/>
          <w:szCs w:val="32"/>
          <w:highlight w:val="none"/>
          <w:lang w:val="en-US" w:eastAsia="zh-CN"/>
        </w:rPr>
        <w:t>部署</w:t>
      </w:r>
      <w:r>
        <w:rPr>
          <w:rFonts w:hint="eastAsia" w:ascii="Times New Roman" w:hAnsi="Times New Roman" w:eastAsia="方正仿宋_GBK" w:cs="Times New Roman"/>
          <w:color w:val="auto"/>
          <w:spacing w:val="0"/>
          <w:kern w:val="0"/>
          <w:sz w:val="32"/>
          <w:szCs w:val="32"/>
          <w:highlight w:val="none"/>
          <w:lang w:val="en-US" w:eastAsia="zh-CN"/>
        </w:rPr>
        <w:t>，支持保障</w:t>
      </w:r>
      <w:r>
        <w:rPr>
          <w:rFonts w:hint="default" w:ascii="Times New Roman" w:hAnsi="Times New Roman" w:eastAsia="方正仿宋_GBK" w:cs="Times New Roman"/>
          <w:color w:val="auto"/>
          <w:spacing w:val="0"/>
          <w:kern w:val="0"/>
          <w:sz w:val="32"/>
          <w:szCs w:val="32"/>
          <w:highlight w:val="none"/>
          <w:lang w:val="en-US" w:eastAsia="zh-CN"/>
        </w:rPr>
        <w:t>国家战略、大事</w:t>
      </w:r>
      <w:r>
        <w:rPr>
          <w:rFonts w:hint="eastAsia" w:ascii="Times New Roman" w:hAnsi="Times New Roman" w:eastAsia="方正仿宋_GBK" w:cs="Times New Roman"/>
          <w:color w:val="auto"/>
          <w:spacing w:val="0"/>
          <w:kern w:val="0"/>
          <w:sz w:val="32"/>
          <w:szCs w:val="32"/>
          <w:highlight w:val="none"/>
          <w:lang w:val="en-US" w:eastAsia="zh-CN"/>
        </w:rPr>
        <w:t>要事</w:t>
      </w:r>
      <w:r>
        <w:rPr>
          <w:rFonts w:hint="default" w:ascii="Times New Roman" w:hAnsi="Times New Roman" w:eastAsia="方正仿宋_GBK" w:cs="Times New Roman"/>
          <w:color w:val="auto"/>
          <w:spacing w:val="0"/>
          <w:kern w:val="0"/>
          <w:sz w:val="32"/>
          <w:szCs w:val="32"/>
          <w:highlight w:val="none"/>
          <w:lang w:val="en-US" w:eastAsia="zh-CN"/>
        </w:rPr>
        <w:t>顺利实施。</w:t>
      </w:r>
      <w:r>
        <w:rPr>
          <w:rFonts w:hint="eastAsia" w:ascii="Times New Roman" w:hAnsi="Times New Roman" w:eastAsia="方正仿宋_GBK" w:cs="Times New Roman"/>
          <w:color w:val="auto"/>
          <w:spacing w:val="0"/>
          <w:kern w:val="0"/>
          <w:sz w:val="32"/>
          <w:szCs w:val="32"/>
          <w:highlight w:val="none"/>
          <w:lang w:val="en-US" w:eastAsia="zh-CN"/>
        </w:rPr>
        <w:t>一</w:t>
      </w:r>
      <w:r>
        <w:rPr>
          <w:rFonts w:hint="eastAsia" w:ascii="Times New Roman" w:hAnsi="Times New Roman" w:eastAsia="方正仿宋_GBK" w:cs="Times New Roman"/>
          <w:b/>
          <w:bCs/>
          <w:color w:val="auto"/>
          <w:spacing w:val="0"/>
          <w:kern w:val="0"/>
          <w:sz w:val="32"/>
          <w:szCs w:val="32"/>
          <w:highlight w:val="none"/>
          <w:lang w:val="en-US" w:eastAsia="zh-CN"/>
        </w:rPr>
        <w:t>是</w:t>
      </w:r>
      <w:r>
        <w:rPr>
          <w:rFonts w:hint="default" w:ascii="Times New Roman" w:hAnsi="Times New Roman" w:eastAsia="方正仿宋_GBK" w:cs="Times New Roman"/>
          <w:b/>
          <w:bCs/>
          <w:color w:val="auto"/>
          <w:spacing w:val="0"/>
          <w:kern w:val="0"/>
          <w:sz w:val="32"/>
          <w:szCs w:val="32"/>
          <w:highlight w:val="none"/>
          <w:lang w:val="en-US" w:eastAsia="zh-CN"/>
        </w:rPr>
        <w:t>支持乡村全面振兴</w:t>
      </w:r>
      <w:r>
        <w:rPr>
          <w:rFonts w:hint="eastAsia" w:ascii="Times New Roman" w:hAnsi="Times New Roman" w:eastAsia="方正仿宋_GBK" w:cs="Times New Roman"/>
          <w:b/>
          <w:bCs/>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拨付专项资金1.9亿元，用于巩固拓展脱贫攻坚成果同乡村振兴有效衔接、耕地地力保护和农业保险保费补贴、高标准农田建设、农村生活水源江水置换、农村公益事业建设、村级组织运转等，激活农村各类要素潜能和主体活力。</w:t>
      </w:r>
      <w:r>
        <w:rPr>
          <w:rFonts w:hint="eastAsia" w:ascii="Times New Roman" w:hAnsi="Times New Roman" w:eastAsia="方正仿宋_GBK" w:cs="Times New Roman"/>
          <w:b/>
          <w:bCs/>
          <w:color w:val="auto"/>
          <w:spacing w:val="0"/>
          <w:kern w:val="0"/>
          <w:sz w:val="32"/>
          <w:szCs w:val="32"/>
          <w:highlight w:val="none"/>
          <w:lang w:val="en-US" w:eastAsia="zh-CN"/>
        </w:rPr>
        <w:t>二是践行绿色发展理念。</w:t>
      </w:r>
      <w:r>
        <w:rPr>
          <w:rFonts w:hint="eastAsia" w:ascii="Times New Roman" w:hAnsi="Times New Roman" w:eastAsia="方正仿宋_GBK" w:cs="Times New Roman"/>
          <w:color w:val="auto"/>
          <w:spacing w:val="0"/>
          <w:kern w:val="0"/>
          <w:sz w:val="32"/>
          <w:szCs w:val="32"/>
          <w:highlight w:val="none"/>
          <w:u w:val="none"/>
          <w:lang w:val="en-US" w:eastAsia="zh-CN"/>
        </w:rPr>
        <w:t>拨付资金1.8亿</w:t>
      </w:r>
      <w:r>
        <w:rPr>
          <w:rFonts w:hint="default" w:ascii="Times New Roman" w:hAnsi="Times New Roman" w:eastAsia="方正仿宋_GBK" w:cs="Times New Roman"/>
          <w:color w:val="auto"/>
          <w:spacing w:val="0"/>
          <w:kern w:val="0"/>
          <w:sz w:val="32"/>
          <w:szCs w:val="32"/>
          <w:highlight w:val="none"/>
          <w:u w:val="none"/>
          <w:lang w:val="en-US" w:eastAsia="zh-CN"/>
        </w:rPr>
        <w:t>元</w:t>
      </w:r>
      <w:r>
        <w:rPr>
          <w:rFonts w:hint="eastAsia" w:ascii="Times New Roman" w:hAnsi="Times New Roman" w:eastAsia="方正仿宋_GBK" w:cs="Times New Roman"/>
          <w:color w:val="auto"/>
          <w:spacing w:val="0"/>
          <w:kern w:val="0"/>
          <w:sz w:val="32"/>
          <w:szCs w:val="32"/>
          <w:highlight w:val="none"/>
          <w:u w:val="none"/>
          <w:lang w:val="en-US" w:eastAsia="zh-CN"/>
        </w:rPr>
        <w:t>，用于</w:t>
      </w:r>
      <w:r>
        <w:rPr>
          <w:rFonts w:hint="default" w:ascii="Times New Roman" w:hAnsi="Times New Roman" w:eastAsia="方正仿宋_GBK" w:cs="Times New Roman"/>
          <w:color w:val="auto"/>
          <w:spacing w:val="0"/>
          <w:kern w:val="0"/>
          <w:sz w:val="32"/>
          <w:szCs w:val="32"/>
          <w:highlight w:val="none"/>
          <w:u w:val="none"/>
          <w:lang w:val="en-US" w:eastAsia="zh-CN"/>
        </w:rPr>
        <w:t>推进白洋淀上游矿山恢复治理</w:t>
      </w:r>
      <w:r>
        <w:rPr>
          <w:rFonts w:hint="eastAsia" w:ascii="Times New Roman" w:hAnsi="Times New Roman" w:eastAsia="方正仿宋_GBK" w:cs="Times New Roman"/>
          <w:color w:val="auto"/>
          <w:spacing w:val="0"/>
          <w:kern w:val="0"/>
          <w:sz w:val="32"/>
          <w:szCs w:val="32"/>
          <w:highlight w:val="none"/>
          <w:u w:val="none"/>
          <w:lang w:val="en-US" w:eastAsia="zh-CN"/>
        </w:rPr>
        <w:t>、</w:t>
      </w:r>
      <w:r>
        <w:rPr>
          <w:rFonts w:hint="default" w:ascii="Times New Roman" w:hAnsi="Times New Roman" w:eastAsia="方正仿宋_GBK" w:cs="Times New Roman"/>
          <w:color w:val="auto"/>
          <w:spacing w:val="0"/>
          <w:kern w:val="0"/>
          <w:sz w:val="32"/>
          <w:szCs w:val="32"/>
          <w:highlight w:val="none"/>
          <w:u w:val="none"/>
          <w:lang w:val="en-US" w:eastAsia="zh-CN"/>
        </w:rPr>
        <w:t>山水林田湖草沙</w:t>
      </w:r>
      <w:r>
        <w:rPr>
          <w:rFonts w:hint="eastAsia" w:ascii="Times New Roman" w:hAnsi="Times New Roman" w:eastAsia="方正仿宋_GBK" w:cs="Times New Roman"/>
          <w:color w:val="auto"/>
          <w:spacing w:val="0"/>
          <w:kern w:val="0"/>
          <w:sz w:val="32"/>
          <w:szCs w:val="32"/>
          <w:highlight w:val="none"/>
          <w:u w:val="none"/>
          <w:lang w:val="en-US" w:eastAsia="zh-CN"/>
        </w:rPr>
        <w:t>一体化保护和系统治理、</w:t>
      </w:r>
      <w:r>
        <w:rPr>
          <w:rFonts w:hint="default" w:ascii="Times New Roman" w:hAnsi="Times New Roman" w:eastAsia="方正仿宋_GBK" w:cs="Times New Roman"/>
          <w:color w:val="auto"/>
          <w:spacing w:val="0"/>
          <w:kern w:val="0"/>
          <w:sz w:val="32"/>
          <w:szCs w:val="32"/>
          <w:highlight w:val="none"/>
          <w:u w:val="none"/>
          <w:lang w:val="en-US" w:eastAsia="zh-CN"/>
        </w:rPr>
        <w:t>农村冬季</w:t>
      </w:r>
      <w:r>
        <w:rPr>
          <w:rFonts w:hint="eastAsia" w:ascii="Times New Roman" w:hAnsi="Times New Roman" w:eastAsia="方正仿宋_GBK" w:cs="Times New Roman"/>
          <w:color w:val="auto"/>
          <w:spacing w:val="0"/>
          <w:kern w:val="0"/>
          <w:sz w:val="32"/>
          <w:szCs w:val="32"/>
          <w:highlight w:val="none"/>
          <w:u w:val="none"/>
          <w:lang w:val="en-US" w:eastAsia="zh-CN"/>
        </w:rPr>
        <w:t>“</w:t>
      </w:r>
      <w:r>
        <w:rPr>
          <w:rFonts w:hint="default" w:ascii="Times New Roman" w:hAnsi="Times New Roman" w:eastAsia="方正仿宋_GBK" w:cs="Times New Roman"/>
          <w:color w:val="auto"/>
          <w:spacing w:val="0"/>
          <w:kern w:val="0"/>
          <w:sz w:val="32"/>
          <w:szCs w:val="32"/>
          <w:highlight w:val="none"/>
          <w:u w:val="none"/>
          <w:lang w:val="en-US" w:eastAsia="zh-CN"/>
        </w:rPr>
        <w:t>双代</w:t>
      </w:r>
      <w:r>
        <w:rPr>
          <w:rFonts w:hint="eastAsia" w:ascii="Times New Roman" w:hAnsi="Times New Roman" w:eastAsia="方正仿宋_GBK" w:cs="Times New Roman"/>
          <w:color w:val="auto"/>
          <w:spacing w:val="0"/>
          <w:kern w:val="0"/>
          <w:sz w:val="32"/>
          <w:szCs w:val="32"/>
          <w:highlight w:val="none"/>
          <w:u w:val="none"/>
          <w:lang w:val="en-US" w:eastAsia="zh-CN"/>
        </w:rPr>
        <w:t>”</w:t>
      </w:r>
      <w:r>
        <w:rPr>
          <w:rFonts w:hint="default" w:ascii="Times New Roman" w:hAnsi="Times New Roman" w:eastAsia="方正仿宋_GBK" w:cs="Times New Roman"/>
          <w:color w:val="auto"/>
          <w:spacing w:val="0"/>
          <w:kern w:val="0"/>
          <w:sz w:val="32"/>
          <w:szCs w:val="32"/>
          <w:highlight w:val="none"/>
          <w:u w:val="none"/>
          <w:lang w:val="en-US" w:eastAsia="zh-CN"/>
        </w:rPr>
        <w:t>清洁取暖补贴</w:t>
      </w:r>
      <w:r>
        <w:rPr>
          <w:rFonts w:hint="eastAsia" w:ascii="Times New Roman" w:hAnsi="Times New Roman" w:eastAsia="方正仿宋_GBK" w:cs="Times New Roman"/>
          <w:color w:val="auto"/>
          <w:spacing w:val="0"/>
          <w:kern w:val="0"/>
          <w:sz w:val="32"/>
          <w:szCs w:val="32"/>
          <w:highlight w:val="none"/>
          <w:u w:val="none"/>
          <w:lang w:val="en-US" w:eastAsia="zh-CN"/>
        </w:rPr>
        <w:t>、</w:t>
      </w:r>
      <w:r>
        <w:rPr>
          <w:rFonts w:hint="default" w:ascii="Times New Roman" w:hAnsi="Times New Roman" w:eastAsia="方正仿宋_GBK" w:cs="Times New Roman"/>
          <w:color w:val="auto"/>
          <w:spacing w:val="0"/>
          <w:kern w:val="0"/>
          <w:sz w:val="32"/>
          <w:szCs w:val="32"/>
          <w:highlight w:val="none"/>
          <w:u w:val="none"/>
          <w:lang w:val="en-US" w:eastAsia="zh-CN"/>
        </w:rPr>
        <w:t>洁净型煤补贴</w:t>
      </w:r>
      <w:r>
        <w:rPr>
          <w:rFonts w:hint="eastAsia" w:ascii="Times New Roman" w:hAnsi="Times New Roman" w:eastAsia="方正仿宋_GBK" w:cs="Times New Roman"/>
          <w:color w:val="auto"/>
          <w:spacing w:val="0"/>
          <w:kern w:val="0"/>
          <w:sz w:val="32"/>
          <w:szCs w:val="32"/>
          <w:highlight w:val="none"/>
          <w:u w:val="none"/>
          <w:lang w:val="en-US" w:eastAsia="zh-CN"/>
        </w:rPr>
        <w:t>、</w:t>
      </w:r>
      <w:r>
        <w:rPr>
          <w:rFonts w:hint="default" w:ascii="Times New Roman" w:hAnsi="Times New Roman" w:eastAsia="方正仿宋_GBK" w:cs="Times New Roman"/>
          <w:color w:val="auto"/>
          <w:spacing w:val="0"/>
          <w:kern w:val="0"/>
          <w:sz w:val="32"/>
          <w:szCs w:val="32"/>
          <w:highlight w:val="none"/>
          <w:u w:val="none"/>
          <w:lang w:val="en-US" w:eastAsia="zh-CN"/>
        </w:rPr>
        <w:t>污水处理</w:t>
      </w:r>
      <w:r>
        <w:rPr>
          <w:rFonts w:hint="eastAsia" w:ascii="Times New Roman" w:hAnsi="Times New Roman" w:eastAsia="方正仿宋_GBK" w:cs="Times New Roman"/>
          <w:color w:val="auto"/>
          <w:spacing w:val="0"/>
          <w:kern w:val="0"/>
          <w:sz w:val="32"/>
          <w:szCs w:val="32"/>
          <w:highlight w:val="none"/>
          <w:u w:val="none"/>
          <w:lang w:val="en-US" w:eastAsia="zh-CN"/>
        </w:rPr>
        <w:t>和</w:t>
      </w:r>
      <w:r>
        <w:rPr>
          <w:rFonts w:hint="default" w:ascii="Times New Roman" w:hAnsi="Times New Roman" w:eastAsia="方正仿宋_GBK" w:cs="Times New Roman"/>
          <w:color w:val="auto"/>
          <w:spacing w:val="0"/>
          <w:kern w:val="0"/>
          <w:sz w:val="32"/>
          <w:szCs w:val="32"/>
          <w:highlight w:val="none"/>
          <w:u w:val="none"/>
          <w:lang w:val="en-US" w:eastAsia="zh-CN"/>
        </w:rPr>
        <w:t>土地绿化流转</w:t>
      </w:r>
      <w:r>
        <w:rPr>
          <w:rFonts w:hint="eastAsia" w:ascii="Times New Roman" w:hAnsi="Times New Roman" w:eastAsia="方正仿宋_GBK" w:cs="Times New Roman"/>
          <w:color w:val="auto"/>
          <w:spacing w:val="0"/>
          <w:kern w:val="0"/>
          <w:sz w:val="32"/>
          <w:szCs w:val="32"/>
          <w:highlight w:val="none"/>
          <w:u w:val="none"/>
          <w:lang w:val="en-US" w:eastAsia="zh-CN"/>
        </w:rPr>
        <w:t>等，持续</w:t>
      </w:r>
      <w:r>
        <w:rPr>
          <w:rFonts w:hint="default" w:ascii="Times New Roman" w:hAnsi="Times New Roman" w:eastAsia="方正仿宋_GBK" w:cs="Times New Roman"/>
          <w:color w:val="auto"/>
          <w:spacing w:val="0"/>
          <w:kern w:val="0"/>
          <w:sz w:val="32"/>
          <w:szCs w:val="32"/>
          <w:highlight w:val="none"/>
          <w:u w:val="none"/>
          <w:lang w:val="en-US" w:eastAsia="zh-CN"/>
        </w:rPr>
        <w:t>保护和</w:t>
      </w:r>
      <w:r>
        <w:rPr>
          <w:rFonts w:hint="eastAsia" w:ascii="Times New Roman" w:hAnsi="Times New Roman" w:eastAsia="方正仿宋_GBK" w:cs="Times New Roman"/>
          <w:color w:val="auto"/>
          <w:spacing w:val="0"/>
          <w:kern w:val="0"/>
          <w:sz w:val="32"/>
          <w:szCs w:val="32"/>
          <w:highlight w:val="none"/>
          <w:u w:val="none"/>
          <w:lang w:val="en-US" w:eastAsia="zh-CN"/>
        </w:rPr>
        <w:t>改善</w:t>
      </w:r>
      <w:r>
        <w:rPr>
          <w:rFonts w:hint="default" w:ascii="Times New Roman" w:hAnsi="Times New Roman" w:eastAsia="方正仿宋_GBK" w:cs="Times New Roman"/>
          <w:color w:val="auto"/>
          <w:spacing w:val="0"/>
          <w:kern w:val="0"/>
          <w:sz w:val="32"/>
          <w:szCs w:val="32"/>
          <w:highlight w:val="none"/>
          <w:u w:val="none"/>
          <w:lang w:val="en-US" w:eastAsia="zh-CN"/>
        </w:rPr>
        <w:t>大气、水、土壤</w:t>
      </w:r>
      <w:r>
        <w:rPr>
          <w:rFonts w:hint="eastAsia" w:ascii="Times New Roman" w:hAnsi="Times New Roman" w:eastAsia="方正仿宋_GBK" w:cs="Times New Roman"/>
          <w:color w:val="auto"/>
          <w:spacing w:val="0"/>
          <w:kern w:val="0"/>
          <w:sz w:val="32"/>
          <w:szCs w:val="32"/>
          <w:highlight w:val="none"/>
          <w:u w:val="none"/>
          <w:lang w:val="en-US" w:eastAsia="zh-CN"/>
        </w:rPr>
        <w:t>环境</w:t>
      </w:r>
      <w:r>
        <w:rPr>
          <w:rFonts w:hint="default" w:ascii="Times New Roman" w:hAnsi="Times New Roman" w:eastAsia="方正仿宋_GBK" w:cs="Times New Roman"/>
          <w:color w:val="auto"/>
          <w:spacing w:val="0"/>
          <w:kern w:val="0"/>
          <w:sz w:val="32"/>
          <w:szCs w:val="32"/>
          <w:highlight w:val="none"/>
          <w:u w:val="none"/>
          <w:lang w:val="en-US" w:eastAsia="zh-CN"/>
        </w:rPr>
        <w:t>。</w:t>
      </w:r>
      <w:r>
        <w:rPr>
          <w:rFonts w:hint="eastAsia" w:ascii="Times New Roman" w:hAnsi="Times New Roman" w:eastAsia="方正仿宋_GBK" w:cs="Times New Roman"/>
          <w:b/>
          <w:bCs/>
          <w:color w:val="auto"/>
          <w:spacing w:val="0"/>
          <w:kern w:val="0"/>
          <w:sz w:val="32"/>
          <w:szCs w:val="32"/>
          <w:highlight w:val="none"/>
          <w:lang w:val="en-US" w:eastAsia="zh-CN"/>
        </w:rPr>
        <w:t>三是助力培育新质生产力。</w:t>
      </w:r>
      <w:r>
        <w:rPr>
          <w:rFonts w:hint="eastAsia" w:ascii="Times New Roman" w:hAnsi="Times New Roman" w:eastAsia="方正仿宋_GBK" w:cs="Times New Roman"/>
          <w:color w:val="auto"/>
          <w:spacing w:val="0"/>
          <w:kern w:val="0"/>
          <w:sz w:val="32"/>
          <w:szCs w:val="32"/>
          <w:highlight w:val="none"/>
          <w:lang w:val="en-US" w:eastAsia="zh-CN"/>
        </w:rPr>
        <w:t>拨付资金7000</w:t>
      </w:r>
      <w:r>
        <w:rPr>
          <w:rFonts w:hint="eastAsia" w:ascii="Times New Roman" w:hAnsi="Times New Roman" w:eastAsia="方正仿宋_GBK" w:cs="Times New Roman"/>
          <w:color w:val="auto"/>
          <w:spacing w:val="0"/>
          <w:kern w:val="0"/>
          <w:sz w:val="32"/>
          <w:szCs w:val="32"/>
          <w:highlight w:val="none"/>
          <w:lang w:val="zh-CN" w:eastAsia="zh-CN"/>
        </w:rPr>
        <w:t>万元，</w:t>
      </w:r>
      <w:r>
        <w:rPr>
          <w:rFonts w:hint="eastAsia" w:ascii="Times New Roman" w:hAnsi="Times New Roman" w:eastAsia="方正仿宋_GBK" w:cs="Times New Roman"/>
          <w:color w:val="auto"/>
          <w:spacing w:val="0"/>
          <w:kern w:val="0"/>
          <w:sz w:val="32"/>
          <w:szCs w:val="32"/>
          <w:highlight w:val="none"/>
          <w:lang w:val="en-US" w:eastAsia="zh-CN"/>
        </w:rPr>
        <w:t>重点支持县域科技创新跃升奖励、研发费用加计扣除后补助、科技创新引导等方面，增强发展内生动力。</w:t>
      </w:r>
      <w:r>
        <w:rPr>
          <w:rFonts w:hint="eastAsia" w:ascii="Times New Roman" w:hAnsi="Times New Roman" w:eastAsia="方正仿宋_GBK" w:cs="Times New Roman"/>
          <w:b/>
          <w:bCs/>
          <w:color w:val="auto"/>
          <w:spacing w:val="0"/>
          <w:kern w:val="0"/>
          <w:sz w:val="32"/>
          <w:szCs w:val="32"/>
          <w:highlight w:val="none"/>
          <w:lang w:val="en-US" w:eastAsia="zh-CN"/>
        </w:rPr>
        <w:t>四是保障灾后恢复重建。</w:t>
      </w:r>
      <w:r>
        <w:rPr>
          <w:rFonts w:hint="eastAsia" w:ascii="Times New Roman" w:hAnsi="Times New Roman" w:eastAsia="方正仿宋_GBK" w:cs="Times New Roman"/>
          <w:color w:val="auto"/>
          <w:spacing w:val="0"/>
          <w:kern w:val="0"/>
          <w:sz w:val="32"/>
          <w:szCs w:val="32"/>
          <w:highlight w:val="none"/>
          <w:lang w:val="en-US" w:eastAsia="zh-CN"/>
        </w:rPr>
        <w:t>管好用好增发国债资金，全区16个增发国债项目落实</w:t>
      </w:r>
      <w:r>
        <w:rPr>
          <w:rFonts w:hint="default" w:ascii="Times New Roman" w:hAnsi="Times New Roman" w:eastAsia="方正仿宋_GBK" w:cs="Times New Roman"/>
          <w:color w:val="auto"/>
          <w:spacing w:val="0"/>
          <w:kern w:val="0"/>
          <w:sz w:val="32"/>
          <w:szCs w:val="32"/>
          <w:highlight w:val="none"/>
          <w:lang w:val="en-US" w:eastAsia="zh-CN"/>
        </w:rPr>
        <w:t>省以上资金9</w:t>
      </w:r>
      <w:r>
        <w:rPr>
          <w:rFonts w:hint="eastAsia" w:eastAsia="方正仿宋_GBK" w:cs="Times New Roman"/>
          <w:color w:val="auto"/>
          <w:spacing w:val="0"/>
          <w:kern w:val="0"/>
          <w:sz w:val="32"/>
          <w:szCs w:val="32"/>
          <w:highlight w:val="none"/>
          <w:lang w:val="en-US" w:eastAsia="zh-CN"/>
        </w:rPr>
        <w:t>.2</w:t>
      </w:r>
      <w:r>
        <w:rPr>
          <w:rFonts w:hint="default" w:ascii="Times New Roman" w:hAnsi="Times New Roman" w:eastAsia="方正仿宋_GBK" w:cs="Times New Roman"/>
          <w:color w:val="auto"/>
          <w:spacing w:val="0"/>
          <w:kern w:val="0"/>
          <w:sz w:val="32"/>
          <w:szCs w:val="32"/>
          <w:highlight w:val="none"/>
          <w:lang w:val="en-US" w:eastAsia="zh-CN"/>
        </w:rPr>
        <w:t>亿元</w:t>
      </w:r>
      <w:r>
        <w:rPr>
          <w:rFonts w:hint="eastAsia" w:ascii="Times New Roman" w:hAnsi="Times New Roman" w:eastAsia="方正仿宋_GBK" w:cs="Times New Roman"/>
          <w:color w:val="auto"/>
          <w:spacing w:val="0"/>
          <w:kern w:val="0"/>
          <w:sz w:val="32"/>
          <w:szCs w:val="32"/>
          <w:highlight w:val="none"/>
          <w:lang w:val="en-US" w:eastAsia="zh-CN"/>
        </w:rPr>
        <w:t>、区级配套</w:t>
      </w:r>
      <w:r>
        <w:rPr>
          <w:rFonts w:hint="default" w:ascii="Times New Roman" w:hAnsi="Times New Roman" w:eastAsia="方正仿宋_GBK" w:cs="Times New Roman"/>
          <w:color w:val="auto"/>
          <w:spacing w:val="0"/>
          <w:kern w:val="0"/>
          <w:sz w:val="32"/>
          <w:szCs w:val="32"/>
          <w:highlight w:val="none"/>
          <w:lang w:val="en-US" w:eastAsia="zh-CN"/>
        </w:rPr>
        <w:t>资金 1.7亿元</w:t>
      </w:r>
      <w:r>
        <w:rPr>
          <w:rFonts w:hint="eastAsia" w:ascii="Times New Roman" w:hAnsi="Times New Roman" w:eastAsia="方正仿宋_GBK" w:cs="Times New Roman"/>
          <w:color w:val="auto"/>
          <w:spacing w:val="0"/>
          <w:kern w:val="0"/>
          <w:sz w:val="32"/>
          <w:szCs w:val="32"/>
          <w:highlight w:val="none"/>
          <w:lang w:val="en-US" w:eastAsia="zh-CN"/>
        </w:rPr>
        <w:t>，用于水毁道路修缮工程、漕河治理工程等项目，有序推进灾区生产生活秩序全面恢复，加快弥补防灾减灾救灾短板，提升应对风险灾害能力。</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4.守住风险底线，安全发展根基更加扎实。</w:t>
      </w:r>
      <w:r>
        <w:rPr>
          <w:rFonts w:hint="eastAsia" w:ascii="Times New Roman" w:hAnsi="Times New Roman" w:eastAsia="方正仿宋_GBK" w:cs="Times New Roman"/>
          <w:color w:val="auto"/>
          <w:spacing w:val="0"/>
          <w:kern w:val="0"/>
          <w:sz w:val="32"/>
          <w:szCs w:val="32"/>
          <w:highlight w:val="none"/>
          <w:lang w:val="en-US" w:eastAsia="zh-CN"/>
        </w:rPr>
        <w:t>统筹发展和安全，扎实做好防范化解风险工作。一</w:t>
      </w:r>
      <w:r>
        <w:rPr>
          <w:rFonts w:hint="eastAsia" w:ascii="Times New Roman" w:hAnsi="Times New Roman" w:eastAsia="方正仿宋_GBK" w:cs="Times New Roman"/>
          <w:b/>
          <w:bCs/>
          <w:color w:val="auto"/>
          <w:spacing w:val="0"/>
          <w:kern w:val="0"/>
          <w:sz w:val="32"/>
          <w:szCs w:val="32"/>
          <w:highlight w:val="none"/>
          <w:lang w:val="en-US" w:eastAsia="zh-CN"/>
        </w:rPr>
        <w:t>是严防政府债务风险。</w:t>
      </w:r>
      <w:r>
        <w:rPr>
          <w:rFonts w:hint="eastAsia" w:ascii="Times New Roman" w:hAnsi="Times New Roman" w:eastAsia="方正仿宋_GBK" w:cs="Times New Roman"/>
          <w:color w:val="auto"/>
          <w:spacing w:val="0"/>
          <w:kern w:val="0"/>
          <w:sz w:val="32"/>
          <w:szCs w:val="32"/>
          <w:highlight w:val="none"/>
          <w:lang w:val="en-US" w:eastAsia="zh-CN"/>
        </w:rPr>
        <w:t>强化政府债务限额管理，统筹各类资产资源，稳妥加快化解存量隐性债务，坚决遏制新增隐性债务，努力维护经济安全。加强政府债券还本付息预算审核和动态监控，确保到期债券本息按时偿付。</w:t>
      </w:r>
      <w:r>
        <w:rPr>
          <w:rFonts w:hint="eastAsia" w:ascii="Times New Roman" w:hAnsi="Times New Roman" w:eastAsia="方正仿宋_GBK" w:cs="Times New Roman"/>
          <w:b/>
          <w:bCs/>
          <w:color w:val="auto"/>
          <w:spacing w:val="0"/>
          <w:kern w:val="0"/>
          <w:sz w:val="32"/>
          <w:szCs w:val="32"/>
          <w:highlight w:val="none"/>
          <w:lang w:val="en-US" w:eastAsia="zh-CN"/>
        </w:rPr>
        <w:t>二是强化财政资金监管</w:t>
      </w:r>
      <w:r>
        <w:rPr>
          <w:rFonts w:hint="eastAsia" w:ascii="Times New Roman" w:hAnsi="Times New Roman" w:eastAsia="方正仿宋_GBK" w:cs="Times New Roman"/>
          <w:color w:val="auto"/>
          <w:spacing w:val="0"/>
          <w:kern w:val="0"/>
          <w:sz w:val="32"/>
          <w:szCs w:val="32"/>
          <w:highlight w:val="none"/>
          <w:lang w:val="en-US" w:eastAsia="zh-CN"/>
        </w:rPr>
        <w:t>。对国债项目建设、资金支出等实施动态跟踪监控，开展实地督导服务，推动资金安全高效使用。组织开展财会监督专项行动，围绕违规出台财税优惠政策、高标准农田建设资金使用管理等开展监督检查，严肃财经纪律，维护良好财经秩序。</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5.完善管理体系，财政治理效能更加凸显。一是持续提升预算绩效管理水平。</w:t>
      </w:r>
      <w:r>
        <w:rPr>
          <w:rFonts w:hint="eastAsia" w:ascii="Times New Roman" w:hAnsi="Times New Roman" w:eastAsia="方正仿宋_GBK" w:cs="Times New Roman"/>
          <w:i w:val="0"/>
          <w:iCs w:val="0"/>
          <w:caps w:val="0"/>
          <w:color w:val="auto"/>
          <w:spacing w:val="0"/>
          <w:kern w:val="0"/>
          <w:sz w:val="32"/>
          <w:szCs w:val="32"/>
          <w:highlight w:val="none"/>
          <w:u w:val="none"/>
          <w:vertAlign w:val="baseline"/>
          <w:lang w:val="en-US" w:eastAsia="zh-CN" w:bidi="ar-SA"/>
        </w:rPr>
        <w:t>进一步规范预算项目事前绩效评估业务流程，进一步明确货物服务类项目财政重点事前绩效评估的评估范围、审核流程、评估金额，调整完善部门预算管理绩效指标评价体系，更全面科学地评价指标任务完成情况。建立对预算项目事前绩效评估第三方机构评价机制、框架协议第三方机构第二阶段选取规则，评价结果与服务费支付挂钩并作为业务委托的参考依据。2024年，徐水区</w:t>
      </w:r>
      <w:r>
        <w:rPr>
          <w:rFonts w:hint="eastAsia" w:ascii="Times New Roman" w:hAnsi="Times New Roman" w:eastAsia="方正仿宋_GBK" w:cs="Times New Roman"/>
          <w:color w:val="auto"/>
          <w:spacing w:val="0"/>
          <w:kern w:val="0"/>
          <w:sz w:val="32"/>
          <w:szCs w:val="32"/>
          <w:highlight w:val="none"/>
          <w:lang w:val="en-US" w:eastAsia="zh-CN"/>
        </w:rPr>
        <w:t>预算绩效管理、</w:t>
      </w:r>
      <w:r>
        <w:rPr>
          <w:rFonts w:hint="eastAsia" w:ascii="Times New Roman" w:hAnsi="Times New Roman" w:eastAsia="方正仿宋_GBK" w:cs="Times New Roman"/>
          <w:color w:val="auto"/>
          <w:spacing w:val="0"/>
          <w:kern w:val="0"/>
          <w:sz w:val="32"/>
          <w:szCs w:val="32"/>
          <w:highlight w:val="none"/>
          <w:lang w:val="zh-CN" w:eastAsia="zh-CN"/>
        </w:rPr>
        <w:t>国库集中支付、财政预算评审、</w:t>
      </w:r>
      <w:r>
        <w:rPr>
          <w:rFonts w:hint="eastAsia" w:ascii="Times New Roman" w:hAnsi="Times New Roman" w:eastAsia="方正仿宋_GBK" w:cs="Times New Roman"/>
          <w:color w:val="auto"/>
          <w:spacing w:val="0"/>
          <w:kern w:val="0"/>
          <w:sz w:val="32"/>
          <w:szCs w:val="32"/>
          <w:highlight w:val="none"/>
          <w:lang w:val="en-US" w:eastAsia="zh-CN"/>
        </w:rPr>
        <w:t>农村公益事业财政奖补项目管理、</w:t>
      </w:r>
      <w:r>
        <w:rPr>
          <w:rFonts w:hint="eastAsia" w:ascii="Times New Roman" w:hAnsi="Times New Roman" w:eastAsia="方正仿宋_GBK" w:cs="Times New Roman"/>
          <w:color w:val="auto"/>
          <w:spacing w:val="0"/>
          <w:kern w:val="0"/>
          <w:sz w:val="32"/>
          <w:szCs w:val="32"/>
          <w:highlight w:val="none"/>
          <w:lang w:val="zh-CN" w:eastAsia="zh-CN"/>
        </w:rPr>
        <w:t>财政综合管理、财政法治</w:t>
      </w:r>
      <w:r>
        <w:rPr>
          <w:rFonts w:hint="default" w:ascii="Times New Roman" w:hAnsi="Times New Roman" w:eastAsia="方正仿宋_GBK" w:cs="Times New Roman"/>
          <w:color w:val="auto"/>
          <w:spacing w:val="0"/>
          <w:kern w:val="0"/>
          <w:sz w:val="32"/>
          <w:szCs w:val="32"/>
          <w:highlight w:val="none"/>
          <w:lang w:val="en-US" w:eastAsia="zh-CN"/>
        </w:rPr>
        <w:t>6</w:t>
      </w:r>
      <w:r>
        <w:rPr>
          <w:rFonts w:hint="eastAsia" w:ascii="Times New Roman" w:hAnsi="Times New Roman" w:eastAsia="方正仿宋_GBK" w:cs="Times New Roman"/>
          <w:color w:val="auto"/>
          <w:spacing w:val="0"/>
          <w:kern w:val="0"/>
          <w:sz w:val="32"/>
          <w:szCs w:val="32"/>
          <w:highlight w:val="none"/>
          <w:lang w:val="en-US" w:eastAsia="zh-CN"/>
        </w:rPr>
        <w:t>项工作在全省财政专项会议上作典型发言。</w:t>
      </w:r>
      <w:r>
        <w:rPr>
          <w:rFonts w:hint="eastAsia" w:ascii="Times New Roman" w:hAnsi="Times New Roman" w:eastAsia="方正仿宋_GBK" w:cs="Times New Roman"/>
          <w:b/>
          <w:bCs/>
          <w:color w:val="auto"/>
          <w:spacing w:val="0"/>
          <w:kern w:val="0"/>
          <w:sz w:val="32"/>
          <w:szCs w:val="32"/>
          <w:highlight w:val="none"/>
          <w:lang w:val="en-US" w:eastAsia="zh-CN"/>
        </w:rPr>
        <w:t>二是持续推进数字财政建设。</w:t>
      </w:r>
      <w:r>
        <w:rPr>
          <w:rFonts w:hint="eastAsia" w:ascii="Times New Roman" w:hAnsi="Times New Roman" w:eastAsia="方正仿宋_GBK" w:cs="Times New Roman"/>
          <w:color w:val="auto"/>
          <w:spacing w:val="0"/>
          <w:kern w:val="0"/>
          <w:sz w:val="32"/>
          <w:szCs w:val="32"/>
          <w:highlight w:val="none"/>
          <w:lang w:val="en-US" w:eastAsia="zh-CN"/>
        </w:rPr>
        <w:t>集中开展数字财政系统研发攻坚，打造以财政大数据应用为支撑、现代信息技术为主要手段、模块化定制的财政财务工作场景，提升财政管理与服务、财政分析与决策智能化水平。</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color w:val="auto"/>
          <w:spacing w:val="0"/>
          <w:kern w:val="0"/>
          <w:highlight w:val="none"/>
          <w:lang w:val="zh-CN"/>
        </w:rPr>
      </w:pPr>
      <w:r>
        <w:rPr>
          <w:rFonts w:hint="eastAsia" w:ascii="Times New Roman" w:hAnsi="Times New Roman" w:eastAsia="方正仿宋_GBK" w:cs="Times New Roman"/>
          <w:color w:val="auto"/>
          <w:spacing w:val="0"/>
          <w:kern w:val="0"/>
          <w:sz w:val="32"/>
          <w:szCs w:val="32"/>
          <w:highlight w:val="none"/>
          <w:lang w:val="en-US" w:eastAsia="zh-CN"/>
        </w:rPr>
        <w:t>在肯定成绩的同时，我们也清醒地认识到新形势下财政工作面临新的困难和挑战，主要表现在：财源基础抗冲击能力不足，财政增收难度大；减收增支因素进一步凸显，收支矛盾日益突出；部门绩效理念有待增强，提升预算绩效还有较大空间；争取债券规模大，偿还债务压力进一步加剧。对此，我们将坚持问题导向，进一步统筹谋划，采取有效措施，努力加以解决。</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黑体_GBK" w:cs="方正黑体_GBK"/>
          <w:color w:val="auto"/>
          <w:spacing w:val="0"/>
          <w:kern w:val="0"/>
          <w:sz w:val="32"/>
          <w:szCs w:val="32"/>
          <w:highlight w:val="none"/>
        </w:rPr>
      </w:pPr>
      <w:r>
        <w:rPr>
          <w:rFonts w:hint="eastAsia" w:ascii="Times New Roman" w:hAnsi="Times New Roman" w:eastAsia="方正黑体_GBK" w:cs="方正黑体_GBK"/>
          <w:color w:val="auto"/>
          <w:spacing w:val="0"/>
          <w:kern w:val="0"/>
          <w:sz w:val="32"/>
          <w:szCs w:val="32"/>
          <w:highlight w:val="none"/>
        </w:rPr>
        <w:t>二、202</w:t>
      </w:r>
      <w:r>
        <w:rPr>
          <w:rFonts w:hint="eastAsia" w:ascii="Times New Roman" w:hAnsi="Times New Roman" w:eastAsia="方正黑体_GBK" w:cs="方正黑体_GBK"/>
          <w:color w:val="auto"/>
          <w:spacing w:val="0"/>
          <w:kern w:val="0"/>
          <w:sz w:val="32"/>
          <w:szCs w:val="32"/>
          <w:highlight w:val="none"/>
          <w:lang w:val="en-US" w:eastAsia="zh-CN"/>
        </w:rPr>
        <w:t>5</w:t>
      </w:r>
      <w:r>
        <w:rPr>
          <w:rFonts w:hint="eastAsia" w:ascii="Times New Roman" w:hAnsi="Times New Roman" w:eastAsia="方正黑体_GBK" w:cs="方正黑体_GBK"/>
          <w:color w:val="auto"/>
          <w:spacing w:val="0"/>
          <w:kern w:val="0"/>
          <w:sz w:val="32"/>
          <w:szCs w:val="32"/>
          <w:highlight w:val="none"/>
        </w:rPr>
        <w:t>年预算（草案）</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color w:val="auto"/>
          <w:spacing w:val="0"/>
          <w:kern w:val="0"/>
          <w:sz w:val="32"/>
          <w:szCs w:val="32"/>
          <w:highlight w:val="none"/>
        </w:rPr>
      </w:pPr>
      <w:r>
        <w:rPr>
          <w:rFonts w:hint="eastAsia" w:ascii="Times New Roman" w:hAnsi="Times New Roman" w:eastAsia="方正楷体_GBK" w:cs="方正楷体_GBK"/>
          <w:b w:val="0"/>
          <w:bCs/>
          <w:color w:val="auto"/>
          <w:spacing w:val="0"/>
          <w:kern w:val="0"/>
          <w:sz w:val="32"/>
          <w:szCs w:val="32"/>
          <w:highlight w:val="none"/>
        </w:rPr>
        <w:t>（一）预算安排指导思想</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shd w:val="clear" w:color="auto" w:fill="auto"/>
          <w:lang w:val="en-US" w:eastAsia="zh-CN"/>
        </w:rPr>
        <w:t>坚持以习近平新时代中国特色社会主义思想为指导，全面贯彻党的二十大和二十届二中、三中全会精神，</w:t>
      </w:r>
      <w:r>
        <w:rPr>
          <w:rFonts w:hint="eastAsia" w:ascii="Times New Roman" w:hAnsi="Times New Roman" w:eastAsia="方正仿宋_GBK" w:cs="Times New Roman"/>
          <w:color w:val="auto"/>
          <w:spacing w:val="0"/>
          <w:kern w:val="0"/>
          <w:sz w:val="32"/>
          <w:szCs w:val="32"/>
          <w:highlight w:val="none"/>
          <w:lang w:val="en-US" w:eastAsia="zh-CN"/>
        </w:rPr>
        <w:t>落实中央和省委、市委、区委经济工作会议部署，坚持稳中求进、以进促稳、先立后破，实施更加积极的财政政策，完整、准确、全面贯彻新发展理念，积极服务和融入新发展格局，着力推动高质量发展。坚持党政机关过“紧日子”，大力优化财政支出结构，兜牢“三保”底线，提高预算绩效管理水平，严肃财经纪律，防范化解风险，巩固和增强经济回升向好态势，为加快建设新时代经济强区美丽徐水、奋力谱写中国式现代化徐水篇章提供持续有力的财政支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color w:val="auto"/>
          <w:spacing w:val="0"/>
          <w:kern w:val="0"/>
          <w:sz w:val="32"/>
          <w:szCs w:val="32"/>
          <w:highlight w:val="none"/>
        </w:rPr>
      </w:pPr>
      <w:r>
        <w:rPr>
          <w:rFonts w:hint="eastAsia" w:ascii="Times New Roman" w:hAnsi="Times New Roman" w:eastAsia="方正楷体_GBK" w:cs="方正楷体_GBK"/>
          <w:b w:val="0"/>
          <w:bCs/>
          <w:color w:val="auto"/>
          <w:spacing w:val="0"/>
          <w:kern w:val="0"/>
          <w:sz w:val="32"/>
          <w:szCs w:val="32"/>
          <w:highlight w:val="none"/>
        </w:rPr>
        <w:t>（二）预算安排基本原则</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lang w:val="en-US" w:eastAsia="zh-CN"/>
        </w:rPr>
        <w:t>一</w:t>
      </w:r>
      <w:r>
        <w:rPr>
          <w:rFonts w:hint="eastAsia" w:ascii="Times New Roman" w:hAnsi="Times New Roman" w:eastAsia="方正仿宋_GBK" w:cs="Times New Roman"/>
          <w:b/>
          <w:bCs/>
          <w:color w:val="auto"/>
          <w:spacing w:val="0"/>
          <w:kern w:val="0"/>
          <w:sz w:val="32"/>
          <w:szCs w:val="32"/>
          <w:highlight w:val="none"/>
        </w:rPr>
        <w:t>是</w:t>
      </w:r>
      <w:r>
        <w:rPr>
          <w:rFonts w:hint="eastAsia" w:ascii="Times New Roman" w:hAnsi="Times New Roman" w:eastAsia="方正仿宋_GBK" w:cs="Times New Roman"/>
          <w:b/>
          <w:bCs/>
          <w:color w:val="auto"/>
          <w:spacing w:val="0"/>
          <w:kern w:val="0"/>
          <w:sz w:val="32"/>
          <w:szCs w:val="32"/>
          <w:highlight w:val="none"/>
          <w:lang w:val="en-US" w:eastAsia="zh-CN"/>
        </w:rPr>
        <w:t>依法依规。</w:t>
      </w:r>
      <w:r>
        <w:rPr>
          <w:rFonts w:hint="eastAsia" w:ascii="Times New Roman" w:hAnsi="Times New Roman" w:eastAsia="方正仿宋_GBK" w:cs="Times New Roman"/>
          <w:color w:val="auto"/>
          <w:spacing w:val="0"/>
          <w:kern w:val="0"/>
          <w:sz w:val="32"/>
          <w:szCs w:val="32"/>
          <w:highlight w:val="none"/>
          <w:lang w:val="en-US" w:eastAsia="zh-CN"/>
        </w:rPr>
        <w:t>严格执行《预算法》关于预算管理职权、预算收支范围、预算编制、预算执行、预算调整等方面规定。</w:t>
      </w:r>
      <w:r>
        <w:rPr>
          <w:rFonts w:hint="eastAsia" w:ascii="Times New Roman" w:hAnsi="Times New Roman" w:eastAsia="方正仿宋_GBK" w:cs="Times New Roman"/>
          <w:b/>
          <w:bCs/>
          <w:color w:val="auto"/>
          <w:spacing w:val="0"/>
          <w:kern w:val="0"/>
          <w:sz w:val="32"/>
          <w:szCs w:val="32"/>
          <w:highlight w:val="none"/>
          <w:u w:val="none"/>
          <w:lang w:val="en-US" w:eastAsia="zh-CN"/>
        </w:rPr>
        <w:t>二是</w:t>
      </w:r>
      <w:r>
        <w:rPr>
          <w:rFonts w:hint="eastAsia" w:ascii="Times New Roman" w:hAnsi="Times New Roman" w:eastAsia="方正仿宋_GBK" w:cs="Times New Roman"/>
          <w:b/>
          <w:bCs/>
          <w:color w:val="auto"/>
          <w:spacing w:val="0"/>
          <w:kern w:val="0"/>
          <w:sz w:val="32"/>
          <w:szCs w:val="32"/>
          <w:highlight w:val="none"/>
          <w:lang w:val="en-US" w:eastAsia="zh-CN"/>
        </w:rPr>
        <w:t>量入为出</w:t>
      </w:r>
      <w:r>
        <w:rPr>
          <w:rFonts w:hint="eastAsia" w:ascii="Times New Roman" w:hAnsi="Times New Roman" w:eastAsia="方正仿宋_GBK" w:cs="Times New Roman"/>
          <w:color w:val="auto"/>
          <w:spacing w:val="0"/>
          <w:kern w:val="0"/>
          <w:sz w:val="32"/>
          <w:szCs w:val="32"/>
          <w:highlight w:val="none"/>
          <w:lang w:val="en-US" w:eastAsia="zh-CN"/>
        </w:rPr>
        <w:t>。收入预算与经济社会发展相适应，支出预算与财政承受能力相适应，做到量力而行、量财办事。</w:t>
      </w:r>
      <w:r>
        <w:rPr>
          <w:rFonts w:hint="eastAsia" w:ascii="Times New Roman" w:hAnsi="Times New Roman" w:eastAsia="方正仿宋_GBK" w:cs="Times New Roman"/>
          <w:b/>
          <w:bCs/>
          <w:color w:val="auto"/>
          <w:spacing w:val="0"/>
          <w:kern w:val="0"/>
          <w:sz w:val="32"/>
          <w:highlight w:val="none"/>
        </w:rPr>
        <w:t>三</w:t>
      </w:r>
      <w:r>
        <w:rPr>
          <w:rFonts w:ascii="Times New Roman" w:hAnsi="Times New Roman" w:eastAsia="方正仿宋_GBK" w:cs="Times New Roman"/>
          <w:b/>
          <w:bCs/>
          <w:color w:val="auto"/>
          <w:spacing w:val="0"/>
          <w:kern w:val="0"/>
          <w:sz w:val="32"/>
          <w:highlight w:val="none"/>
        </w:rPr>
        <w:t>是</w:t>
      </w:r>
      <w:r>
        <w:rPr>
          <w:rFonts w:hint="eastAsia" w:ascii="Times New Roman" w:hAnsi="Times New Roman" w:eastAsia="方正仿宋_GBK" w:cs="Times New Roman"/>
          <w:b/>
          <w:bCs/>
          <w:color w:val="auto"/>
          <w:spacing w:val="0"/>
          <w:kern w:val="0"/>
          <w:sz w:val="32"/>
          <w:szCs w:val="32"/>
          <w:highlight w:val="none"/>
          <w:lang w:val="en-US" w:eastAsia="zh-CN"/>
        </w:rPr>
        <w:t>突出重点</w:t>
      </w:r>
      <w:r>
        <w:rPr>
          <w:rFonts w:hint="eastAsia" w:ascii="Times New Roman" w:hAnsi="Times New Roman" w:eastAsia="方正仿宋_GBK" w:cs="Times New Roman"/>
          <w:b/>
          <w:bCs/>
          <w:color w:val="auto"/>
          <w:spacing w:val="0"/>
          <w:kern w:val="0"/>
          <w:sz w:val="32"/>
          <w:highlight w:val="none"/>
          <w:lang w:eastAsia="zh-CN"/>
        </w:rPr>
        <w:t>。</w:t>
      </w:r>
      <w:r>
        <w:rPr>
          <w:rFonts w:hint="eastAsia" w:ascii="Times New Roman" w:hAnsi="Times New Roman" w:eastAsia="方正仿宋_GBK" w:cs="Times New Roman"/>
          <w:color w:val="auto"/>
          <w:spacing w:val="0"/>
          <w:kern w:val="0"/>
          <w:sz w:val="32"/>
          <w:szCs w:val="32"/>
          <w:highlight w:val="none"/>
          <w:lang w:val="en-US" w:eastAsia="zh-CN"/>
        </w:rPr>
        <w:t>把有限的资金用在稳定关键点、发展紧要处、民生急需处。</w:t>
      </w:r>
      <w:r>
        <w:rPr>
          <w:rFonts w:hint="eastAsia" w:ascii="Times New Roman" w:hAnsi="Times New Roman" w:eastAsia="方正仿宋_GBK" w:cs="Times New Roman"/>
          <w:b/>
          <w:bCs/>
          <w:color w:val="auto"/>
          <w:spacing w:val="0"/>
          <w:kern w:val="0"/>
          <w:sz w:val="32"/>
          <w:szCs w:val="32"/>
          <w:highlight w:val="none"/>
        </w:rPr>
        <w:t>四是</w:t>
      </w:r>
      <w:r>
        <w:rPr>
          <w:rFonts w:hint="eastAsia" w:ascii="Times New Roman" w:hAnsi="Times New Roman" w:eastAsia="方正仿宋_GBK" w:cs="Times New Roman"/>
          <w:b/>
          <w:bCs/>
          <w:color w:val="auto"/>
          <w:spacing w:val="0"/>
          <w:kern w:val="0"/>
          <w:sz w:val="32"/>
          <w:szCs w:val="32"/>
          <w:highlight w:val="none"/>
          <w:lang w:val="en-US" w:eastAsia="zh-CN"/>
        </w:rPr>
        <w:t>厉行节约。</w:t>
      </w:r>
      <w:r>
        <w:rPr>
          <w:rFonts w:hint="eastAsia" w:ascii="Times New Roman" w:hAnsi="Times New Roman" w:eastAsia="方正仿宋_GBK" w:cs="Times New Roman"/>
          <w:color w:val="auto"/>
          <w:spacing w:val="0"/>
          <w:kern w:val="0"/>
          <w:sz w:val="32"/>
          <w:szCs w:val="32"/>
          <w:highlight w:val="none"/>
          <w:lang w:val="en-US" w:eastAsia="zh-CN"/>
        </w:rPr>
        <w:t>不折不扣贯彻落实党政机关过“紧日子”要求，严控一般性支出，用党政机关的“紧日子”换取老百姓的“好日子”、市场主体的“宽松日子”。</w:t>
      </w:r>
      <w:r>
        <w:rPr>
          <w:rFonts w:hint="eastAsia" w:ascii="Times New Roman" w:hAnsi="Times New Roman" w:eastAsia="方正仿宋_GBK" w:cs="Times New Roman"/>
          <w:b/>
          <w:bCs/>
          <w:color w:val="auto"/>
          <w:spacing w:val="0"/>
          <w:kern w:val="0"/>
          <w:sz w:val="32"/>
          <w:szCs w:val="32"/>
          <w:highlight w:val="none"/>
        </w:rPr>
        <w:t>五是</w:t>
      </w:r>
      <w:r>
        <w:rPr>
          <w:rFonts w:hint="eastAsia" w:ascii="Times New Roman" w:hAnsi="Times New Roman" w:eastAsia="方正仿宋_GBK" w:cs="Times New Roman"/>
          <w:b/>
          <w:bCs/>
          <w:color w:val="auto"/>
          <w:spacing w:val="0"/>
          <w:kern w:val="0"/>
          <w:sz w:val="32"/>
          <w:highlight w:val="none"/>
          <w:lang w:val="en-US" w:eastAsia="zh-CN"/>
        </w:rPr>
        <w:t>绩效为重。</w:t>
      </w:r>
      <w:r>
        <w:rPr>
          <w:rFonts w:hint="eastAsia" w:ascii="Times New Roman" w:hAnsi="Times New Roman" w:eastAsia="方正仿宋_GBK" w:cs="Times New Roman"/>
          <w:color w:val="auto"/>
          <w:spacing w:val="0"/>
          <w:kern w:val="0"/>
          <w:sz w:val="32"/>
          <w:szCs w:val="32"/>
          <w:highlight w:val="none"/>
          <w:lang w:val="en-US" w:eastAsia="zh-CN"/>
        </w:rPr>
        <w:t>加快构建全方位、全过程、全覆盖预算绩效管理体系，着力提升财政政策和资金的精准性、有效性。</w:t>
      </w:r>
      <w:r>
        <w:rPr>
          <w:rFonts w:hint="eastAsia" w:ascii="Times New Roman" w:hAnsi="Times New Roman" w:eastAsia="方正仿宋_GBK" w:cs="Times New Roman"/>
          <w:b/>
          <w:bCs/>
          <w:color w:val="auto"/>
          <w:spacing w:val="0"/>
          <w:kern w:val="0"/>
          <w:sz w:val="32"/>
          <w:szCs w:val="32"/>
          <w:highlight w:val="none"/>
        </w:rPr>
        <w:t>六是</w:t>
      </w:r>
      <w:r>
        <w:rPr>
          <w:rFonts w:hint="eastAsia" w:ascii="Times New Roman" w:hAnsi="Times New Roman" w:eastAsia="方正仿宋_GBK" w:cs="Times New Roman"/>
          <w:b/>
          <w:bCs/>
          <w:color w:val="auto"/>
          <w:spacing w:val="0"/>
          <w:kern w:val="0"/>
          <w:sz w:val="32"/>
          <w:szCs w:val="32"/>
          <w:highlight w:val="none"/>
          <w:lang w:val="en-US" w:eastAsia="zh-CN"/>
        </w:rPr>
        <w:t>防控风险。</w:t>
      </w:r>
      <w:r>
        <w:rPr>
          <w:rFonts w:hint="eastAsia" w:ascii="Times New Roman" w:hAnsi="Times New Roman" w:eastAsia="方正仿宋_GBK" w:cs="Times New Roman"/>
          <w:color w:val="auto"/>
          <w:spacing w:val="0"/>
          <w:kern w:val="0"/>
          <w:sz w:val="32"/>
          <w:szCs w:val="32"/>
          <w:highlight w:val="none"/>
          <w:lang w:val="en-US" w:eastAsia="zh-CN"/>
        </w:rPr>
        <w:t>严格政府债务限额管理和预算管理，政府债务保持合理适度，确保财政平稳运行和收支平衡。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楷体_GBK" w:cs="方正楷体_GBK"/>
          <w:b w:val="0"/>
          <w:bCs/>
          <w:color w:val="auto"/>
          <w:spacing w:val="0"/>
          <w:kern w:val="0"/>
          <w:sz w:val="32"/>
          <w:szCs w:val="32"/>
          <w:highlight w:val="none"/>
        </w:rPr>
      </w:pPr>
      <w:r>
        <w:rPr>
          <w:rFonts w:hint="eastAsia" w:ascii="Times New Roman" w:hAnsi="Times New Roman" w:eastAsia="方正楷体_GBK" w:cs="方正楷体_GBK"/>
          <w:b w:val="0"/>
          <w:bCs/>
          <w:color w:val="auto"/>
          <w:spacing w:val="0"/>
          <w:kern w:val="0"/>
          <w:sz w:val="32"/>
          <w:szCs w:val="32"/>
          <w:highlight w:val="none"/>
        </w:rPr>
        <w:t>（三）预算安排</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cs="Times New Roman"/>
          <w:b/>
          <w:color w:val="auto"/>
          <w:spacing w:val="0"/>
          <w:kern w:val="0"/>
          <w:sz w:val="32"/>
          <w:szCs w:val="32"/>
          <w:highlight w:val="none"/>
        </w:rPr>
      </w:pPr>
      <w:r>
        <w:rPr>
          <w:rFonts w:ascii="Times New Roman" w:hAnsi="Times New Roman" w:eastAsia="方正仿宋_GBK" w:cs="Times New Roman"/>
          <w:b/>
          <w:bCs/>
          <w:color w:val="auto"/>
          <w:spacing w:val="0"/>
          <w:kern w:val="0"/>
          <w:sz w:val="32"/>
          <w:szCs w:val="32"/>
          <w:highlight w:val="none"/>
        </w:rPr>
        <w:t>1</w:t>
      </w:r>
      <w:r>
        <w:rPr>
          <w:rFonts w:hint="eastAsia" w:ascii="Times New Roman" w:hAnsi="Times New Roman" w:eastAsia="方正仿宋_GBK" w:cs="Times New Roman"/>
          <w:b/>
          <w:bCs/>
          <w:color w:val="auto"/>
          <w:spacing w:val="0"/>
          <w:kern w:val="0"/>
          <w:sz w:val="32"/>
          <w:szCs w:val="32"/>
          <w:highlight w:val="none"/>
        </w:rPr>
        <w:t>.一般公共预算安排情况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u w:val="none"/>
        </w:rPr>
        <w:t>（1</w:t>
      </w:r>
      <w:r>
        <w:rPr>
          <w:rFonts w:ascii="Times New Roman" w:hAnsi="Times New Roman" w:eastAsia="方正仿宋_GBK" w:cs="Times New Roman"/>
          <w:b/>
          <w:bCs/>
          <w:color w:val="auto"/>
          <w:spacing w:val="0"/>
          <w:kern w:val="0"/>
          <w:sz w:val="32"/>
          <w:szCs w:val="32"/>
          <w:highlight w:val="none"/>
          <w:u w:val="none"/>
        </w:rPr>
        <w:t>）</w:t>
      </w:r>
      <w:r>
        <w:rPr>
          <w:rFonts w:hint="eastAsia" w:ascii="Times New Roman" w:hAnsi="Times New Roman" w:eastAsia="方正仿宋_GBK" w:cs="Times New Roman"/>
          <w:b/>
          <w:bCs/>
          <w:color w:val="auto"/>
          <w:spacing w:val="0"/>
          <w:kern w:val="0"/>
          <w:sz w:val="32"/>
          <w:szCs w:val="32"/>
          <w:highlight w:val="none"/>
          <w:u w:val="none"/>
        </w:rPr>
        <w:t>收入预算。</w:t>
      </w:r>
      <w:r>
        <w:rPr>
          <w:rFonts w:hint="eastAsia" w:ascii="Times New Roman" w:hAnsi="Times New Roman" w:eastAsia="方正仿宋_GBK" w:cs="Times New Roman"/>
          <w:color w:val="auto"/>
          <w:spacing w:val="0"/>
          <w:kern w:val="0"/>
          <w:sz w:val="32"/>
          <w:szCs w:val="32"/>
          <w:highlight w:val="none"/>
          <w:lang w:val="en-US" w:eastAsia="zh-CN"/>
        </w:rPr>
        <w:t>2025年，一般公共预算收入安排</w:t>
      </w:r>
      <w:r>
        <w:rPr>
          <w:rFonts w:hint="default" w:ascii="Times New Roman" w:hAnsi="Times New Roman" w:eastAsia="方正仿宋_GBK" w:cs="Times New Roman"/>
          <w:color w:val="auto"/>
          <w:spacing w:val="0"/>
          <w:kern w:val="0"/>
          <w:sz w:val="32"/>
          <w:szCs w:val="32"/>
          <w:highlight w:val="none"/>
          <w:lang w:val="en-US" w:eastAsia="zh-CN"/>
        </w:rPr>
        <w:t>14.9</w:t>
      </w:r>
      <w:r>
        <w:rPr>
          <w:rFonts w:hint="eastAsia" w:ascii="Times New Roman" w:hAnsi="Times New Roman" w:eastAsia="方正仿宋_GBK" w:cs="Times New Roman"/>
          <w:color w:val="auto"/>
          <w:spacing w:val="0"/>
          <w:kern w:val="0"/>
          <w:sz w:val="32"/>
          <w:szCs w:val="32"/>
          <w:highlight w:val="none"/>
          <w:lang w:val="en-US" w:eastAsia="zh-CN"/>
        </w:rPr>
        <w:t>亿元，较上年增长</w:t>
      </w:r>
      <w:r>
        <w:rPr>
          <w:rFonts w:hint="default" w:ascii="Times New Roman" w:hAnsi="Times New Roman" w:eastAsia="方正仿宋_GBK" w:cs="Times New Roman"/>
          <w:color w:val="auto"/>
          <w:spacing w:val="0"/>
          <w:kern w:val="0"/>
          <w:sz w:val="32"/>
          <w:szCs w:val="32"/>
          <w:highlight w:val="none"/>
          <w:lang w:val="en-US" w:eastAsia="zh-CN"/>
        </w:rPr>
        <w:t>3.5%</w:t>
      </w:r>
      <w:r>
        <w:rPr>
          <w:rFonts w:hint="eastAsia" w:ascii="Times New Roman" w:hAnsi="Times New Roman" w:eastAsia="方正仿宋_GBK" w:cs="Times New Roman"/>
          <w:color w:val="auto"/>
          <w:spacing w:val="0"/>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u w:val="none"/>
        </w:rPr>
        <w:t>（2</w:t>
      </w:r>
      <w:r>
        <w:rPr>
          <w:rFonts w:ascii="Times New Roman" w:hAnsi="Times New Roman" w:eastAsia="方正仿宋_GBK" w:cs="Times New Roman"/>
          <w:b/>
          <w:bCs/>
          <w:color w:val="auto"/>
          <w:spacing w:val="0"/>
          <w:kern w:val="0"/>
          <w:sz w:val="32"/>
          <w:szCs w:val="32"/>
          <w:highlight w:val="none"/>
          <w:u w:val="none"/>
        </w:rPr>
        <w:t>）支出预算。</w:t>
      </w:r>
      <w:r>
        <w:rPr>
          <w:rFonts w:hint="eastAsia" w:ascii="Times New Roman" w:hAnsi="Times New Roman" w:eastAsia="方正仿宋_GBK" w:cs="Times New Roman"/>
          <w:color w:val="auto"/>
          <w:spacing w:val="0"/>
          <w:kern w:val="0"/>
          <w:sz w:val="32"/>
          <w:szCs w:val="32"/>
          <w:highlight w:val="none"/>
          <w:lang w:val="en-US" w:eastAsia="zh-CN"/>
        </w:rPr>
        <w:t>2025年，一般公共预算支出安排</w:t>
      </w:r>
      <w:r>
        <w:rPr>
          <w:rFonts w:hint="default" w:ascii="Times New Roman" w:hAnsi="Times New Roman" w:eastAsia="方正仿宋_GBK" w:cs="Times New Roman"/>
          <w:color w:val="auto"/>
          <w:spacing w:val="0"/>
          <w:kern w:val="0"/>
          <w:sz w:val="32"/>
          <w:szCs w:val="32"/>
          <w:highlight w:val="none"/>
          <w:lang w:val="en-US" w:eastAsia="zh-CN"/>
        </w:rPr>
        <w:t>43.4</w:t>
      </w:r>
      <w:r>
        <w:rPr>
          <w:rFonts w:hint="eastAsia" w:ascii="Times New Roman" w:hAnsi="Times New Roman" w:eastAsia="方正仿宋_GBK" w:cs="Times New Roman"/>
          <w:color w:val="auto"/>
          <w:spacing w:val="0"/>
          <w:kern w:val="0"/>
          <w:sz w:val="32"/>
          <w:szCs w:val="32"/>
          <w:highlight w:val="none"/>
          <w:lang w:val="en-US" w:eastAsia="zh-CN"/>
        </w:rPr>
        <w:t>亿元，主要支出项目安排情况是：一般公共服务支出</w:t>
      </w:r>
      <w:r>
        <w:rPr>
          <w:rFonts w:hint="default" w:ascii="Times New Roman" w:hAnsi="Times New Roman" w:eastAsia="方正仿宋_GBK" w:cs="Times New Roman"/>
          <w:color w:val="auto"/>
          <w:spacing w:val="0"/>
          <w:kern w:val="0"/>
          <w:sz w:val="32"/>
          <w:szCs w:val="32"/>
          <w:highlight w:val="none"/>
          <w:lang w:val="en-US" w:eastAsia="zh-CN"/>
        </w:rPr>
        <w:t>5.2</w:t>
      </w:r>
      <w:r>
        <w:rPr>
          <w:rFonts w:hint="eastAsia" w:ascii="Times New Roman" w:hAnsi="Times New Roman" w:eastAsia="方正仿宋_GBK" w:cs="Times New Roman"/>
          <w:color w:val="auto"/>
          <w:spacing w:val="0"/>
          <w:kern w:val="0"/>
          <w:sz w:val="32"/>
          <w:szCs w:val="32"/>
          <w:highlight w:val="none"/>
          <w:lang w:val="en-US" w:eastAsia="zh-CN"/>
        </w:rPr>
        <w:t>亿元，公共安全支出</w:t>
      </w:r>
      <w:r>
        <w:rPr>
          <w:rFonts w:hint="default" w:ascii="Times New Roman" w:hAnsi="Times New Roman" w:eastAsia="方正仿宋_GBK" w:cs="Times New Roman"/>
          <w:color w:val="auto"/>
          <w:spacing w:val="0"/>
          <w:kern w:val="0"/>
          <w:sz w:val="32"/>
          <w:szCs w:val="32"/>
          <w:highlight w:val="none"/>
          <w:lang w:val="en-US" w:eastAsia="zh-CN"/>
        </w:rPr>
        <w:t>1.4</w:t>
      </w:r>
      <w:r>
        <w:rPr>
          <w:rFonts w:hint="eastAsia" w:ascii="Times New Roman" w:hAnsi="Times New Roman" w:eastAsia="方正仿宋_GBK" w:cs="Times New Roman"/>
          <w:color w:val="auto"/>
          <w:spacing w:val="0"/>
          <w:kern w:val="0"/>
          <w:sz w:val="32"/>
          <w:szCs w:val="32"/>
          <w:highlight w:val="none"/>
          <w:lang w:val="en-US" w:eastAsia="zh-CN"/>
        </w:rPr>
        <w:t>亿元，教育支出</w:t>
      </w:r>
      <w:r>
        <w:rPr>
          <w:rFonts w:hint="default" w:ascii="Times New Roman" w:hAnsi="Times New Roman" w:eastAsia="方正仿宋_GBK" w:cs="Times New Roman"/>
          <w:color w:val="auto"/>
          <w:spacing w:val="0"/>
          <w:kern w:val="0"/>
          <w:sz w:val="32"/>
          <w:szCs w:val="32"/>
          <w:highlight w:val="none"/>
          <w:lang w:val="en-US" w:eastAsia="zh-CN"/>
        </w:rPr>
        <w:t>12.6</w:t>
      </w:r>
      <w:r>
        <w:rPr>
          <w:rFonts w:hint="eastAsia" w:ascii="Times New Roman" w:hAnsi="Times New Roman" w:eastAsia="方正仿宋_GBK" w:cs="Times New Roman"/>
          <w:color w:val="auto"/>
          <w:spacing w:val="0"/>
          <w:kern w:val="0"/>
          <w:sz w:val="32"/>
          <w:szCs w:val="32"/>
          <w:highlight w:val="none"/>
          <w:lang w:val="en-US" w:eastAsia="zh-CN"/>
        </w:rPr>
        <w:t>亿元，科学技术支出</w:t>
      </w:r>
      <w:r>
        <w:rPr>
          <w:rFonts w:hint="default" w:ascii="Times New Roman" w:hAnsi="Times New Roman" w:eastAsia="方正仿宋_GBK" w:cs="Times New Roman"/>
          <w:color w:val="auto"/>
          <w:spacing w:val="0"/>
          <w:kern w:val="0"/>
          <w:sz w:val="32"/>
          <w:szCs w:val="32"/>
          <w:highlight w:val="none"/>
          <w:lang w:val="en-US" w:eastAsia="zh-CN"/>
        </w:rPr>
        <w:t>7010</w:t>
      </w:r>
      <w:r>
        <w:rPr>
          <w:rFonts w:hint="eastAsia" w:ascii="Times New Roman" w:hAnsi="Times New Roman" w:eastAsia="方正仿宋_GBK" w:cs="Times New Roman"/>
          <w:color w:val="auto"/>
          <w:spacing w:val="0"/>
          <w:kern w:val="0"/>
          <w:sz w:val="32"/>
          <w:szCs w:val="32"/>
          <w:highlight w:val="none"/>
          <w:lang w:val="en-US" w:eastAsia="zh-CN"/>
        </w:rPr>
        <w:t>万元，文化旅游体育与传媒支出</w:t>
      </w:r>
      <w:r>
        <w:rPr>
          <w:rFonts w:hint="default" w:ascii="Times New Roman" w:hAnsi="Times New Roman" w:eastAsia="方正仿宋_GBK" w:cs="Times New Roman"/>
          <w:color w:val="auto"/>
          <w:spacing w:val="0"/>
          <w:kern w:val="0"/>
          <w:sz w:val="32"/>
          <w:szCs w:val="32"/>
          <w:highlight w:val="none"/>
          <w:lang w:val="en-US" w:eastAsia="zh-CN"/>
        </w:rPr>
        <w:t>3041</w:t>
      </w:r>
      <w:r>
        <w:rPr>
          <w:rFonts w:hint="eastAsia" w:ascii="Times New Roman" w:hAnsi="Times New Roman" w:eastAsia="方正仿宋_GBK" w:cs="Times New Roman"/>
          <w:color w:val="auto"/>
          <w:spacing w:val="0"/>
          <w:kern w:val="0"/>
          <w:sz w:val="32"/>
          <w:szCs w:val="32"/>
          <w:highlight w:val="none"/>
          <w:lang w:val="en-US" w:eastAsia="zh-CN"/>
        </w:rPr>
        <w:t>万元，社会保障和就业支出</w:t>
      </w:r>
      <w:r>
        <w:rPr>
          <w:rFonts w:hint="default" w:ascii="Times New Roman" w:hAnsi="Times New Roman" w:eastAsia="方正仿宋_GBK" w:cs="Times New Roman"/>
          <w:color w:val="auto"/>
          <w:spacing w:val="0"/>
          <w:kern w:val="0"/>
          <w:sz w:val="32"/>
          <w:szCs w:val="32"/>
          <w:highlight w:val="none"/>
          <w:lang w:val="en-US" w:eastAsia="zh-CN"/>
        </w:rPr>
        <w:t>10</w:t>
      </w:r>
      <w:r>
        <w:rPr>
          <w:rFonts w:hint="eastAsia" w:ascii="Times New Roman" w:hAnsi="Times New Roman" w:eastAsia="方正仿宋_GBK" w:cs="Times New Roman"/>
          <w:color w:val="auto"/>
          <w:spacing w:val="0"/>
          <w:kern w:val="0"/>
          <w:sz w:val="32"/>
          <w:szCs w:val="32"/>
          <w:highlight w:val="none"/>
          <w:lang w:val="en-US" w:eastAsia="zh-CN"/>
        </w:rPr>
        <w:t>亿元，卫生健康支出</w:t>
      </w:r>
      <w:r>
        <w:rPr>
          <w:rFonts w:hint="default" w:ascii="Times New Roman" w:hAnsi="Times New Roman" w:eastAsia="方正仿宋_GBK" w:cs="Times New Roman"/>
          <w:color w:val="auto"/>
          <w:spacing w:val="0"/>
          <w:kern w:val="0"/>
          <w:sz w:val="32"/>
          <w:szCs w:val="32"/>
          <w:highlight w:val="none"/>
          <w:lang w:val="en-US" w:eastAsia="zh-CN"/>
        </w:rPr>
        <w:t>3.5</w:t>
      </w:r>
      <w:r>
        <w:rPr>
          <w:rFonts w:hint="eastAsia" w:ascii="Times New Roman" w:hAnsi="Times New Roman" w:eastAsia="方正仿宋_GBK" w:cs="Times New Roman"/>
          <w:color w:val="auto"/>
          <w:spacing w:val="0"/>
          <w:kern w:val="0"/>
          <w:sz w:val="32"/>
          <w:szCs w:val="32"/>
          <w:highlight w:val="none"/>
          <w:lang w:val="en-US" w:eastAsia="zh-CN"/>
        </w:rPr>
        <w:t>亿元，节能环保支出</w:t>
      </w:r>
      <w:r>
        <w:rPr>
          <w:rFonts w:hint="default" w:ascii="Times New Roman" w:hAnsi="Times New Roman" w:eastAsia="方正仿宋_GBK" w:cs="Times New Roman"/>
          <w:color w:val="auto"/>
          <w:spacing w:val="0"/>
          <w:kern w:val="0"/>
          <w:sz w:val="32"/>
          <w:szCs w:val="32"/>
          <w:highlight w:val="none"/>
          <w:lang w:val="en-US" w:eastAsia="zh-CN"/>
        </w:rPr>
        <w:t>3743</w:t>
      </w:r>
      <w:r>
        <w:rPr>
          <w:rFonts w:hint="eastAsia" w:ascii="Times New Roman" w:hAnsi="Times New Roman" w:eastAsia="方正仿宋_GBK" w:cs="Times New Roman"/>
          <w:color w:val="auto"/>
          <w:spacing w:val="0"/>
          <w:kern w:val="0"/>
          <w:sz w:val="32"/>
          <w:szCs w:val="32"/>
          <w:highlight w:val="none"/>
          <w:lang w:val="en-US" w:eastAsia="zh-CN"/>
        </w:rPr>
        <w:t>万元，城乡社区支出</w:t>
      </w:r>
      <w:r>
        <w:rPr>
          <w:rFonts w:hint="default" w:ascii="Times New Roman" w:hAnsi="Times New Roman" w:eastAsia="方正仿宋_GBK" w:cs="Times New Roman"/>
          <w:color w:val="auto"/>
          <w:spacing w:val="0"/>
          <w:kern w:val="0"/>
          <w:sz w:val="32"/>
          <w:szCs w:val="32"/>
          <w:highlight w:val="none"/>
          <w:lang w:val="en-US" w:eastAsia="zh-CN"/>
        </w:rPr>
        <w:t>1.4</w:t>
      </w:r>
      <w:r>
        <w:rPr>
          <w:rFonts w:hint="eastAsia" w:ascii="Times New Roman" w:hAnsi="Times New Roman" w:eastAsia="方正仿宋_GBK" w:cs="Times New Roman"/>
          <w:color w:val="auto"/>
          <w:spacing w:val="0"/>
          <w:kern w:val="0"/>
          <w:sz w:val="32"/>
          <w:szCs w:val="32"/>
          <w:highlight w:val="none"/>
          <w:lang w:val="en-US" w:eastAsia="zh-CN"/>
        </w:rPr>
        <w:t>亿元，农林水支出</w:t>
      </w:r>
      <w:r>
        <w:rPr>
          <w:rFonts w:hint="default" w:ascii="Times New Roman" w:hAnsi="Times New Roman" w:eastAsia="方正仿宋_GBK" w:cs="Times New Roman"/>
          <w:color w:val="auto"/>
          <w:spacing w:val="0"/>
          <w:kern w:val="0"/>
          <w:sz w:val="32"/>
          <w:szCs w:val="32"/>
          <w:highlight w:val="none"/>
          <w:lang w:val="en-US" w:eastAsia="zh-CN"/>
        </w:rPr>
        <w:t>3.6</w:t>
      </w:r>
      <w:r>
        <w:rPr>
          <w:rFonts w:hint="eastAsia" w:ascii="Times New Roman" w:hAnsi="Times New Roman" w:eastAsia="方正仿宋_GBK" w:cs="Times New Roman"/>
          <w:color w:val="auto"/>
          <w:spacing w:val="0"/>
          <w:kern w:val="0"/>
          <w:sz w:val="32"/>
          <w:szCs w:val="32"/>
          <w:highlight w:val="none"/>
          <w:lang w:val="en-US" w:eastAsia="zh-CN"/>
        </w:rPr>
        <w:t>亿元，交通运输支出</w:t>
      </w:r>
      <w:r>
        <w:rPr>
          <w:rFonts w:hint="default" w:ascii="Times New Roman" w:hAnsi="Times New Roman" w:eastAsia="方正仿宋_GBK" w:cs="Times New Roman"/>
          <w:color w:val="auto"/>
          <w:spacing w:val="0"/>
          <w:kern w:val="0"/>
          <w:sz w:val="32"/>
          <w:szCs w:val="32"/>
          <w:highlight w:val="none"/>
          <w:lang w:val="en-US" w:eastAsia="zh-CN"/>
        </w:rPr>
        <w:t>1877</w:t>
      </w:r>
      <w:r>
        <w:rPr>
          <w:rFonts w:hint="eastAsia" w:ascii="Times New Roman" w:hAnsi="Times New Roman" w:eastAsia="方正仿宋_GBK" w:cs="Times New Roman"/>
          <w:color w:val="auto"/>
          <w:spacing w:val="0"/>
          <w:kern w:val="0"/>
          <w:sz w:val="32"/>
          <w:szCs w:val="32"/>
          <w:highlight w:val="none"/>
          <w:lang w:val="en-US" w:eastAsia="zh-CN"/>
        </w:rPr>
        <w:t>万元，商业服务业等支出</w:t>
      </w:r>
      <w:r>
        <w:rPr>
          <w:rFonts w:hint="default" w:ascii="Times New Roman" w:hAnsi="Times New Roman" w:eastAsia="方正仿宋_GBK" w:cs="Times New Roman"/>
          <w:color w:val="auto"/>
          <w:spacing w:val="0"/>
          <w:kern w:val="0"/>
          <w:sz w:val="32"/>
          <w:szCs w:val="32"/>
          <w:highlight w:val="none"/>
          <w:lang w:val="en-US" w:eastAsia="zh-CN"/>
        </w:rPr>
        <w:t>357</w:t>
      </w:r>
      <w:r>
        <w:rPr>
          <w:rFonts w:hint="eastAsia" w:ascii="Times New Roman" w:hAnsi="Times New Roman" w:eastAsia="方正仿宋_GBK" w:cs="Times New Roman"/>
          <w:color w:val="auto"/>
          <w:spacing w:val="0"/>
          <w:kern w:val="0"/>
          <w:sz w:val="32"/>
          <w:szCs w:val="32"/>
          <w:highlight w:val="none"/>
          <w:lang w:val="en-US" w:eastAsia="zh-CN"/>
        </w:rPr>
        <w:t>万元，金融支出</w:t>
      </w:r>
      <w:r>
        <w:rPr>
          <w:rFonts w:hint="default" w:ascii="Times New Roman" w:hAnsi="Times New Roman" w:eastAsia="方正仿宋_GBK" w:cs="Times New Roman"/>
          <w:color w:val="auto"/>
          <w:spacing w:val="0"/>
          <w:kern w:val="0"/>
          <w:sz w:val="32"/>
          <w:szCs w:val="32"/>
          <w:highlight w:val="none"/>
          <w:lang w:val="en-US" w:eastAsia="zh-CN"/>
        </w:rPr>
        <w:t>13</w:t>
      </w:r>
      <w:r>
        <w:rPr>
          <w:rFonts w:hint="eastAsia" w:ascii="Times New Roman" w:hAnsi="Times New Roman" w:eastAsia="方正仿宋_GBK" w:cs="Times New Roman"/>
          <w:color w:val="auto"/>
          <w:spacing w:val="0"/>
          <w:kern w:val="0"/>
          <w:sz w:val="32"/>
          <w:szCs w:val="32"/>
          <w:highlight w:val="none"/>
          <w:lang w:val="en-US" w:eastAsia="zh-CN"/>
        </w:rPr>
        <w:t>万元，自然资源海洋气象等支出</w:t>
      </w:r>
      <w:r>
        <w:rPr>
          <w:rFonts w:hint="default" w:ascii="Times New Roman" w:hAnsi="Times New Roman" w:eastAsia="方正仿宋_GBK" w:cs="Times New Roman"/>
          <w:color w:val="auto"/>
          <w:spacing w:val="0"/>
          <w:kern w:val="0"/>
          <w:sz w:val="32"/>
          <w:szCs w:val="32"/>
          <w:highlight w:val="none"/>
          <w:lang w:val="en-US" w:eastAsia="zh-CN"/>
        </w:rPr>
        <w:t>4087</w:t>
      </w:r>
      <w:r>
        <w:rPr>
          <w:rFonts w:hint="eastAsia" w:ascii="Times New Roman" w:hAnsi="Times New Roman" w:eastAsia="方正仿宋_GBK" w:cs="Times New Roman"/>
          <w:color w:val="auto"/>
          <w:spacing w:val="0"/>
          <w:kern w:val="0"/>
          <w:sz w:val="32"/>
          <w:szCs w:val="32"/>
          <w:highlight w:val="none"/>
          <w:lang w:val="en-US" w:eastAsia="zh-CN"/>
        </w:rPr>
        <w:t>万元，住房保障支出</w:t>
      </w:r>
      <w:r>
        <w:rPr>
          <w:rFonts w:hint="default" w:ascii="Times New Roman" w:hAnsi="Times New Roman" w:eastAsia="方正仿宋_GBK" w:cs="Times New Roman"/>
          <w:color w:val="auto"/>
          <w:spacing w:val="0"/>
          <w:kern w:val="0"/>
          <w:sz w:val="32"/>
          <w:szCs w:val="32"/>
          <w:highlight w:val="none"/>
          <w:lang w:val="en-US" w:eastAsia="zh-CN"/>
        </w:rPr>
        <w:t>1.3</w:t>
      </w:r>
      <w:r>
        <w:rPr>
          <w:rFonts w:hint="eastAsia" w:ascii="Times New Roman" w:hAnsi="Times New Roman" w:eastAsia="方正仿宋_GBK" w:cs="Times New Roman"/>
          <w:color w:val="auto"/>
          <w:spacing w:val="0"/>
          <w:kern w:val="0"/>
          <w:sz w:val="32"/>
          <w:szCs w:val="32"/>
          <w:highlight w:val="none"/>
          <w:lang w:val="en-US" w:eastAsia="zh-CN"/>
        </w:rPr>
        <w:t>亿元，粮油物资储备支出</w:t>
      </w:r>
      <w:r>
        <w:rPr>
          <w:rFonts w:hint="default" w:ascii="Times New Roman" w:hAnsi="Times New Roman" w:eastAsia="方正仿宋_GBK" w:cs="Times New Roman"/>
          <w:color w:val="auto"/>
          <w:spacing w:val="0"/>
          <w:kern w:val="0"/>
          <w:sz w:val="32"/>
          <w:szCs w:val="32"/>
          <w:highlight w:val="none"/>
          <w:lang w:val="en-US" w:eastAsia="zh-CN"/>
        </w:rPr>
        <w:t>324</w:t>
      </w:r>
      <w:r>
        <w:rPr>
          <w:rFonts w:hint="eastAsia" w:ascii="Times New Roman" w:hAnsi="Times New Roman" w:eastAsia="方正仿宋_GBK" w:cs="Times New Roman"/>
          <w:color w:val="auto"/>
          <w:spacing w:val="0"/>
          <w:kern w:val="0"/>
          <w:sz w:val="32"/>
          <w:szCs w:val="32"/>
          <w:highlight w:val="none"/>
          <w:lang w:val="en-US" w:eastAsia="zh-CN"/>
        </w:rPr>
        <w:t>万元，灾害防治及应急管理支出</w:t>
      </w:r>
      <w:r>
        <w:rPr>
          <w:rFonts w:hint="default" w:ascii="Times New Roman" w:hAnsi="Times New Roman" w:eastAsia="方正仿宋_GBK" w:cs="Times New Roman"/>
          <w:color w:val="auto"/>
          <w:spacing w:val="0"/>
          <w:kern w:val="0"/>
          <w:sz w:val="32"/>
          <w:szCs w:val="32"/>
          <w:highlight w:val="none"/>
          <w:lang w:val="en-US" w:eastAsia="zh-CN"/>
        </w:rPr>
        <w:t>6494</w:t>
      </w:r>
      <w:r>
        <w:rPr>
          <w:rFonts w:hint="eastAsia" w:ascii="Times New Roman" w:hAnsi="Times New Roman" w:eastAsia="方正仿宋_GBK" w:cs="Times New Roman"/>
          <w:color w:val="auto"/>
          <w:spacing w:val="0"/>
          <w:kern w:val="0"/>
          <w:sz w:val="32"/>
          <w:szCs w:val="32"/>
          <w:highlight w:val="none"/>
          <w:lang w:val="en-US" w:eastAsia="zh-CN"/>
        </w:rPr>
        <w:t>万元，预备费</w:t>
      </w:r>
      <w:r>
        <w:rPr>
          <w:rFonts w:hint="default" w:ascii="Times New Roman" w:hAnsi="Times New Roman" w:eastAsia="方正仿宋_GBK" w:cs="Times New Roman"/>
          <w:color w:val="auto"/>
          <w:spacing w:val="0"/>
          <w:kern w:val="0"/>
          <w:sz w:val="32"/>
          <w:szCs w:val="32"/>
          <w:highlight w:val="none"/>
          <w:lang w:val="en-US" w:eastAsia="zh-CN"/>
        </w:rPr>
        <w:t>5000</w:t>
      </w:r>
      <w:r>
        <w:rPr>
          <w:rFonts w:hint="eastAsia" w:ascii="Times New Roman" w:hAnsi="Times New Roman" w:eastAsia="方正仿宋_GBK" w:cs="Times New Roman"/>
          <w:color w:val="auto"/>
          <w:spacing w:val="0"/>
          <w:kern w:val="0"/>
          <w:sz w:val="32"/>
          <w:szCs w:val="32"/>
          <w:highlight w:val="none"/>
          <w:lang w:val="en-US" w:eastAsia="zh-CN"/>
        </w:rPr>
        <w:t>万元，其他支出</w:t>
      </w:r>
      <w:r>
        <w:rPr>
          <w:rFonts w:hint="default" w:ascii="Times New Roman" w:hAnsi="Times New Roman" w:eastAsia="方正仿宋_GBK" w:cs="Times New Roman"/>
          <w:color w:val="auto"/>
          <w:spacing w:val="0"/>
          <w:kern w:val="0"/>
          <w:sz w:val="32"/>
          <w:szCs w:val="32"/>
          <w:highlight w:val="none"/>
          <w:lang w:val="en-US" w:eastAsia="zh-CN"/>
        </w:rPr>
        <w:t>6</w:t>
      </w:r>
      <w:r>
        <w:rPr>
          <w:rFonts w:hint="eastAsia" w:eastAsia="方正仿宋_GBK" w:cs="Times New Roman"/>
          <w:color w:val="auto"/>
          <w:spacing w:val="0"/>
          <w:kern w:val="0"/>
          <w:sz w:val="32"/>
          <w:szCs w:val="32"/>
          <w:highlight w:val="none"/>
          <w:lang w:val="en-US" w:eastAsia="zh-CN"/>
        </w:rPr>
        <w:t>2</w:t>
      </w:r>
      <w:r>
        <w:rPr>
          <w:rFonts w:hint="default" w:ascii="Times New Roman" w:hAnsi="Times New Roman" w:eastAsia="方正仿宋_GBK" w:cs="Times New Roman"/>
          <w:color w:val="auto"/>
          <w:spacing w:val="0"/>
          <w:kern w:val="0"/>
          <w:sz w:val="32"/>
          <w:szCs w:val="32"/>
          <w:highlight w:val="none"/>
          <w:lang w:val="en-US" w:eastAsia="zh-CN"/>
        </w:rPr>
        <w:t>00</w:t>
      </w:r>
      <w:r>
        <w:rPr>
          <w:rFonts w:hint="eastAsia" w:ascii="Times New Roman" w:hAnsi="Times New Roman" w:eastAsia="方正仿宋_GBK" w:cs="Times New Roman"/>
          <w:color w:val="auto"/>
          <w:spacing w:val="0"/>
          <w:kern w:val="0"/>
          <w:sz w:val="32"/>
          <w:szCs w:val="32"/>
          <w:highlight w:val="none"/>
          <w:lang w:val="en-US" w:eastAsia="zh-CN"/>
        </w:rPr>
        <w:t>万元，债务付息支出</w:t>
      </w:r>
      <w:r>
        <w:rPr>
          <w:rFonts w:hint="default" w:ascii="Times New Roman" w:hAnsi="Times New Roman" w:eastAsia="方正仿宋_GBK" w:cs="Times New Roman"/>
          <w:color w:val="auto"/>
          <w:spacing w:val="0"/>
          <w:kern w:val="0"/>
          <w:sz w:val="32"/>
          <w:szCs w:val="32"/>
          <w:highlight w:val="none"/>
          <w:lang w:val="en-US" w:eastAsia="zh-CN"/>
        </w:rPr>
        <w:t>5488</w:t>
      </w:r>
      <w:r>
        <w:rPr>
          <w:rFonts w:hint="eastAsia" w:ascii="Times New Roman" w:hAnsi="Times New Roman" w:eastAsia="方正仿宋_GBK" w:cs="Times New Roman"/>
          <w:color w:val="auto"/>
          <w:spacing w:val="0"/>
          <w:kern w:val="0"/>
          <w:sz w:val="32"/>
          <w:szCs w:val="32"/>
          <w:highlight w:val="none"/>
          <w:lang w:val="en-US" w:eastAsia="zh-CN"/>
        </w:rPr>
        <w:t>万元，债务发行费用支出</w:t>
      </w:r>
      <w:r>
        <w:rPr>
          <w:rFonts w:hint="default" w:ascii="Times New Roman" w:hAnsi="Times New Roman" w:eastAsia="方正仿宋_GBK" w:cs="Times New Roman"/>
          <w:color w:val="auto"/>
          <w:spacing w:val="0"/>
          <w:kern w:val="0"/>
          <w:sz w:val="32"/>
          <w:szCs w:val="32"/>
          <w:highlight w:val="none"/>
          <w:lang w:val="en-US" w:eastAsia="zh-CN"/>
        </w:rPr>
        <w:t>25</w:t>
      </w:r>
      <w:r>
        <w:rPr>
          <w:rFonts w:hint="eastAsia" w:ascii="Times New Roman" w:hAnsi="Times New Roman" w:eastAsia="方正仿宋_GBK" w:cs="Times New Roman"/>
          <w:color w:val="auto"/>
          <w:spacing w:val="0"/>
          <w:kern w:val="0"/>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b/>
          <w:bCs/>
          <w:color w:val="auto"/>
          <w:spacing w:val="0"/>
          <w:kern w:val="0"/>
          <w:sz w:val="32"/>
          <w:szCs w:val="32"/>
          <w:highlight w:val="none"/>
          <w:u w:val="none"/>
        </w:rPr>
        <w:t>（3</w:t>
      </w:r>
      <w:r>
        <w:rPr>
          <w:rFonts w:ascii="Times New Roman" w:hAnsi="Times New Roman" w:eastAsia="方正仿宋_GBK" w:cs="Times New Roman"/>
          <w:b/>
          <w:bCs/>
          <w:color w:val="auto"/>
          <w:spacing w:val="0"/>
          <w:kern w:val="0"/>
          <w:sz w:val="32"/>
          <w:szCs w:val="32"/>
          <w:highlight w:val="none"/>
          <w:u w:val="none"/>
        </w:rPr>
        <w:t>）平衡情况。</w:t>
      </w:r>
      <w:r>
        <w:rPr>
          <w:rFonts w:hint="eastAsia" w:ascii="Times New Roman" w:hAnsi="Times New Roman" w:eastAsia="方正仿宋_GBK" w:cs="Times New Roman"/>
          <w:color w:val="auto"/>
          <w:spacing w:val="0"/>
          <w:kern w:val="0"/>
          <w:sz w:val="32"/>
          <w:szCs w:val="32"/>
          <w:highlight w:val="none"/>
          <w:lang w:val="en-US" w:eastAsia="zh-CN"/>
        </w:rPr>
        <w:t>2025年，一般公共预算收入安排</w:t>
      </w:r>
      <w:r>
        <w:rPr>
          <w:rFonts w:hint="default" w:ascii="Times New Roman" w:hAnsi="Times New Roman" w:eastAsia="方正仿宋_GBK" w:cs="Times New Roman"/>
          <w:color w:val="auto"/>
          <w:spacing w:val="0"/>
          <w:kern w:val="0"/>
          <w:sz w:val="32"/>
          <w:szCs w:val="32"/>
          <w:highlight w:val="none"/>
          <w:lang w:val="en-US" w:eastAsia="zh-CN"/>
        </w:rPr>
        <w:t>14.9</w:t>
      </w:r>
      <w:r>
        <w:rPr>
          <w:rFonts w:hint="eastAsia" w:ascii="Times New Roman" w:hAnsi="Times New Roman" w:eastAsia="方正仿宋_GBK" w:cs="Times New Roman"/>
          <w:color w:val="auto"/>
          <w:spacing w:val="0"/>
          <w:kern w:val="0"/>
          <w:sz w:val="32"/>
          <w:szCs w:val="32"/>
          <w:highlight w:val="none"/>
          <w:lang w:val="en-US" w:eastAsia="zh-CN"/>
        </w:rPr>
        <w:t>亿元，上级补助收入</w:t>
      </w:r>
      <w:r>
        <w:rPr>
          <w:rFonts w:hint="default" w:ascii="Times New Roman" w:hAnsi="Times New Roman" w:eastAsia="方正仿宋_GBK" w:cs="Times New Roman"/>
          <w:color w:val="auto"/>
          <w:spacing w:val="0"/>
          <w:kern w:val="0"/>
          <w:sz w:val="32"/>
          <w:szCs w:val="32"/>
          <w:highlight w:val="none"/>
          <w:lang w:val="en-US" w:eastAsia="zh-CN"/>
        </w:rPr>
        <w:t>20.6</w:t>
      </w:r>
      <w:r>
        <w:rPr>
          <w:rFonts w:hint="eastAsia" w:ascii="Times New Roman" w:hAnsi="Times New Roman" w:eastAsia="方正仿宋_GBK" w:cs="Times New Roman"/>
          <w:color w:val="auto"/>
          <w:spacing w:val="0"/>
          <w:kern w:val="0"/>
          <w:sz w:val="32"/>
          <w:szCs w:val="32"/>
          <w:highlight w:val="none"/>
          <w:lang w:val="en-US" w:eastAsia="zh-CN"/>
        </w:rPr>
        <w:t>亿元，债务转贷收入</w:t>
      </w:r>
      <w:r>
        <w:rPr>
          <w:rFonts w:hint="default" w:ascii="Times New Roman" w:hAnsi="Times New Roman" w:eastAsia="方正仿宋_GBK" w:cs="Times New Roman"/>
          <w:color w:val="auto"/>
          <w:spacing w:val="0"/>
          <w:kern w:val="0"/>
          <w:sz w:val="32"/>
          <w:szCs w:val="32"/>
          <w:highlight w:val="none"/>
          <w:lang w:val="en-US" w:eastAsia="zh-CN"/>
        </w:rPr>
        <w:t>0.8</w:t>
      </w:r>
      <w:r>
        <w:rPr>
          <w:rFonts w:hint="eastAsia" w:ascii="Times New Roman" w:hAnsi="Times New Roman" w:eastAsia="方正仿宋_GBK" w:cs="Times New Roman"/>
          <w:color w:val="auto"/>
          <w:spacing w:val="0"/>
          <w:kern w:val="0"/>
          <w:sz w:val="32"/>
          <w:szCs w:val="32"/>
          <w:highlight w:val="none"/>
          <w:lang w:val="en-US" w:eastAsia="zh-CN"/>
        </w:rPr>
        <w:t>亿元，调入预算稳定调节基金</w:t>
      </w:r>
      <w:r>
        <w:rPr>
          <w:rFonts w:hint="default" w:ascii="Times New Roman" w:hAnsi="Times New Roman" w:eastAsia="方正仿宋_GBK" w:cs="Times New Roman"/>
          <w:color w:val="auto"/>
          <w:spacing w:val="0"/>
          <w:kern w:val="0"/>
          <w:sz w:val="32"/>
          <w:szCs w:val="32"/>
          <w:highlight w:val="none"/>
          <w:lang w:val="en-US" w:eastAsia="zh-CN"/>
        </w:rPr>
        <w:t>0.8</w:t>
      </w:r>
      <w:r>
        <w:rPr>
          <w:rFonts w:hint="eastAsia" w:ascii="Times New Roman" w:hAnsi="Times New Roman" w:eastAsia="方正仿宋_GBK" w:cs="Times New Roman"/>
          <w:color w:val="auto"/>
          <w:spacing w:val="0"/>
          <w:kern w:val="0"/>
          <w:sz w:val="32"/>
          <w:szCs w:val="32"/>
          <w:highlight w:val="none"/>
          <w:lang w:val="en-US" w:eastAsia="zh-CN"/>
        </w:rPr>
        <w:t>亿元，调入资金</w:t>
      </w:r>
      <w:r>
        <w:rPr>
          <w:rFonts w:hint="default" w:ascii="Times New Roman" w:hAnsi="Times New Roman" w:eastAsia="方正仿宋_GBK" w:cs="Times New Roman"/>
          <w:color w:val="auto"/>
          <w:spacing w:val="0"/>
          <w:kern w:val="0"/>
          <w:sz w:val="32"/>
          <w:szCs w:val="32"/>
          <w:highlight w:val="none"/>
          <w:lang w:val="en-US" w:eastAsia="zh-CN"/>
        </w:rPr>
        <w:t>7.5</w:t>
      </w:r>
      <w:r>
        <w:rPr>
          <w:rFonts w:hint="eastAsia" w:ascii="Times New Roman" w:hAnsi="Times New Roman" w:eastAsia="方正仿宋_GBK" w:cs="Times New Roman"/>
          <w:color w:val="auto"/>
          <w:spacing w:val="0"/>
          <w:kern w:val="0"/>
          <w:sz w:val="32"/>
          <w:szCs w:val="32"/>
          <w:highlight w:val="none"/>
          <w:lang w:val="en-US" w:eastAsia="zh-CN"/>
        </w:rPr>
        <w:t>亿元，收入总计为</w:t>
      </w:r>
      <w:r>
        <w:rPr>
          <w:rFonts w:hint="default" w:ascii="Times New Roman" w:hAnsi="Times New Roman" w:eastAsia="方正仿宋_GBK" w:cs="Times New Roman"/>
          <w:color w:val="auto"/>
          <w:spacing w:val="0"/>
          <w:kern w:val="0"/>
          <w:sz w:val="32"/>
          <w:szCs w:val="32"/>
          <w:highlight w:val="none"/>
          <w:lang w:val="en-US" w:eastAsia="zh-CN"/>
        </w:rPr>
        <w:t>44.6</w:t>
      </w:r>
      <w:r>
        <w:rPr>
          <w:rFonts w:hint="eastAsia" w:ascii="Times New Roman" w:hAnsi="Times New Roman" w:eastAsia="方正仿宋_GBK" w:cs="Times New Roman"/>
          <w:color w:val="auto"/>
          <w:spacing w:val="0"/>
          <w:kern w:val="0"/>
          <w:sz w:val="32"/>
          <w:szCs w:val="32"/>
          <w:highlight w:val="none"/>
          <w:lang w:val="en-US" w:eastAsia="zh-CN"/>
        </w:rPr>
        <w:t>亿元；一般公共预算支出安排</w:t>
      </w:r>
      <w:r>
        <w:rPr>
          <w:rFonts w:hint="default" w:ascii="Times New Roman" w:hAnsi="Times New Roman" w:eastAsia="方正仿宋_GBK" w:cs="Times New Roman"/>
          <w:color w:val="auto"/>
          <w:spacing w:val="0"/>
          <w:kern w:val="0"/>
          <w:sz w:val="32"/>
          <w:szCs w:val="32"/>
          <w:highlight w:val="none"/>
          <w:lang w:val="en-US" w:eastAsia="zh-CN"/>
        </w:rPr>
        <w:t>43.4</w:t>
      </w:r>
      <w:r>
        <w:rPr>
          <w:rFonts w:hint="eastAsia" w:ascii="Times New Roman" w:hAnsi="Times New Roman" w:eastAsia="方正仿宋_GBK" w:cs="Times New Roman"/>
          <w:color w:val="auto"/>
          <w:spacing w:val="0"/>
          <w:kern w:val="0"/>
          <w:sz w:val="32"/>
          <w:szCs w:val="32"/>
          <w:highlight w:val="none"/>
          <w:lang w:val="en-US" w:eastAsia="zh-CN"/>
        </w:rPr>
        <w:t>亿元，上解上级支出</w:t>
      </w:r>
      <w:r>
        <w:rPr>
          <w:rFonts w:hint="default" w:ascii="Times New Roman" w:hAnsi="Times New Roman" w:eastAsia="方正仿宋_GBK" w:cs="Times New Roman"/>
          <w:color w:val="auto"/>
          <w:spacing w:val="0"/>
          <w:kern w:val="0"/>
          <w:sz w:val="32"/>
          <w:szCs w:val="32"/>
          <w:highlight w:val="none"/>
          <w:lang w:val="en-US" w:eastAsia="zh-CN"/>
        </w:rPr>
        <w:t>0.3</w:t>
      </w:r>
      <w:r>
        <w:rPr>
          <w:rFonts w:hint="eastAsia" w:ascii="Times New Roman" w:hAnsi="Times New Roman" w:eastAsia="方正仿宋_GBK" w:cs="Times New Roman"/>
          <w:color w:val="auto"/>
          <w:spacing w:val="0"/>
          <w:kern w:val="0"/>
          <w:sz w:val="32"/>
          <w:szCs w:val="32"/>
          <w:highlight w:val="none"/>
          <w:lang w:val="en-US" w:eastAsia="zh-CN"/>
        </w:rPr>
        <w:t>亿元，债务还本支出</w:t>
      </w:r>
      <w:r>
        <w:rPr>
          <w:rFonts w:hint="default" w:ascii="Times New Roman" w:hAnsi="Times New Roman" w:eastAsia="方正仿宋_GBK" w:cs="Times New Roman"/>
          <w:color w:val="auto"/>
          <w:spacing w:val="0"/>
          <w:kern w:val="0"/>
          <w:sz w:val="32"/>
          <w:szCs w:val="32"/>
          <w:highlight w:val="none"/>
          <w:lang w:val="en-US" w:eastAsia="zh-CN"/>
        </w:rPr>
        <w:t>0.9</w:t>
      </w:r>
      <w:r>
        <w:rPr>
          <w:rFonts w:hint="eastAsia" w:ascii="Times New Roman" w:hAnsi="Times New Roman" w:eastAsia="方正仿宋_GBK" w:cs="Times New Roman"/>
          <w:color w:val="auto"/>
          <w:spacing w:val="0"/>
          <w:kern w:val="0"/>
          <w:sz w:val="32"/>
          <w:szCs w:val="32"/>
          <w:highlight w:val="none"/>
          <w:lang w:val="en-US" w:eastAsia="zh-CN"/>
        </w:rPr>
        <w:t>亿元，支出总计为</w:t>
      </w:r>
      <w:r>
        <w:rPr>
          <w:rFonts w:hint="default" w:ascii="Times New Roman" w:hAnsi="Times New Roman" w:eastAsia="方正仿宋_GBK" w:cs="Times New Roman"/>
          <w:color w:val="auto"/>
          <w:spacing w:val="0"/>
          <w:kern w:val="0"/>
          <w:sz w:val="32"/>
          <w:szCs w:val="32"/>
          <w:highlight w:val="none"/>
          <w:lang w:val="en-US" w:eastAsia="zh-CN"/>
        </w:rPr>
        <w:t>44.6</w:t>
      </w:r>
      <w:r>
        <w:rPr>
          <w:rFonts w:hint="eastAsia" w:ascii="Times New Roman" w:hAnsi="Times New Roman" w:eastAsia="方正仿宋_GBK" w:cs="Times New Roman"/>
          <w:color w:val="auto"/>
          <w:spacing w:val="0"/>
          <w:kern w:val="0"/>
          <w:sz w:val="32"/>
          <w:szCs w:val="32"/>
          <w:highlight w:val="none"/>
          <w:lang w:val="en-US" w:eastAsia="zh-CN"/>
        </w:rPr>
        <w:t>亿元。收支相抵后收支平衡。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cs="Times New Roman"/>
          <w:b/>
          <w:color w:val="auto"/>
          <w:spacing w:val="0"/>
          <w:kern w:val="0"/>
          <w:sz w:val="32"/>
          <w:szCs w:val="32"/>
          <w:highlight w:val="none"/>
          <w:u w:val="none"/>
        </w:rPr>
      </w:pPr>
      <w:r>
        <w:rPr>
          <w:rFonts w:ascii="Times New Roman" w:hAnsi="Times New Roman" w:eastAsia="方正仿宋_GBK" w:cs="Times New Roman"/>
          <w:b/>
          <w:color w:val="auto"/>
          <w:spacing w:val="0"/>
          <w:kern w:val="0"/>
          <w:sz w:val="32"/>
          <w:szCs w:val="32"/>
          <w:highlight w:val="none"/>
          <w:u w:val="none"/>
        </w:rPr>
        <w:t>2.政府性基金预算安排情况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2025年，政府性基金收入安排本级收入</w:t>
      </w:r>
      <w:r>
        <w:rPr>
          <w:rFonts w:hint="default" w:ascii="Times New Roman" w:hAnsi="Times New Roman" w:eastAsia="方正仿宋_GBK" w:cs="Times New Roman"/>
          <w:color w:val="auto"/>
          <w:spacing w:val="0"/>
          <w:kern w:val="0"/>
          <w:sz w:val="32"/>
          <w:szCs w:val="32"/>
          <w:highlight w:val="none"/>
          <w:lang w:val="en-US" w:eastAsia="zh-CN"/>
        </w:rPr>
        <w:t>18.2</w:t>
      </w:r>
      <w:r>
        <w:rPr>
          <w:rFonts w:hint="eastAsia" w:ascii="Times New Roman" w:hAnsi="Times New Roman" w:eastAsia="方正仿宋_GBK" w:cs="Times New Roman"/>
          <w:color w:val="auto"/>
          <w:spacing w:val="0"/>
          <w:kern w:val="0"/>
          <w:sz w:val="32"/>
          <w:szCs w:val="32"/>
          <w:highlight w:val="none"/>
          <w:lang w:val="en-US" w:eastAsia="zh-CN"/>
        </w:rPr>
        <w:t>亿元，上级补助收入</w:t>
      </w:r>
      <w:r>
        <w:rPr>
          <w:rFonts w:hint="default" w:ascii="Times New Roman" w:hAnsi="Times New Roman" w:eastAsia="方正仿宋_GBK" w:cs="Times New Roman"/>
          <w:color w:val="auto"/>
          <w:spacing w:val="0"/>
          <w:kern w:val="0"/>
          <w:sz w:val="32"/>
          <w:szCs w:val="32"/>
          <w:highlight w:val="none"/>
          <w:lang w:val="en-US" w:eastAsia="zh-CN"/>
        </w:rPr>
        <w:t>1413</w:t>
      </w:r>
      <w:r>
        <w:rPr>
          <w:rFonts w:hint="eastAsia" w:ascii="Times New Roman" w:hAnsi="Times New Roman" w:eastAsia="方正仿宋_GBK" w:cs="Times New Roman"/>
          <w:color w:val="auto"/>
          <w:spacing w:val="0"/>
          <w:kern w:val="0"/>
          <w:sz w:val="32"/>
          <w:szCs w:val="32"/>
          <w:highlight w:val="none"/>
          <w:lang w:val="en-US" w:eastAsia="zh-CN"/>
        </w:rPr>
        <w:t>万元，专项债券转贷收入</w:t>
      </w:r>
      <w:r>
        <w:rPr>
          <w:rFonts w:hint="default" w:ascii="Times New Roman" w:hAnsi="Times New Roman" w:eastAsia="方正仿宋_GBK" w:cs="Times New Roman"/>
          <w:color w:val="auto"/>
          <w:spacing w:val="0"/>
          <w:kern w:val="0"/>
          <w:sz w:val="32"/>
          <w:szCs w:val="32"/>
          <w:highlight w:val="none"/>
          <w:lang w:val="en-US" w:eastAsia="zh-CN"/>
        </w:rPr>
        <w:t>0.8</w:t>
      </w:r>
      <w:r>
        <w:rPr>
          <w:rFonts w:hint="eastAsia" w:ascii="Times New Roman" w:hAnsi="Times New Roman" w:eastAsia="方正仿宋_GBK" w:cs="Times New Roman"/>
          <w:color w:val="auto"/>
          <w:spacing w:val="0"/>
          <w:kern w:val="0"/>
          <w:sz w:val="32"/>
          <w:szCs w:val="32"/>
          <w:highlight w:val="none"/>
          <w:lang w:val="en-US" w:eastAsia="zh-CN"/>
        </w:rPr>
        <w:t>亿元，收入总计为</w:t>
      </w:r>
      <w:r>
        <w:rPr>
          <w:rFonts w:hint="default" w:ascii="Times New Roman" w:hAnsi="Times New Roman" w:eastAsia="方正仿宋_GBK" w:cs="Times New Roman"/>
          <w:color w:val="auto"/>
          <w:spacing w:val="0"/>
          <w:kern w:val="0"/>
          <w:sz w:val="32"/>
          <w:szCs w:val="32"/>
          <w:highlight w:val="none"/>
          <w:lang w:val="en-US" w:eastAsia="zh-CN"/>
        </w:rPr>
        <w:t>19.1</w:t>
      </w:r>
      <w:r>
        <w:rPr>
          <w:rFonts w:hint="eastAsia" w:ascii="Times New Roman" w:hAnsi="Times New Roman" w:eastAsia="方正仿宋_GBK" w:cs="Times New Roman"/>
          <w:color w:val="auto"/>
          <w:spacing w:val="0"/>
          <w:kern w:val="0"/>
          <w:sz w:val="32"/>
          <w:szCs w:val="32"/>
          <w:highlight w:val="none"/>
          <w:lang w:val="en-US" w:eastAsia="zh-CN"/>
        </w:rPr>
        <w:t>亿元。政府性基金支出安排</w:t>
      </w:r>
      <w:r>
        <w:rPr>
          <w:rFonts w:hint="default" w:ascii="Times New Roman" w:hAnsi="Times New Roman" w:eastAsia="方正仿宋_GBK" w:cs="Times New Roman"/>
          <w:color w:val="auto"/>
          <w:spacing w:val="0"/>
          <w:kern w:val="0"/>
          <w:sz w:val="32"/>
          <w:szCs w:val="32"/>
          <w:highlight w:val="none"/>
          <w:lang w:val="en-US" w:eastAsia="zh-CN"/>
        </w:rPr>
        <w:t>12.7</w:t>
      </w:r>
      <w:r>
        <w:rPr>
          <w:rFonts w:hint="eastAsia" w:ascii="Times New Roman" w:hAnsi="Times New Roman" w:eastAsia="方正仿宋_GBK" w:cs="Times New Roman"/>
          <w:color w:val="auto"/>
          <w:spacing w:val="0"/>
          <w:kern w:val="0"/>
          <w:sz w:val="32"/>
          <w:szCs w:val="32"/>
          <w:highlight w:val="none"/>
          <w:lang w:val="en-US" w:eastAsia="zh-CN"/>
        </w:rPr>
        <w:t>亿元，其中</w:t>
      </w:r>
      <w:r>
        <w:rPr>
          <w:rFonts w:hint="eastAsia" w:eastAsia="方正仿宋_GBK" w:cs="Times New Roman"/>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文化旅游体育与传媒支出</w:t>
      </w:r>
      <w:r>
        <w:rPr>
          <w:rFonts w:hint="default" w:ascii="Times New Roman" w:hAnsi="Times New Roman" w:eastAsia="方正仿宋_GBK" w:cs="Times New Roman"/>
          <w:color w:val="auto"/>
          <w:spacing w:val="0"/>
          <w:kern w:val="0"/>
          <w:sz w:val="32"/>
          <w:szCs w:val="32"/>
          <w:highlight w:val="none"/>
          <w:lang w:val="en-US" w:eastAsia="zh-CN"/>
        </w:rPr>
        <w:t>30</w:t>
      </w:r>
      <w:r>
        <w:rPr>
          <w:rFonts w:hint="eastAsia" w:ascii="Times New Roman" w:hAnsi="Times New Roman" w:eastAsia="方正仿宋_GBK" w:cs="Times New Roman"/>
          <w:color w:val="auto"/>
          <w:spacing w:val="0"/>
          <w:kern w:val="0"/>
          <w:sz w:val="32"/>
          <w:szCs w:val="32"/>
          <w:highlight w:val="none"/>
          <w:lang w:val="en-US" w:eastAsia="zh-CN"/>
        </w:rPr>
        <w:t>万元，城乡社区支出</w:t>
      </w:r>
      <w:r>
        <w:rPr>
          <w:rFonts w:hint="default" w:ascii="Times New Roman" w:hAnsi="Times New Roman" w:eastAsia="方正仿宋_GBK" w:cs="Times New Roman"/>
          <w:color w:val="auto"/>
          <w:spacing w:val="0"/>
          <w:kern w:val="0"/>
          <w:sz w:val="32"/>
          <w:szCs w:val="32"/>
          <w:highlight w:val="none"/>
          <w:lang w:val="en-US" w:eastAsia="zh-CN"/>
        </w:rPr>
        <w:t>9.5</w:t>
      </w:r>
      <w:r>
        <w:rPr>
          <w:rFonts w:hint="eastAsia" w:ascii="Times New Roman" w:hAnsi="Times New Roman" w:eastAsia="方正仿宋_GBK" w:cs="Times New Roman"/>
          <w:color w:val="auto"/>
          <w:spacing w:val="0"/>
          <w:kern w:val="0"/>
          <w:sz w:val="32"/>
          <w:szCs w:val="32"/>
          <w:highlight w:val="none"/>
          <w:lang w:val="en-US" w:eastAsia="zh-CN"/>
        </w:rPr>
        <w:t>亿元，农林水支出</w:t>
      </w:r>
      <w:r>
        <w:rPr>
          <w:rFonts w:hint="default" w:ascii="Times New Roman" w:hAnsi="Times New Roman" w:eastAsia="方正仿宋_GBK" w:cs="Times New Roman"/>
          <w:color w:val="auto"/>
          <w:spacing w:val="0"/>
          <w:kern w:val="0"/>
          <w:sz w:val="32"/>
          <w:szCs w:val="32"/>
          <w:highlight w:val="none"/>
          <w:lang w:val="en-US" w:eastAsia="zh-CN"/>
        </w:rPr>
        <w:t>1293</w:t>
      </w:r>
      <w:r>
        <w:rPr>
          <w:rFonts w:hint="eastAsia" w:ascii="Times New Roman" w:hAnsi="Times New Roman" w:eastAsia="方正仿宋_GBK" w:cs="Times New Roman"/>
          <w:color w:val="auto"/>
          <w:spacing w:val="0"/>
          <w:kern w:val="0"/>
          <w:sz w:val="32"/>
          <w:szCs w:val="32"/>
          <w:highlight w:val="none"/>
          <w:lang w:val="en-US" w:eastAsia="zh-CN"/>
        </w:rPr>
        <w:t>万元，其他支出</w:t>
      </w:r>
      <w:r>
        <w:rPr>
          <w:rFonts w:hint="default" w:ascii="Times New Roman" w:hAnsi="Times New Roman" w:eastAsia="方正仿宋_GBK" w:cs="Times New Roman"/>
          <w:color w:val="auto"/>
          <w:spacing w:val="0"/>
          <w:kern w:val="0"/>
          <w:sz w:val="32"/>
          <w:szCs w:val="32"/>
          <w:highlight w:val="none"/>
          <w:lang w:val="en-US" w:eastAsia="zh-CN"/>
        </w:rPr>
        <w:t>309</w:t>
      </w:r>
      <w:r>
        <w:rPr>
          <w:rFonts w:hint="eastAsia" w:ascii="Times New Roman" w:hAnsi="Times New Roman" w:eastAsia="方正仿宋_GBK" w:cs="Times New Roman"/>
          <w:color w:val="auto"/>
          <w:spacing w:val="0"/>
          <w:kern w:val="0"/>
          <w:sz w:val="32"/>
          <w:szCs w:val="32"/>
          <w:highlight w:val="none"/>
          <w:lang w:val="en-US" w:eastAsia="zh-CN"/>
        </w:rPr>
        <w:t>万元，债务付息支出</w:t>
      </w:r>
      <w:r>
        <w:rPr>
          <w:rFonts w:hint="default" w:ascii="Times New Roman" w:hAnsi="Times New Roman" w:eastAsia="方正仿宋_GBK" w:cs="Times New Roman"/>
          <w:color w:val="auto"/>
          <w:spacing w:val="0"/>
          <w:kern w:val="0"/>
          <w:sz w:val="32"/>
          <w:szCs w:val="32"/>
          <w:highlight w:val="none"/>
          <w:lang w:val="en-US" w:eastAsia="zh-CN"/>
        </w:rPr>
        <w:t>3</w:t>
      </w:r>
      <w:r>
        <w:rPr>
          <w:rFonts w:hint="eastAsia" w:ascii="Times New Roman" w:hAnsi="Times New Roman" w:eastAsia="方正仿宋_GBK" w:cs="Times New Roman"/>
          <w:color w:val="auto"/>
          <w:spacing w:val="0"/>
          <w:kern w:val="0"/>
          <w:sz w:val="32"/>
          <w:szCs w:val="32"/>
          <w:highlight w:val="none"/>
          <w:lang w:val="en-US" w:eastAsia="zh-CN"/>
        </w:rPr>
        <w:t>亿元，债务发行费用支出</w:t>
      </w:r>
      <w:r>
        <w:rPr>
          <w:rFonts w:hint="default" w:ascii="Times New Roman" w:hAnsi="Times New Roman" w:eastAsia="方正仿宋_GBK" w:cs="Times New Roman"/>
          <w:color w:val="auto"/>
          <w:spacing w:val="0"/>
          <w:kern w:val="0"/>
          <w:sz w:val="32"/>
          <w:szCs w:val="32"/>
          <w:highlight w:val="none"/>
          <w:lang w:val="en-US" w:eastAsia="zh-CN"/>
        </w:rPr>
        <w:t>176</w:t>
      </w:r>
      <w:r>
        <w:rPr>
          <w:rFonts w:hint="eastAsia" w:ascii="Times New Roman" w:hAnsi="Times New Roman" w:eastAsia="方正仿宋_GBK" w:cs="Times New Roman"/>
          <w:color w:val="auto"/>
          <w:spacing w:val="0"/>
          <w:kern w:val="0"/>
          <w:sz w:val="32"/>
          <w:szCs w:val="32"/>
          <w:highlight w:val="none"/>
          <w:lang w:val="en-US" w:eastAsia="zh-CN"/>
        </w:rPr>
        <w:t>万元。</w:t>
      </w:r>
      <w:r>
        <w:rPr>
          <w:rFonts w:hint="eastAsia" w:eastAsia="方正仿宋_GBK" w:cs="Times New Roman"/>
          <w:color w:val="auto"/>
          <w:spacing w:val="0"/>
          <w:kern w:val="0"/>
          <w:sz w:val="32"/>
          <w:szCs w:val="32"/>
          <w:highlight w:val="none"/>
          <w:lang w:val="en-US" w:eastAsia="zh-CN"/>
        </w:rPr>
        <w:t>债务</w:t>
      </w:r>
      <w:r>
        <w:rPr>
          <w:rFonts w:hint="eastAsia" w:ascii="Times New Roman" w:hAnsi="Times New Roman" w:eastAsia="方正仿宋_GBK" w:cs="Times New Roman"/>
          <w:color w:val="auto"/>
          <w:spacing w:val="0"/>
          <w:kern w:val="0"/>
          <w:sz w:val="32"/>
          <w:szCs w:val="32"/>
          <w:highlight w:val="none"/>
          <w:lang w:val="en-US" w:eastAsia="zh-CN"/>
        </w:rPr>
        <w:t>还本支出</w:t>
      </w:r>
      <w:r>
        <w:rPr>
          <w:rFonts w:hint="default" w:ascii="Times New Roman" w:hAnsi="Times New Roman" w:eastAsia="方正仿宋_GBK" w:cs="Times New Roman"/>
          <w:color w:val="auto"/>
          <w:spacing w:val="0"/>
          <w:kern w:val="0"/>
          <w:sz w:val="32"/>
          <w:szCs w:val="32"/>
          <w:highlight w:val="none"/>
          <w:lang w:val="en-US" w:eastAsia="zh-CN"/>
        </w:rPr>
        <w:t>8850</w:t>
      </w:r>
      <w:r>
        <w:rPr>
          <w:rFonts w:hint="eastAsia" w:ascii="Times New Roman" w:hAnsi="Times New Roman" w:eastAsia="方正仿宋_GBK" w:cs="Times New Roman"/>
          <w:color w:val="auto"/>
          <w:spacing w:val="0"/>
          <w:kern w:val="0"/>
          <w:sz w:val="32"/>
          <w:szCs w:val="32"/>
          <w:highlight w:val="none"/>
          <w:lang w:val="en-US" w:eastAsia="zh-CN"/>
        </w:rPr>
        <w:t>万元，调出资金</w:t>
      </w:r>
      <w:r>
        <w:rPr>
          <w:rFonts w:hint="default" w:ascii="Times New Roman" w:hAnsi="Times New Roman" w:eastAsia="方正仿宋_GBK" w:cs="Times New Roman"/>
          <w:color w:val="auto"/>
          <w:spacing w:val="0"/>
          <w:kern w:val="0"/>
          <w:sz w:val="32"/>
          <w:szCs w:val="32"/>
          <w:highlight w:val="none"/>
          <w:lang w:val="en-US" w:eastAsia="zh-CN"/>
        </w:rPr>
        <w:t>5.5</w:t>
      </w:r>
      <w:r>
        <w:rPr>
          <w:rFonts w:hint="eastAsia" w:ascii="Times New Roman" w:hAnsi="Times New Roman" w:eastAsia="方正仿宋_GBK" w:cs="Times New Roman"/>
          <w:color w:val="auto"/>
          <w:spacing w:val="0"/>
          <w:kern w:val="0"/>
          <w:sz w:val="32"/>
          <w:szCs w:val="32"/>
          <w:highlight w:val="none"/>
          <w:lang w:val="en-US" w:eastAsia="zh-CN"/>
        </w:rPr>
        <w:t>亿元，支出总计</w:t>
      </w:r>
      <w:r>
        <w:rPr>
          <w:rFonts w:hint="default" w:ascii="Times New Roman" w:hAnsi="Times New Roman" w:eastAsia="方正仿宋_GBK" w:cs="Times New Roman"/>
          <w:color w:val="auto"/>
          <w:spacing w:val="0"/>
          <w:kern w:val="0"/>
          <w:sz w:val="32"/>
          <w:szCs w:val="32"/>
          <w:highlight w:val="none"/>
          <w:lang w:val="en-US" w:eastAsia="zh-CN"/>
        </w:rPr>
        <w:t>19.1</w:t>
      </w:r>
      <w:r>
        <w:rPr>
          <w:rFonts w:hint="eastAsia" w:ascii="Times New Roman" w:hAnsi="Times New Roman" w:eastAsia="方正仿宋_GBK" w:cs="Times New Roman"/>
          <w:color w:val="auto"/>
          <w:spacing w:val="0"/>
          <w:kern w:val="0"/>
          <w:sz w:val="32"/>
          <w:szCs w:val="32"/>
          <w:highlight w:val="none"/>
          <w:lang w:val="en-US" w:eastAsia="zh-CN"/>
        </w:rPr>
        <w:t>亿元。收支相抵后收支平衡。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cs="Times New Roman"/>
          <w:b/>
          <w:color w:val="auto"/>
          <w:spacing w:val="0"/>
          <w:kern w:val="0"/>
          <w:sz w:val="32"/>
          <w:szCs w:val="32"/>
          <w:highlight w:val="none"/>
          <w:u w:val="none"/>
        </w:rPr>
      </w:pPr>
      <w:r>
        <w:rPr>
          <w:rFonts w:ascii="Times New Roman" w:hAnsi="Times New Roman" w:eastAsia="方正仿宋_GBK" w:cs="Times New Roman"/>
          <w:b/>
          <w:color w:val="auto"/>
          <w:spacing w:val="0"/>
          <w:kern w:val="0"/>
          <w:sz w:val="32"/>
          <w:szCs w:val="32"/>
          <w:highlight w:val="none"/>
          <w:u w:val="none"/>
        </w:rPr>
        <w:t>3.社会保险基金预算安排情况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主要包括两项：机关事业单位基本养老保险基金、城乡居民基本养老保险基金。社保基金收入安排</w:t>
      </w:r>
      <w:r>
        <w:rPr>
          <w:rFonts w:hint="default" w:ascii="Times New Roman" w:hAnsi="Times New Roman" w:eastAsia="方正仿宋_GBK" w:cs="Times New Roman"/>
          <w:color w:val="auto"/>
          <w:spacing w:val="0"/>
          <w:kern w:val="0"/>
          <w:sz w:val="32"/>
          <w:szCs w:val="32"/>
          <w:highlight w:val="none"/>
          <w:lang w:val="en-US" w:eastAsia="zh-CN"/>
        </w:rPr>
        <w:t>8.9</w:t>
      </w:r>
      <w:r>
        <w:rPr>
          <w:rFonts w:hint="eastAsia" w:ascii="Times New Roman" w:hAnsi="Times New Roman" w:eastAsia="方正仿宋_GBK" w:cs="Times New Roman"/>
          <w:color w:val="auto"/>
          <w:spacing w:val="0"/>
          <w:kern w:val="0"/>
          <w:sz w:val="32"/>
          <w:szCs w:val="32"/>
          <w:highlight w:val="none"/>
          <w:lang w:val="en-US" w:eastAsia="zh-CN"/>
        </w:rPr>
        <w:t>亿元，支出安排</w:t>
      </w:r>
      <w:r>
        <w:rPr>
          <w:rFonts w:hint="default" w:ascii="Times New Roman" w:hAnsi="Times New Roman" w:eastAsia="方正仿宋_GBK" w:cs="Times New Roman"/>
          <w:color w:val="auto"/>
          <w:spacing w:val="0"/>
          <w:kern w:val="0"/>
          <w:sz w:val="32"/>
          <w:szCs w:val="32"/>
          <w:highlight w:val="none"/>
          <w:lang w:val="en-US" w:eastAsia="zh-CN"/>
        </w:rPr>
        <w:t>7</w:t>
      </w:r>
      <w:r>
        <w:rPr>
          <w:rFonts w:hint="eastAsia" w:ascii="Times New Roman" w:hAnsi="Times New Roman" w:eastAsia="方正仿宋_GBK" w:cs="Times New Roman"/>
          <w:color w:val="auto"/>
          <w:spacing w:val="0"/>
          <w:kern w:val="0"/>
          <w:sz w:val="32"/>
          <w:szCs w:val="32"/>
          <w:highlight w:val="none"/>
          <w:lang w:val="en-US" w:eastAsia="zh-CN"/>
        </w:rPr>
        <w:t>亿元，当年收支结余</w:t>
      </w:r>
      <w:r>
        <w:rPr>
          <w:rFonts w:hint="default" w:ascii="Times New Roman" w:hAnsi="Times New Roman" w:eastAsia="方正仿宋_GBK" w:cs="Times New Roman"/>
          <w:color w:val="auto"/>
          <w:spacing w:val="0"/>
          <w:kern w:val="0"/>
          <w:sz w:val="32"/>
          <w:szCs w:val="32"/>
          <w:highlight w:val="none"/>
          <w:lang w:val="en-US" w:eastAsia="zh-CN"/>
        </w:rPr>
        <w:t>1.9</w:t>
      </w:r>
      <w:r>
        <w:rPr>
          <w:rFonts w:hint="eastAsia" w:ascii="Times New Roman" w:hAnsi="Times New Roman" w:eastAsia="方正仿宋_GBK" w:cs="Times New Roman"/>
          <w:color w:val="auto"/>
          <w:spacing w:val="0"/>
          <w:kern w:val="0"/>
          <w:sz w:val="32"/>
          <w:szCs w:val="32"/>
          <w:highlight w:val="none"/>
          <w:lang w:val="en-US" w:eastAsia="zh-CN"/>
        </w:rPr>
        <w:t>亿元。</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3" w:firstLineChars="200"/>
        <w:jc w:val="both"/>
        <w:textAlignment w:val="auto"/>
        <w:rPr>
          <w:rFonts w:ascii="Times New Roman" w:hAnsi="Times New Roman" w:eastAsia="方正仿宋_GBK" w:cs="Times New Roman"/>
          <w:b/>
          <w:color w:val="auto"/>
          <w:spacing w:val="0"/>
          <w:kern w:val="0"/>
          <w:sz w:val="32"/>
          <w:szCs w:val="32"/>
          <w:highlight w:val="none"/>
          <w:u w:val="none"/>
        </w:rPr>
      </w:pPr>
      <w:r>
        <w:rPr>
          <w:rFonts w:ascii="Times New Roman" w:hAnsi="Times New Roman" w:eastAsia="方正仿宋_GBK" w:cs="Times New Roman"/>
          <w:b/>
          <w:color w:val="auto"/>
          <w:spacing w:val="0"/>
          <w:kern w:val="0"/>
          <w:sz w:val="32"/>
          <w:szCs w:val="32"/>
          <w:highlight w:val="none"/>
          <w:u w:val="none"/>
        </w:rPr>
        <w:t>4.</w:t>
      </w:r>
      <w:r>
        <w:rPr>
          <w:rFonts w:hint="eastAsia" w:ascii="Times New Roman" w:hAnsi="Times New Roman" w:eastAsia="方正仿宋_GBK" w:cs="Times New Roman"/>
          <w:b/>
          <w:color w:val="auto"/>
          <w:spacing w:val="0"/>
          <w:kern w:val="0"/>
          <w:sz w:val="32"/>
          <w:szCs w:val="32"/>
          <w:highlight w:val="none"/>
          <w:u w:val="none"/>
        </w:rPr>
        <w:t>国有</w:t>
      </w:r>
      <w:r>
        <w:rPr>
          <w:rFonts w:ascii="Times New Roman" w:hAnsi="Times New Roman" w:eastAsia="方正仿宋_GBK" w:cs="Times New Roman"/>
          <w:b/>
          <w:color w:val="auto"/>
          <w:spacing w:val="0"/>
          <w:kern w:val="0"/>
          <w:sz w:val="32"/>
          <w:szCs w:val="32"/>
          <w:highlight w:val="none"/>
          <w:u w:val="none"/>
        </w:rPr>
        <w:t>资本经营预算安排情况</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我区无应上缴的国有资本经营收益，未编制相应收支预算。</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黑体"/>
          <w:color w:val="auto"/>
          <w:spacing w:val="0"/>
          <w:kern w:val="0"/>
          <w:sz w:val="32"/>
          <w:szCs w:val="32"/>
          <w:highlight w:val="none"/>
          <w:lang w:val="en-US" w:eastAsia="zh-CN"/>
        </w:rPr>
      </w:pPr>
      <w:r>
        <w:rPr>
          <w:rFonts w:hint="eastAsia" w:ascii="Times New Roman" w:hAnsi="Times New Roman" w:eastAsia="黑体"/>
          <w:color w:val="auto"/>
          <w:spacing w:val="0"/>
          <w:kern w:val="0"/>
          <w:sz w:val="32"/>
          <w:szCs w:val="32"/>
          <w:highlight w:val="none"/>
        </w:rPr>
        <w:t>三、20</w:t>
      </w:r>
      <w:r>
        <w:rPr>
          <w:rFonts w:ascii="Times New Roman" w:hAnsi="Times New Roman" w:eastAsia="黑体"/>
          <w:color w:val="auto"/>
          <w:spacing w:val="0"/>
          <w:kern w:val="0"/>
          <w:sz w:val="32"/>
          <w:szCs w:val="32"/>
          <w:highlight w:val="none"/>
        </w:rPr>
        <w:t>2</w:t>
      </w:r>
      <w:r>
        <w:rPr>
          <w:rFonts w:hint="eastAsia" w:ascii="Times New Roman" w:hAnsi="Times New Roman" w:eastAsia="黑体"/>
          <w:color w:val="auto"/>
          <w:spacing w:val="0"/>
          <w:kern w:val="0"/>
          <w:sz w:val="32"/>
          <w:szCs w:val="32"/>
          <w:highlight w:val="none"/>
          <w:lang w:val="en-US" w:eastAsia="zh-CN"/>
        </w:rPr>
        <w:t>5</w:t>
      </w:r>
      <w:r>
        <w:rPr>
          <w:rFonts w:hint="eastAsia" w:ascii="Times New Roman" w:hAnsi="Times New Roman" w:eastAsia="黑体"/>
          <w:color w:val="auto"/>
          <w:spacing w:val="0"/>
          <w:kern w:val="0"/>
          <w:sz w:val="32"/>
          <w:szCs w:val="32"/>
          <w:highlight w:val="none"/>
        </w:rPr>
        <w:t>年</w:t>
      </w:r>
      <w:r>
        <w:rPr>
          <w:rFonts w:hint="eastAsia" w:ascii="Times New Roman" w:hAnsi="Times New Roman" w:eastAsia="黑体"/>
          <w:color w:val="auto"/>
          <w:spacing w:val="0"/>
          <w:kern w:val="0"/>
          <w:sz w:val="32"/>
          <w:szCs w:val="32"/>
          <w:highlight w:val="none"/>
          <w:lang w:val="en-US" w:eastAsia="zh-CN"/>
        </w:rPr>
        <w:t>重点工作措施</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楷体_GBK" w:cs="方正楷体_GBK"/>
          <w:b w:val="0"/>
          <w:bCs w:val="0"/>
          <w:color w:val="auto"/>
          <w:spacing w:val="0"/>
          <w:kern w:val="0"/>
          <w:sz w:val="32"/>
          <w:szCs w:val="32"/>
          <w:highlight w:val="none"/>
          <w:lang w:val="en-US" w:eastAsia="zh-CN" w:bidi="ar-SA"/>
        </w:rPr>
        <w:t>（一）落实</w:t>
      </w:r>
      <w:r>
        <w:rPr>
          <w:rFonts w:hint="eastAsia" w:eastAsia="方正楷体_GBK" w:cs="方正楷体_GBK"/>
          <w:b w:val="0"/>
          <w:bCs w:val="0"/>
          <w:color w:val="auto"/>
          <w:spacing w:val="0"/>
          <w:kern w:val="0"/>
          <w:sz w:val="32"/>
          <w:szCs w:val="32"/>
          <w:highlight w:val="none"/>
          <w:lang w:val="en-US" w:eastAsia="zh-CN" w:bidi="ar-SA"/>
        </w:rPr>
        <w:t>积极</w:t>
      </w:r>
      <w:r>
        <w:rPr>
          <w:rFonts w:hint="eastAsia" w:ascii="Times New Roman" w:hAnsi="Times New Roman" w:eastAsia="方正楷体_GBK" w:cs="方正楷体_GBK"/>
          <w:b w:val="0"/>
          <w:bCs w:val="0"/>
          <w:color w:val="auto"/>
          <w:spacing w:val="0"/>
          <w:kern w:val="0"/>
          <w:sz w:val="32"/>
          <w:szCs w:val="32"/>
          <w:highlight w:val="none"/>
          <w:lang w:val="en-US" w:eastAsia="zh-CN" w:bidi="ar-SA"/>
        </w:rPr>
        <w:t>财政政策。</w:t>
      </w:r>
      <w:r>
        <w:rPr>
          <w:rFonts w:hint="eastAsia" w:ascii="Times New Roman" w:hAnsi="Times New Roman" w:eastAsia="方正仿宋_GBK" w:cs="Times New Roman"/>
          <w:b/>
          <w:bCs/>
          <w:color w:val="auto"/>
          <w:spacing w:val="0"/>
          <w:kern w:val="0"/>
          <w:sz w:val="32"/>
          <w:szCs w:val="32"/>
          <w:highlight w:val="none"/>
          <w:lang w:val="en-US" w:eastAsia="zh-CN"/>
        </w:rPr>
        <w:t>积极争取上级资金</w:t>
      </w:r>
      <w:r>
        <w:rPr>
          <w:rFonts w:hint="eastAsia" w:ascii="Times New Roman" w:hAnsi="Times New Roman" w:eastAsia="方正仿宋_GBK" w:cs="Times New Roman"/>
          <w:color w:val="auto"/>
          <w:spacing w:val="0"/>
          <w:kern w:val="0"/>
          <w:sz w:val="32"/>
          <w:szCs w:val="32"/>
          <w:highlight w:val="none"/>
          <w:lang w:val="en-US" w:eastAsia="zh-CN"/>
        </w:rPr>
        <w:t>，保持适当财政支出强度，综合运用国债资金、政府债券、专项转移支付、财政贴息等政策工具，以政府投资和政策激励带动全社会投资。支持办好促消费活动，稳定汽车家电等大宗消费，释放消费活力。</w:t>
      </w:r>
      <w:r>
        <w:rPr>
          <w:rFonts w:hint="eastAsia" w:ascii="Times New Roman" w:hAnsi="Times New Roman" w:eastAsia="方正仿宋_GBK" w:cs="Times New Roman"/>
          <w:b/>
          <w:bCs/>
          <w:color w:val="auto"/>
          <w:spacing w:val="0"/>
          <w:kern w:val="0"/>
          <w:sz w:val="32"/>
          <w:szCs w:val="32"/>
          <w:highlight w:val="none"/>
          <w:lang w:val="en-US" w:eastAsia="zh-CN"/>
        </w:rPr>
        <w:t>不折不扣落实国家税费优惠政策</w:t>
      </w:r>
      <w:r>
        <w:rPr>
          <w:rFonts w:hint="eastAsia" w:ascii="Times New Roman" w:hAnsi="Times New Roman" w:eastAsia="方正仿宋_GBK" w:cs="Times New Roman"/>
          <w:color w:val="auto"/>
          <w:spacing w:val="0"/>
          <w:kern w:val="0"/>
          <w:sz w:val="32"/>
          <w:szCs w:val="32"/>
          <w:highlight w:val="none"/>
          <w:lang w:val="en-US" w:eastAsia="zh-CN"/>
        </w:rPr>
        <w:t>，继续释放纾困惠企红利和政策效应空间，重点支持科技创新和制造业发展，以科技创新引领新质生产力发展。健全防范乱收费、乱罚款、乱摊派长效机制，巩固涉企违规收费整治成果。</w:t>
      </w:r>
      <w:r>
        <w:rPr>
          <w:rFonts w:hint="eastAsia" w:ascii="Times New Roman" w:hAnsi="Times New Roman" w:eastAsia="方正仿宋_GBK" w:cs="Times New Roman"/>
          <w:b/>
          <w:bCs/>
          <w:color w:val="auto"/>
          <w:spacing w:val="0"/>
          <w:kern w:val="0"/>
          <w:sz w:val="32"/>
          <w:szCs w:val="32"/>
          <w:highlight w:val="none"/>
          <w:lang w:val="en-US" w:eastAsia="zh-CN"/>
        </w:rPr>
        <w:t>用好政府采购优惠政策</w:t>
      </w:r>
      <w:r>
        <w:rPr>
          <w:rFonts w:hint="eastAsia" w:ascii="Times New Roman" w:hAnsi="Times New Roman" w:eastAsia="方正仿宋_GBK" w:cs="Times New Roman"/>
          <w:color w:val="auto"/>
          <w:spacing w:val="0"/>
          <w:kern w:val="0"/>
          <w:sz w:val="32"/>
          <w:szCs w:val="32"/>
          <w:highlight w:val="none"/>
          <w:lang w:val="en-US" w:eastAsia="zh-CN"/>
        </w:rPr>
        <w:t>，助力中小微企业广泛参与政府采购活动。</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pPr>
      <w:r>
        <w:rPr>
          <w:rFonts w:hint="eastAsia" w:ascii="Times New Roman" w:hAnsi="Times New Roman" w:eastAsia="方正楷体_GBK" w:cs="方正楷体_GBK"/>
          <w:b w:val="0"/>
          <w:bCs w:val="0"/>
          <w:color w:val="auto"/>
          <w:spacing w:val="0"/>
          <w:kern w:val="0"/>
          <w:sz w:val="32"/>
          <w:szCs w:val="32"/>
          <w:highlight w:val="none"/>
          <w:lang w:val="en-US" w:eastAsia="zh-CN" w:bidi="ar-SA"/>
        </w:rPr>
        <w:t>（二）</w:t>
      </w:r>
      <w:r>
        <w:rPr>
          <w:rFonts w:hint="default" w:ascii="Times New Roman" w:hAnsi="Times New Roman" w:eastAsia="方正楷体_GBK" w:cs="方正楷体_GBK"/>
          <w:b w:val="0"/>
          <w:bCs w:val="0"/>
          <w:color w:val="auto"/>
          <w:spacing w:val="0"/>
          <w:kern w:val="0"/>
          <w:sz w:val="32"/>
          <w:szCs w:val="32"/>
          <w:highlight w:val="none"/>
          <w:lang w:val="en-US" w:eastAsia="zh-CN" w:bidi="ar-SA"/>
        </w:rPr>
        <w:t>着力加强收支管理。</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科学研判财经形势，强化财税部门协调联动，加强重点</w:t>
      </w:r>
      <w:r>
        <w:rPr>
          <w:rFonts w:hint="eastAsia"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企业</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、重点税源监控分析，做到依法征收、应收尽收。牢固树立</w:t>
      </w:r>
      <w:r>
        <w:rPr>
          <w:rFonts w:hint="eastAsia" w:ascii="Times New Roman" w:hAnsi="Times New Roman" w:eastAsia="方正仿宋_GBK" w:cs="Times New Roman"/>
          <w:b w:val="0"/>
          <w:bCs w:val="0"/>
          <w:color w:val="auto"/>
          <w:spacing w:val="0"/>
          <w:kern w:val="0"/>
          <w:sz w:val="32"/>
          <w:szCs w:val="32"/>
          <w:highlight w:val="none"/>
          <w:lang w:val="en-US" w:eastAsia="zh-CN"/>
        </w:rPr>
        <w:t>党政机关习惯</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过</w:t>
      </w:r>
      <w:r>
        <w:rPr>
          <w:rFonts w:hint="eastAsia"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紧日子</w:t>
      </w:r>
      <w:r>
        <w:rPr>
          <w:rFonts w:hint="eastAsia"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思想，优化财政支出结构，</w:t>
      </w:r>
      <w:r>
        <w:rPr>
          <w:rFonts w:hint="eastAsia" w:ascii="Times New Roman" w:hAnsi="Times New Roman" w:eastAsia="方正仿宋_GBK" w:cs="Times New Roman"/>
          <w:color w:val="auto"/>
          <w:spacing w:val="0"/>
          <w:kern w:val="0"/>
          <w:sz w:val="32"/>
          <w:szCs w:val="32"/>
          <w:highlight w:val="none"/>
          <w:lang w:val="en-US" w:eastAsia="zh-CN"/>
        </w:rPr>
        <w:t>进一步压减非刚性、非急需和一般性支出。</w:t>
      </w:r>
      <w:r>
        <w:rPr>
          <w:rFonts w:hint="default" w:ascii="Times New Roman" w:hAnsi="Times New Roman" w:eastAsia="仿宋" w:cs="sans-serif"/>
          <w:i w:val="0"/>
          <w:iCs w:val="0"/>
          <w:caps w:val="0"/>
          <w:color w:val="auto"/>
          <w:spacing w:val="0"/>
          <w:kern w:val="0"/>
          <w:sz w:val="32"/>
          <w:szCs w:val="16"/>
          <w:highlight w:val="none"/>
          <w:shd w:val="clear" w:color="auto" w:fill="FFFFFF"/>
          <w:vertAlign w:val="baseline"/>
          <w:lang w:val="en-US" w:eastAsia="zh-CN"/>
        </w:rPr>
        <w:t>严格落实财政资金直达机制，推动支出预算均衡有序高效执行。</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楷体_GBK" w:cs="方正楷体_GBK"/>
          <w:b w:val="0"/>
          <w:bCs w:val="0"/>
          <w:color w:val="auto"/>
          <w:spacing w:val="0"/>
          <w:kern w:val="0"/>
          <w:sz w:val="32"/>
          <w:szCs w:val="32"/>
          <w:highlight w:val="none"/>
          <w:lang w:val="en-US" w:eastAsia="zh-CN" w:bidi="ar-SA"/>
        </w:rPr>
        <w:t>（三）优先保障重点领域。</w:t>
      </w:r>
      <w:r>
        <w:rPr>
          <w:rFonts w:hint="eastAsia" w:ascii="Times New Roman" w:hAnsi="Times New Roman" w:eastAsia="方正仿宋_GBK" w:cs="Times New Roman"/>
          <w:color w:val="auto"/>
          <w:spacing w:val="0"/>
          <w:kern w:val="0"/>
          <w:sz w:val="32"/>
          <w:szCs w:val="32"/>
          <w:highlight w:val="none"/>
          <w:lang w:val="en-US" w:eastAsia="zh-CN"/>
        </w:rPr>
        <w:t>切实兜牢“三保”底线，加大保障和改善民生力度，持续做好教育、社保、就业等基本民生保障，落实落细各类补偿救助政策，不断织密扎牢民生兜底安全网。积极服务保障雄忻高铁、京雄保城际等基础设施建设，在服务保障中实现同步崛起、共同发展。支持城乡基础设施建设，深入实施城市更新行动。支持乡村振兴，用好财政衔接推进乡村振兴补助资金，落实各项惠农补贴政策，持续改善农村人居环境。支持经济社会发展绿色转型，助力蓝天、碧水、净土保卫战。</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楷体_GBK" w:cs="方正楷体_GBK"/>
          <w:b w:val="0"/>
          <w:bCs w:val="0"/>
          <w:color w:val="auto"/>
          <w:spacing w:val="0"/>
          <w:kern w:val="0"/>
          <w:sz w:val="32"/>
          <w:szCs w:val="32"/>
          <w:highlight w:val="none"/>
          <w:lang w:val="en-US" w:eastAsia="zh-CN" w:bidi="ar-SA"/>
        </w:rPr>
        <w:t>（四）有效防范化解风险。</w:t>
      </w:r>
      <w:r>
        <w:rPr>
          <w:rFonts w:hint="default" w:ascii="Times New Roman" w:hAnsi="Times New Roman" w:eastAsia="方正仿宋_GBK" w:cs="Times New Roman"/>
          <w:color w:val="auto"/>
          <w:spacing w:val="0"/>
          <w:kern w:val="0"/>
          <w:sz w:val="32"/>
          <w:szCs w:val="32"/>
          <w:highlight w:val="none"/>
          <w:lang w:val="en-US" w:eastAsia="zh-CN"/>
        </w:rPr>
        <w:t>坚持化存量、遏增量</w:t>
      </w:r>
      <w:r>
        <w:rPr>
          <w:rFonts w:hint="eastAsia" w:ascii="Times New Roman" w:hAnsi="Times New Roman" w:eastAsia="方正仿宋_GBK" w:cs="Times New Roman"/>
          <w:color w:val="auto"/>
          <w:spacing w:val="0"/>
          <w:kern w:val="0"/>
          <w:sz w:val="32"/>
          <w:szCs w:val="32"/>
          <w:highlight w:val="none"/>
          <w:lang w:val="en-US" w:eastAsia="zh-CN"/>
        </w:rPr>
        <w:t>，做好隐性债务风险化解，</w:t>
      </w:r>
      <w:r>
        <w:rPr>
          <w:rFonts w:hint="default" w:ascii="Times New Roman" w:hAnsi="Times New Roman" w:eastAsia="方正仿宋_GBK" w:cs="Times New Roman"/>
          <w:color w:val="auto"/>
          <w:spacing w:val="0"/>
          <w:kern w:val="0"/>
          <w:sz w:val="32"/>
          <w:szCs w:val="32"/>
          <w:highlight w:val="none"/>
          <w:lang w:val="en-US" w:eastAsia="zh-CN"/>
        </w:rPr>
        <w:t>优先安排债券还本付息</w:t>
      </w:r>
      <w:r>
        <w:rPr>
          <w:rFonts w:hint="eastAsia"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进一步深化政府债务</w:t>
      </w:r>
      <w:r>
        <w:rPr>
          <w:rFonts w:hint="eastAsia"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借、用、管、还</w:t>
      </w:r>
      <w:r>
        <w:rPr>
          <w:rFonts w:hint="eastAsia"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全过程管理，提高风险预判</w:t>
      </w:r>
      <w:r>
        <w:rPr>
          <w:rFonts w:hint="eastAsia"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应对能力，牢牢守住不发生系统性风险底线。</w:t>
      </w:r>
      <w:r>
        <w:rPr>
          <w:rFonts w:hint="eastAsia" w:ascii="Times New Roman" w:hAnsi="Times New Roman" w:eastAsia="方正仿宋_GBK" w:cs="Times New Roman"/>
          <w:color w:val="auto"/>
          <w:spacing w:val="0"/>
          <w:kern w:val="0"/>
          <w:sz w:val="32"/>
          <w:szCs w:val="32"/>
          <w:highlight w:val="none"/>
          <w:lang w:val="en-US" w:eastAsia="zh-CN"/>
        </w:rPr>
        <w:t>强化预算约束、执行控制</w:t>
      </w:r>
      <w:r>
        <w:rPr>
          <w:rFonts w:hint="eastAsia" w:ascii="Times New Roman" w:hAnsi="Times New Roman" w:eastAsia="方正仿宋_GBK" w:cs="Times New Roman"/>
          <w:b w:val="0"/>
          <w:bCs w:val="0"/>
          <w:color w:val="auto"/>
          <w:spacing w:val="0"/>
          <w:kern w:val="0"/>
          <w:sz w:val="32"/>
          <w:szCs w:val="32"/>
          <w:highlight w:val="none"/>
          <w:lang w:val="en-US" w:eastAsia="zh-CN"/>
        </w:rPr>
        <w:t>，</w:t>
      </w:r>
      <w:r>
        <w:rPr>
          <w:rFonts w:hint="eastAsia" w:ascii="Times New Roman" w:hAnsi="Times New Roman" w:eastAsia="方正仿宋_GBK" w:cs="Times New Roman"/>
          <w:color w:val="auto"/>
          <w:spacing w:val="0"/>
          <w:kern w:val="0"/>
          <w:sz w:val="32"/>
          <w:szCs w:val="32"/>
          <w:highlight w:val="none"/>
          <w:lang w:val="en-US" w:eastAsia="zh-CN"/>
        </w:rPr>
        <w:t>严禁超预算、无预算支出，</w:t>
      </w:r>
      <w:r>
        <w:rPr>
          <w:rFonts w:hint="eastAsia" w:ascii="Times New Roman" w:hAnsi="Times New Roman" w:eastAsia="方正仿宋_GBK" w:cs="Times New Roman"/>
          <w:b w:val="0"/>
          <w:bCs w:val="0"/>
          <w:color w:val="auto"/>
          <w:spacing w:val="0"/>
          <w:kern w:val="0"/>
          <w:sz w:val="32"/>
          <w:szCs w:val="32"/>
          <w:highlight w:val="none"/>
          <w:lang w:val="en-US" w:eastAsia="zh-CN"/>
        </w:rPr>
        <w:t>加强财会监督，</w:t>
      </w:r>
      <w:r>
        <w:rPr>
          <w:rFonts w:hint="eastAsia" w:ascii="Times New Roman" w:hAnsi="Times New Roman" w:eastAsia="方正仿宋_GBK" w:cs="Times New Roman"/>
          <w:color w:val="auto"/>
          <w:spacing w:val="0"/>
          <w:kern w:val="0"/>
          <w:sz w:val="32"/>
          <w:szCs w:val="32"/>
          <w:highlight w:val="none"/>
          <w:lang w:val="en-US" w:eastAsia="zh-CN"/>
        </w:rPr>
        <w:t>持续开展资金安全专项检查，严肃财经纪律，确保资金安全规范高效运行。加强财政法治工作，以法治手段管理收支、防范风险。</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楷体_GBK" w:cs="方正楷体_GBK"/>
          <w:b w:val="0"/>
          <w:bCs/>
          <w:color w:val="auto"/>
          <w:spacing w:val="0"/>
          <w:kern w:val="0"/>
          <w:sz w:val="32"/>
          <w:szCs w:val="32"/>
          <w:highlight w:val="none"/>
          <w:lang w:val="en-US" w:eastAsia="zh-CN"/>
        </w:rPr>
        <w:t>（五）</w:t>
      </w:r>
      <w:r>
        <w:rPr>
          <w:rFonts w:hint="eastAsia" w:ascii="Times New Roman" w:hAnsi="Times New Roman" w:eastAsia="方正楷体_GBK" w:cs="方正楷体_GBK"/>
          <w:b w:val="0"/>
          <w:bCs w:val="0"/>
          <w:color w:val="auto"/>
          <w:spacing w:val="0"/>
          <w:kern w:val="0"/>
          <w:sz w:val="32"/>
          <w:szCs w:val="32"/>
          <w:highlight w:val="none"/>
          <w:lang w:val="en-US" w:eastAsia="zh-CN" w:bidi="ar-SA"/>
        </w:rPr>
        <w:t>提升财政管理效能。</w:t>
      </w:r>
      <w:r>
        <w:rPr>
          <w:rFonts w:hint="eastAsia" w:ascii="Times New Roman" w:hAnsi="Times New Roman" w:eastAsia="方正仿宋_GBK" w:cs="Times New Roman"/>
          <w:color w:val="auto"/>
          <w:spacing w:val="0"/>
          <w:kern w:val="0"/>
          <w:sz w:val="32"/>
          <w:szCs w:val="32"/>
          <w:highlight w:val="none"/>
          <w:lang w:val="en-US" w:eastAsia="zh-CN"/>
        </w:rPr>
        <w:t>深入推进预算绩效管理，加快建立分行业、分领域绩效指标体系，切实提高绩效目标编制和绩效评价的科学性。扎实开展事前绩效评估，强化目标导向、绩效监控、绩效评价和结果应用，建立全方位、全覆盖、全流程绩效管理模式。加快财政数字化转型，做好数字财政系统各项功能研发、完善与应用，持续发挥“减负”“增效”“赋能”“提质”作用。进一步全面深化改革，增加全区自主财力，改善财政运行状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各位代表，</w:t>
      </w:r>
      <w:r>
        <w:rPr>
          <w:rFonts w:hint="default" w:ascii="Times New Roman" w:hAnsi="Times New Roman" w:eastAsia="方正仿宋_GBK" w:cs="Times New Roman"/>
          <w:color w:val="auto"/>
          <w:spacing w:val="0"/>
          <w:kern w:val="0"/>
          <w:sz w:val="32"/>
          <w:szCs w:val="32"/>
          <w:highlight w:val="none"/>
          <w:lang w:val="en-US" w:eastAsia="zh-CN"/>
        </w:rPr>
        <w:t>202</w:t>
      </w:r>
      <w:r>
        <w:rPr>
          <w:rFonts w:hint="eastAsia" w:ascii="Times New Roman" w:hAnsi="Times New Roman" w:eastAsia="方正仿宋_GBK" w:cs="Times New Roman"/>
          <w:color w:val="auto"/>
          <w:spacing w:val="0"/>
          <w:kern w:val="0"/>
          <w:sz w:val="32"/>
          <w:szCs w:val="32"/>
          <w:highlight w:val="none"/>
          <w:lang w:val="en-US" w:eastAsia="zh-CN"/>
        </w:rPr>
        <w:t>5年财政形势依然复杂严峻，做好财政工作任务艰巨、责任重大、使命光荣。我们将在区委的坚强领导下，在区人大及其常委会的有效监督下，在社会各界的大力支持下，坚持干字当头，增强信心、迎难而上，以奋发有为的精神状态和“时时放心不下”的责任意识，扎实推动财政各项工作高质量发展，加快建设经济强区美丽徐水，奋力谱写中国式现代化徐水篇章。</w:t>
      </w:r>
    </w:p>
    <w:p>
      <w:pPr>
        <w:pStyle w:val="6"/>
        <w:rPr>
          <w:rFonts w:hint="eastAsia" w:ascii="Times New Roman" w:hAnsi="Times New Roman" w:eastAsia="方正仿宋_GBK" w:cs="Times New Roman"/>
          <w:color w:val="auto"/>
          <w:spacing w:val="0"/>
          <w:kern w:val="0"/>
          <w:sz w:val="32"/>
          <w:szCs w:val="32"/>
          <w:highlight w:val="none"/>
          <w:lang w:val="en-US" w:eastAsia="zh-CN"/>
        </w:rPr>
      </w:pPr>
    </w:p>
    <w:p>
      <w:pPr>
        <w:rPr>
          <w:rFonts w:hint="eastAsia" w:ascii="Times New Roman" w:hAnsi="Times New Roman" w:eastAsia="方正仿宋_GBK" w:cs="Times New Roman"/>
          <w:color w:val="auto"/>
          <w:spacing w:val="0"/>
          <w:kern w:val="0"/>
          <w:sz w:val="32"/>
          <w:szCs w:val="32"/>
          <w:highlight w:val="none"/>
          <w:lang w:val="en-US" w:eastAsia="zh-CN"/>
        </w:rPr>
      </w:pPr>
    </w:p>
    <w:p>
      <w:pPr>
        <w:pStyle w:val="6"/>
        <w:rPr>
          <w:rFonts w:hint="eastAsia" w:ascii="Times New Roman" w:hAnsi="Times New Roman" w:eastAsia="方正仿宋_GBK" w:cs="Times New Roman"/>
          <w:color w:val="auto"/>
          <w:spacing w:val="0"/>
          <w:kern w:val="0"/>
          <w:sz w:val="32"/>
          <w:szCs w:val="32"/>
          <w:highlight w:val="none"/>
          <w:lang w:val="en-US" w:eastAsia="zh-CN"/>
        </w:rPr>
      </w:pPr>
    </w:p>
    <w:p>
      <w:pPr>
        <w:rPr>
          <w:rFonts w:hint="eastAsia" w:ascii="Times New Roman" w:hAnsi="Times New Roman" w:eastAsia="方正仿宋_GBK" w:cs="Times New Roman"/>
          <w:color w:val="auto"/>
          <w:spacing w:val="0"/>
          <w:kern w:val="0"/>
          <w:sz w:val="32"/>
          <w:szCs w:val="32"/>
          <w:highlight w:val="none"/>
          <w:lang w:val="en-US" w:eastAsia="zh-CN"/>
        </w:rPr>
      </w:pPr>
    </w:p>
    <w:p>
      <w:pPr>
        <w:pStyle w:val="6"/>
        <w:rPr>
          <w:rFonts w:hint="eastAsia" w:ascii="Times New Roman" w:hAnsi="Times New Roman" w:eastAsia="方正仿宋_GBK" w:cs="Times New Roman"/>
          <w:color w:val="auto"/>
          <w:spacing w:val="0"/>
          <w:kern w:val="0"/>
          <w:sz w:val="32"/>
          <w:szCs w:val="32"/>
          <w:highlight w:val="none"/>
          <w:lang w:val="en-US" w:eastAsia="zh-CN"/>
        </w:rPr>
      </w:pPr>
    </w:p>
    <w:p>
      <w:pPr>
        <w:rPr>
          <w:rFonts w:hint="eastAsia" w:ascii="Times New Roman" w:hAnsi="Times New Roman" w:eastAsia="方正仿宋_GBK" w:cs="Times New Roman"/>
          <w:color w:val="auto"/>
          <w:spacing w:val="0"/>
          <w:kern w:val="0"/>
          <w:sz w:val="32"/>
          <w:szCs w:val="32"/>
          <w:highlight w:val="none"/>
          <w:lang w:val="en-US" w:eastAsia="zh-CN"/>
        </w:rPr>
      </w:pPr>
    </w:p>
    <w:p>
      <w:pPr>
        <w:pStyle w:val="6"/>
        <w:jc w:val="left"/>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附表</w:t>
      </w:r>
    </w:p>
    <w:p>
      <w:pPr>
        <w:jc w:val="center"/>
        <w:rPr>
          <w:rFonts w:hint="eastAsia" w:ascii="Times New Roman" w:hAnsi="Times New Roman" w:eastAsia="方正仿宋_GBK" w:cs="Times New Roman"/>
          <w:color w:val="auto"/>
          <w:spacing w:val="0"/>
          <w:kern w:val="0"/>
          <w:sz w:val="32"/>
          <w:szCs w:val="32"/>
          <w:highlight w:val="none"/>
          <w:lang w:val="en-US" w:eastAsia="zh-CN"/>
        </w:rPr>
      </w:pPr>
      <w:r>
        <w:rPr>
          <w:rFonts w:hint="default" w:ascii="仿宋" w:hAnsi="仿宋" w:eastAsia="仿宋" w:cs="宋体"/>
          <w:b/>
          <w:spacing w:val="-4"/>
          <w:kern w:val="0"/>
          <w:sz w:val="32"/>
          <w:szCs w:val="32"/>
          <w:highlight w:val="none"/>
          <w:lang w:val="en-US" w:eastAsia="zh-CN" w:bidi="ar-SA"/>
        </w:rPr>
        <w:t>2024年一般公共预算收入情况表</w:t>
      </w:r>
    </w:p>
    <w:tbl>
      <w:tblPr>
        <w:tblStyle w:val="12"/>
        <w:tblW w:w="82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6"/>
        <w:gridCol w:w="1338"/>
        <w:gridCol w:w="1434"/>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33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43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c>
          <w:tcPr>
            <w:tcW w:w="133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占预算（%）</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一般公共预算收入合计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228455.8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103.8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1.税收收入小计</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170133.1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61764.5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100.9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改征增值税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企业所得税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9145.7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100.5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个人所得税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4276.9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104.3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资源税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107.7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城市维护建设税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23682.7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100.4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房产税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11758.6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102.2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印花税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6867.6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100.3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城镇土地使用税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10332.0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土地增值税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5925.9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103.6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车船税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5898.7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耕地占用税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6176.1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102.8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契税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24012.7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107.1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环保税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151.7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103.2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其他税收收入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2.非税收入小计</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58322.7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109.6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专项收入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16592.7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101.9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教育费附加收入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10112.3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101.1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行政事业性收费收入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11412.5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114.1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罚没收入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6350.4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115.5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国有资源(资产）有偿使用收入</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23853.4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111.8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捐赠收入</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政府住房基金收入</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113.7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103.4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bl>
    <w:p>
      <w:pPr>
        <w:pStyle w:val="6"/>
        <w:rPr>
          <w:rFonts w:hint="eastAsia" w:ascii="Times New Roman" w:hAnsi="Times New Roman" w:eastAsia="方正仿宋_GBK" w:cs="Times New Roman"/>
          <w:color w:val="auto"/>
          <w:spacing w:val="0"/>
          <w:kern w:val="0"/>
          <w:sz w:val="32"/>
          <w:szCs w:val="32"/>
          <w:highlight w:val="none"/>
          <w:lang w:val="en-US" w:eastAsia="zh-CN"/>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4</w:t>
      </w:r>
      <w:r>
        <w:rPr>
          <w:rFonts w:hint="eastAsia" w:ascii="仿宋" w:hAnsi="仿宋" w:eastAsia="仿宋" w:cs="宋体"/>
          <w:b/>
          <w:spacing w:val="-4"/>
          <w:kern w:val="0"/>
          <w:sz w:val="32"/>
          <w:szCs w:val="32"/>
          <w:highlight w:val="none"/>
        </w:rPr>
        <w:t>年一般公共预算支出情况表</w:t>
      </w:r>
    </w:p>
    <w:tbl>
      <w:tblPr>
        <w:tblStyle w:val="12"/>
        <w:tblW w:w="871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1"/>
        <w:gridCol w:w="1500"/>
        <w:gridCol w:w="1644"/>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exact"/>
        </w:trPr>
        <w:tc>
          <w:tcPr>
            <w:tcW w:w="40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500" w:type="dxa"/>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183"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7" w:hRule="atLeast"/>
        </w:trPr>
        <w:tc>
          <w:tcPr>
            <w:tcW w:w="403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   目</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本年累计</w:t>
            </w:r>
          </w:p>
        </w:tc>
        <w:tc>
          <w:tcPr>
            <w:tcW w:w="164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占预算（%）</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03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1.一般公共服务支出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52,990</w:t>
            </w:r>
          </w:p>
        </w:tc>
        <w:tc>
          <w:tcPr>
            <w:tcW w:w="164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104.7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2.公共安全支出</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13198 </w:t>
            </w:r>
          </w:p>
        </w:tc>
        <w:tc>
          <w:tcPr>
            <w:tcW w:w="164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99.8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3.教育支出</w:t>
            </w:r>
          </w:p>
        </w:tc>
        <w:tc>
          <w:tcPr>
            <w:tcW w:w="15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124964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2944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其中：文化和旅游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130.4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新闻出版电影</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68738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其中：人力资源和社会保障管理事务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1210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100.4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民政管理事务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255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76.6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25799 </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55.8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抚恤</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4738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106.8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退役安置</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3548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104.5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34755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其中：卫生健康管理事务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3358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321.3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113.9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计划生育事务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91.8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3874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16147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90.4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40154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93.8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其中：农业农村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22963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83.5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林业和草原</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41.2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水利</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2888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88.9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11.交通运输支出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12.资源勘探工业信息等支出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13.商业服务业等支出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14.金融支出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15.自然资源海洋气象等支出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6142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17.粮油物资储备支出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18.灾害防治及应急管理支出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66375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r>
              <w:rPr>
                <w:rStyle w:val="23"/>
                <w:lang w:val="en-US" w:eastAsia="zh-CN" w:bidi="ar"/>
              </w:rPr>
              <w:t>.债务付息支出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4847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r>
              <w:rPr>
                <w:rStyle w:val="23"/>
                <w:lang w:val="en-US" w:eastAsia="zh-CN" w:bidi="ar"/>
              </w:rPr>
              <w:t>.债务发行费用支出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一般公共预算支出合计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454106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94.0 </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9.8 </w:t>
            </w:r>
          </w:p>
        </w:tc>
      </w:tr>
    </w:tbl>
    <w:p>
      <w:pPr>
        <w:pBdr>
          <w:bottom w:val="single" w:color="FFFFFF" w:sz="4" w:space="29"/>
        </w:pBdr>
        <w:autoSpaceDE w:val="0"/>
        <w:adjustRightInd w:val="0"/>
        <w:snapToGrid w:val="0"/>
        <w:spacing w:line="600" w:lineRule="exact"/>
        <w:jc w:val="center"/>
        <w:rPr>
          <w:rFonts w:hint="default"/>
          <w:lang w:val="en-US" w:eastAsia="zh-CN"/>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4</w:t>
      </w:r>
      <w:r>
        <w:rPr>
          <w:rFonts w:hint="eastAsia" w:ascii="仿宋" w:hAnsi="仿宋" w:eastAsia="仿宋" w:cs="宋体"/>
          <w:b/>
          <w:spacing w:val="-4"/>
          <w:kern w:val="0"/>
          <w:sz w:val="32"/>
          <w:szCs w:val="32"/>
          <w:highlight w:val="none"/>
        </w:rPr>
        <w:t>年政府性基金收入情况表</w:t>
      </w:r>
    </w:p>
    <w:tbl>
      <w:tblPr>
        <w:tblStyle w:val="12"/>
        <w:tblW w:w="9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731"/>
        <w:gridCol w:w="1267"/>
        <w:gridCol w:w="13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7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6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占预算（%）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66031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101.6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FF0000"/>
                <w:kern w:val="0"/>
                <w:sz w:val="24"/>
                <w:szCs w:val="24"/>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1030146</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1、国有土地收益基金收入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103.7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1030147</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2、农业土地开发资金收入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1030148</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3、国有土地使用权出让收入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59502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101.5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1030155</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4、彩票公益金收入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1030156</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5、城市基础设施配套费收入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1030178</w:t>
            </w:r>
          </w:p>
        </w:tc>
        <w:tc>
          <w:tcPr>
            <w:tcW w:w="3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6、污水处理费收入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100.6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1030199</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7、其他政府性基金专项债务对应项目专项收入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1646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 </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4</w:t>
      </w:r>
      <w:r>
        <w:rPr>
          <w:rFonts w:hint="eastAsia" w:ascii="仿宋" w:hAnsi="仿宋" w:eastAsia="仿宋" w:cs="宋体"/>
          <w:b/>
          <w:spacing w:val="-4"/>
          <w:kern w:val="0"/>
          <w:sz w:val="32"/>
          <w:szCs w:val="32"/>
          <w:highlight w:val="none"/>
        </w:rPr>
        <w:t>年政府性基金支出情况表</w:t>
      </w:r>
    </w:p>
    <w:tbl>
      <w:tblPr>
        <w:tblStyle w:val="12"/>
        <w:tblW w:w="89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3216"/>
        <w:gridCol w:w="1415"/>
        <w:gridCol w:w="135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216"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1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60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科目编码</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占预算（%）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基金支出小计</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119,391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80.8</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FF0000"/>
                <w:kern w:val="0"/>
                <w:sz w:val="24"/>
                <w:szCs w:val="24"/>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1.文化体育与传媒支出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2.社会保障和就业支出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3.城乡社区支出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4.农林水支出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5.超长期特别国债安排的支出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6.用超长期特别国债收入安排的支出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8.债务付息支出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9.债务发行费用支出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w:t>
            </w:r>
          </w:p>
        </w:tc>
      </w:tr>
    </w:tbl>
    <w:p>
      <w:pPr>
        <w:pStyle w:val="2"/>
        <w:rPr>
          <w:rFonts w:hint="eastAsia"/>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4</w:t>
      </w:r>
      <w:r>
        <w:rPr>
          <w:rFonts w:hint="eastAsia" w:ascii="仿宋" w:hAnsi="仿宋" w:eastAsia="仿宋" w:cs="宋体"/>
          <w:b/>
          <w:spacing w:val="-4"/>
          <w:kern w:val="0"/>
          <w:sz w:val="32"/>
          <w:szCs w:val="32"/>
          <w:highlight w:val="none"/>
        </w:rPr>
        <w:t>年社会保险基金收入情况表</w:t>
      </w:r>
    </w:p>
    <w:p>
      <w:pPr>
        <w:pStyle w:val="2"/>
        <w:rPr>
          <w:rFonts w:hint="eastAsia"/>
        </w:rPr>
      </w:pPr>
    </w:p>
    <w:tbl>
      <w:tblPr>
        <w:tblStyle w:val="12"/>
        <w:tblW w:w="8182" w:type="dxa"/>
        <w:jc w:val="center"/>
        <w:tblLayout w:type="autofit"/>
        <w:tblCellMar>
          <w:top w:w="0" w:type="dxa"/>
          <w:left w:w="108" w:type="dxa"/>
          <w:bottom w:w="0" w:type="dxa"/>
          <w:right w:w="108" w:type="dxa"/>
        </w:tblCellMar>
      </w:tblPr>
      <w:tblGrid>
        <w:gridCol w:w="1745"/>
        <w:gridCol w:w="4719"/>
        <w:gridCol w:w="1718"/>
      </w:tblGrid>
      <w:tr>
        <w:tblPrEx>
          <w:tblCellMar>
            <w:top w:w="0" w:type="dxa"/>
            <w:left w:w="108" w:type="dxa"/>
            <w:bottom w:w="0" w:type="dxa"/>
            <w:right w:w="108" w:type="dxa"/>
          </w:tblCellMar>
        </w:tblPrEx>
        <w:trPr>
          <w:wAfter w:w="0" w:type="auto"/>
          <w:trHeight w:val="480" w:hRule="atLeast"/>
          <w:jc w:val="center"/>
        </w:trPr>
        <w:tc>
          <w:tcPr>
            <w:tcW w:w="1745" w:type="dxa"/>
            <w:tcBorders>
              <w:top w:val="nil"/>
              <w:left w:val="nil"/>
              <w:bottom w:val="nil"/>
              <w:right w:val="nil"/>
            </w:tcBorders>
            <w:noWrap/>
            <w:vAlign w:val="center"/>
          </w:tcPr>
          <w:p>
            <w:pPr>
              <w:widowControl/>
              <w:jc w:val="left"/>
              <w:rPr>
                <w:rFonts w:ascii="仿宋" w:hAnsi="仿宋" w:eastAsia="仿宋" w:cs="Times New Roman"/>
                <w:kern w:val="0"/>
                <w:sz w:val="22"/>
                <w:szCs w:val="22"/>
                <w:highlight w:val="none"/>
              </w:rPr>
            </w:pPr>
          </w:p>
        </w:tc>
        <w:tc>
          <w:tcPr>
            <w:tcW w:w="4719" w:type="dxa"/>
            <w:tcBorders>
              <w:top w:val="nil"/>
              <w:left w:val="nil"/>
              <w:bottom w:val="nil"/>
              <w:right w:val="nil"/>
            </w:tcBorders>
            <w:noWrap/>
            <w:vAlign w:val="center"/>
          </w:tcPr>
          <w:p>
            <w:pPr>
              <w:widowControl/>
              <w:jc w:val="left"/>
              <w:rPr>
                <w:rFonts w:ascii="仿宋" w:hAnsi="仿宋" w:eastAsia="仿宋" w:cs="Times New Roman"/>
                <w:kern w:val="0"/>
                <w:sz w:val="22"/>
                <w:szCs w:val="22"/>
                <w:highlight w:val="none"/>
              </w:rPr>
            </w:pPr>
          </w:p>
        </w:tc>
        <w:tc>
          <w:tcPr>
            <w:tcW w:w="1718" w:type="dxa"/>
            <w:tcBorders>
              <w:top w:val="nil"/>
              <w:left w:val="nil"/>
              <w:bottom w:val="nil"/>
              <w:right w:val="nil"/>
            </w:tcBorders>
            <w:noWrap/>
            <w:vAlign w:val="center"/>
          </w:tcPr>
          <w:p>
            <w:pPr>
              <w:widowControl/>
              <w:jc w:val="right"/>
              <w:rPr>
                <w:rFonts w:ascii="仿宋" w:hAnsi="仿宋" w:eastAsia="仿宋" w:cs="Times New Roman"/>
                <w:b/>
                <w:kern w:val="0"/>
                <w:sz w:val="22"/>
                <w:szCs w:val="22"/>
                <w:highlight w:val="none"/>
              </w:rPr>
            </w:pPr>
            <w:r>
              <w:rPr>
                <w:rFonts w:hint="eastAsia" w:ascii="仿宋" w:hAnsi="仿宋" w:eastAsia="仿宋" w:cs="Times New Roman"/>
                <w:b/>
                <w:kern w:val="0"/>
                <w:sz w:val="22"/>
                <w:szCs w:val="22"/>
                <w:highlight w:val="none"/>
              </w:rPr>
              <w:t>单位：万元</w:t>
            </w:r>
          </w:p>
        </w:tc>
      </w:tr>
      <w:tr>
        <w:tblPrEx>
          <w:tblCellMar>
            <w:top w:w="0" w:type="dxa"/>
            <w:left w:w="108" w:type="dxa"/>
            <w:bottom w:w="0" w:type="dxa"/>
            <w:right w:w="108" w:type="dxa"/>
          </w:tblCellMar>
        </w:tblPrEx>
        <w:trPr>
          <w:wAfter w:w="0" w:type="auto"/>
          <w:trHeight w:val="660" w:hRule="atLeast"/>
          <w:jc w:val="center"/>
        </w:trPr>
        <w:tc>
          <w:tcPr>
            <w:tcW w:w="17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科目编码</w:t>
            </w:r>
          </w:p>
        </w:tc>
        <w:tc>
          <w:tcPr>
            <w:tcW w:w="47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科目名称</w:t>
            </w:r>
          </w:p>
        </w:tc>
        <w:tc>
          <w:tcPr>
            <w:tcW w:w="171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执行数</w:t>
            </w:r>
          </w:p>
        </w:tc>
      </w:tr>
      <w:tr>
        <w:tblPrEx>
          <w:tblCellMar>
            <w:top w:w="0" w:type="dxa"/>
            <w:left w:w="108" w:type="dxa"/>
            <w:bottom w:w="0" w:type="dxa"/>
            <w:right w:w="108" w:type="dxa"/>
          </w:tblCellMar>
        </w:tblPrEx>
        <w:trPr>
          <w:wAfter w:w="0" w:type="auto"/>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w:t>
            </w:r>
          </w:p>
        </w:tc>
        <w:tc>
          <w:tcPr>
            <w:tcW w:w="4719"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社保保险基金收入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szCs w:val="24"/>
                <w:lang w:val="en-US" w:eastAsia="zh-CN" w:bidi="ar-SA"/>
              </w:rPr>
            </w:pPr>
            <w:r>
              <w:rPr>
                <w:rFonts w:hint="default" w:ascii="仿宋" w:hAnsi="仿宋" w:eastAsia="仿宋" w:cs="Times New Roman"/>
                <w:b/>
                <w:bCs/>
                <w:kern w:val="0"/>
                <w:sz w:val="24"/>
                <w:lang w:val="en-US" w:eastAsia="zh-CN"/>
              </w:rPr>
              <w:t>69850</w:t>
            </w:r>
          </w:p>
        </w:tc>
      </w:tr>
      <w:tr>
        <w:tblPrEx>
          <w:tblCellMar>
            <w:top w:w="0" w:type="dxa"/>
            <w:left w:w="108" w:type="dxa"/>
            <w:bottom w:w="0" w:type="dxa"/>
            <w:right w:w="108" w:type="dxa"/>
          </w:tblCellMar>
        </w:tblPrEx>
        <w:trPr>
          <w:wAfter w:w="0" w:type="auto"/>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10210</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城乡居民基本养老保险基金收入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szCs w:val="24"/>
                <w:lang w:val="en-US" w:eastAsia="zh-CN" w:bidi="ar-SA"/>
              </w:rPr>
            </w:pPr>
            <w:r>
              <w:rPr>
                <w:rFonts w:hint="default" w:ascii="仿宋" w:hAnsi="仿宋" w:eastAsia="仿宋" w:cs="Times New Roman"/>
                <w:b/>
                <w:bCs/>
                <w:kern w:val="0"/>
                <w:sz w:val="24"/>
                <w:lang w:val="en-US" w:eastAsia="zh-CN"/>
              </w:rPr>
              <w:t>35203</w:t>
            </w:r>
          </w:p>
        </w:tc>
      </w:tr>
      <w:tr>
        <w:tblPrEx>
          <w:tblCellMar>
            <w:top w:w="0" w:type="dxa"/>
            <w:left w:w="108" w:type="dxa"/>
            <w:bottom w:w="0" w:type="dxa"/>
            <w:right w:w="108" w:type="dxa"/>
          </w:tblCellMar>
        </w:tblPrEx>
        <w:trPr>
          <w:wAfter w:w="0" w:type="auto"/>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10211</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机关事业单位基本养老保险</w:t>
            </w:r>
            <w:r>
              <w:rPr>
                <w:rFonts w:hint="eastAsia" w:ascii="仿宋" w:hAnsi="仿宋" w:eastAsia="仿宋" w:cs="宋体"/>
                <w:b/>
                <w:bCs/>
                <w:kern w:val="0"/>
                <w:sz w:val="24"/>
                <w:highlight w:val="none"/>
                <w:lang w:eastAsia="zh-CN"/>
              </w:rPr>
              <w:t>基金</w:t>
            </w:r>
            <w:r>
              <w:rPr>
                <w:rFonts w:hint="eastAsia" w:ascii="仿宋" w:hAnsi="仿宋" w:eastAsia="仿宋" w:cs="宋体"/>
                <w:b/>
                <w:bCs/>
                <w:kern w:val="0"/>
                <w:sz w:val="24"/>
                <w:highlight w:val="none"/>
              </w:rPr>
              <w:t>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szCs w:val="24"/>
                <w:lang w:val="en-US" w:eastAsia="zh-CN" w:bidi="ar-SA"/>
              </w:rPr>
            </w:pPr>
            <w:r>
              <w:rPr>
                <w:rFonts w:hint="default" w:ascii="仿宋" w:hAnsi="仿宋" w:eastAsia="仿宋" w:cs="Times New Roman"/>
                <w:b/>
                <w:bCs/>
                <w:kern w:val="0"/>
                <w:sz w:val="24"/>
                <w:lang w:val="en-US" w:eastAsia="zh-CN"/>
              </w:rPr>
              <w:t>34647</w:t>
            </w:r>
          </w:p>
        </w:tc>
      </w:tr>
      <w:tr>
        <w:tblPrEx>
          <w:tblCellMar>
            <w:top w:w="0" w:type="dxa"/>
            <w:left w:w="108" w:type="dxa"/>
            <w:bottom w:w="0" w:type="dxa"/>
            <w:right w:w="108" w:type="dxa"/>
          </w:tblCellMar>
        </w:tblPrEx>
        <w:trPr>
          <w:trHeight w:val="495" w:hRule="atLeast"/>
          <w:jc w:val="center"/>
        </w:trPr>
        <w:tc>
          <w:tcPr>
            <w:tcW w:w="646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合计</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default" w:ascii="仿宋" w:hAnsi="仿宋" w:eastAsia="仿宋" w:cs="Times New Roman"/>
                <w:b/>
                <w:bCs/>
                <w:kern w:val="0"/>
                <w:sz w:val="24"/>
                <w:lang w:val="en-US" w:eastAsia="zh-CN"/>
              </w:rPr>
              <w:t>69850</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4</w:t>
      </w:r>
      <w:r>
        <w:rPr>
          <w:rFonts w:hint="eastAsia" w:ascii="仿宋" w:hAnsi="仿宋" w:eastAsia="仿宋" w:cs="宋体"/>
          <w:b/>
          <w:spacing w:val="-4"/>
          <w:kern w:val="0"/>
          <w:sz w:val="32"/>
          <w:szCs w:val="32"/>
          <w:highlight w:val="none"/>
        </w:rPr>
        <w:t>年社会保险基金支出情况表</w:t>
      </w:r>
    </w:p>
    <w:tbl>
      <w:tblPr>
        <w:tblStyle w:val="12"/>
        <w:tblW w:w="8171" w:type="dxa"/>
        <w:tblInd w:w="316" w:type="dxa"/>
        <w:tblLayout w:type="fixed"/>
        <w:tblCellMar>
          <w:top w:w="0" w:type="dxa"/>
          <w:left w:w="108" w:type="dxa"/>
          <w:bottom w:w="0" w:type="dxa"/>
          <w:right w:w="108" w:type="dxa"/>
        </w:tblCellMar>
      </w:tblPr>
      <w:tblGrid>
        <w:gridCol w:w="1945"/>
        <w:gridCol w:w="4490"/>
        <w:gridCol w:w="1736"/>
      </w:tblGrid>
      <w:tr>
        <w:tblPrEx>
          <w:tblCellMar>
            <w:top w:w="0" w:type="dxa"/>
            <w:left w:w="108" w:type="dxa"/>
            <w:bottom w:w="0" w:type="dxa"/>
            <w:right w:w="108" w:type="dxa"/>
          </w:tblCellMar>
        </w:tblPrEx>
        <w:trPr>
          <w:wAfter w:w="0" w:type="auto"/>
          <w:trHeight w:val="420" w:hRule="atLeast"/>
        </w:trPr>
        <w:tc>
          <w:tcPr>
            <w:tcW w:w="1945" w:type="dxa"/>
            <w:tcBorders>
              <w:top w:val="nil"/>
              <w:left w:val="nil"/>
              <w:bottom w:val="nil"/>
              <w:right w:val="nil"/>
            </w:tcBorders>
            <w:noWrap/>
            <w:vAlign w:val="top"/>
          </w:tcPr>
          <w:p>
            <w:pPr>
              <w:widowControl/>
              <w:jc w:val="left"/>
              <w:rPr>
                <w:rFonts w:ascii="仿宋" w:hAnsi="仿宋" w:eastAsia="仿宋" w:cs="Times New Roman"/>
                <w:kern w:val="0"/>
                <w:sz w:val="22"/>
                <w:szCs w:val="22"/>
                <w:highlight w:val="none"/>
              </w:rPr>
            </w:pPr>
          </w:p>
        </w:tc>
        <w:tc>
          <w:tcPr>
            <w:tcW w:w="4490" w:type="dxa"/>
            <w:tcBorders>
              <w:top w:val="nil"/>
              <w:left w:val="nil"/>
              <w:bottom w:val="nil"/>
              <w:right w:val="nil"/>
            </w:tcBorders>
            <w:noWrap/>
            <w:vAlign w:val="top"/>
          </w:tcPr>
          <w:p>
            <w:pPr>
              <w:widowControl/>
              <w:jc w:val="left"/>
              <w:rPr>
                <w:rFonts w:ascii="仿宋" w:hAnsi="仿宋" w:eastAsia="仿宋" w:cs="Times New Roman"/>
                <w:kern w:val="0"/>
                <w:sz w:val="22"/>
                <w:szCs w:val="22"/>
                <w:highlight w:val="none"/>
              </w:rPr>
            </w:pPr>
          </w:p>
        </w:tc>
        <w:tc>
          <w:tcPr>
            <w:tcW w:w="1736" w:type="dxa"/>
            <w:tcBorders>
              <w:top w:val="nil"/>
              <w:left w:val="nil"/>
              <w:bottom w:val="nil"/>
              <w:right w:val="nil"/>
            </w:tcBorders>
            <w:noWrap/>
            <w:vAlign w:val="top"/>
          </w:tcPr>
          <w:p>
            <w:pPr>
              <w:widowControl/>
              <w:jc w:val="right"/>
              <w:rPr>
                <w:rFonts w:ascii="仿宋" w:hAnsi="仿宋" w:eastAsia="仿宋" w:cs="Times New Roman"/>
                <w:b/>
                <w:kern w:val="0"/>
                <w:sz w:val="22"/>
                <w:szCs w:val="22"/>
                <w:highlight w:val="none"/>
              </w:rPr>
            </w:pPr>
            <w:r>
              <w:rPr>
                <w:rFonts w:hint="eastAsia" w:ascii="仿宋" w:hAnsi="仿宋" w:eastAsia="仿宋" w:cs="Times New Roman"/>
                <w:b/>
                <w:kern w:val="0"/>
                <w:sz w:val="22"/>
                <w:szCs w:val="22"/>
                <w:highlight w:val="none"/>
              </w:rPr>
              <w:t>单位：万元</w:t>
            </w:r>
          </w:p>
        </w:tc>
      </w:tr>
      <w:tr>
        <w:tblPrEx>
          <w:tblCellMar>
            <w:top w:w="0" w:type="dxa"/>
            <w:left w:w="108" w:type="dxa"/>
            <w:bottom w:w="0" w:type="dxa"/>
            <w:right w:w="108" w:type="dxa"/>
          </w:tblCellMar>
        </w:tblPrEx>
        <w:trPr>
          <w:wAfter w:w="0" w:type="auto"/>
          <w:trHeight w:val="540"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科目编码</w:t>
            </w:r>
          </w:p>
        </w:tc>
        <w:tc>
          <w:tcPr>
            <w:tcW w:w="449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科目名称</w:t>
            </w:r>
          </w:p>
        </w:tc>
        <w:tc>
          <w:tcPr>
            <w:tcW w:w="17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执行数</w:t>
            </w:r>
          </w:p>
        </w:tc>
      </w:tr>
      <w:tr>
        <w:tblPrEx>
          <w:tblCellMar>
            <w:top w:w="0" w:type="dxa"/>
            <w:left w:w="108" w:type="dxa"/>
            <w:bottom w:w="0" w:type="dxa"/>
            <w:right w:w="108" w:type="dxa"/>
          </w:tblCellMar>
        </w:tblPrEx>
        <w:trPr>
          <w:wAfter w:w="0" w:type="auto"/>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w:t>
            </w:r>
          </w:p>
        </w:tc>
        <w:tc>
          <w:tcPr>
            <w:tcW w:w="4490"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社会保险基金支出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szCs w:val="24"/>
                <w:lang w:val="en-US" w:eastAsia="zh-CN" w:bidi="ar-SA"/>
              </w:rPr>
            </w:pPr>
            <w:r>
              <w:rPr>
                <w:rFonts w:hint="default" w:ascii="仿宋" w:hAnsi="仿宋" w:eastAsia="仿宋" w:cs="Times New Roman"/>
                <w:b/>
                <w:bCs/>
                <w:kern w:val="0"/>
                <w:sz w:val="24"/>
                <w:lang w:val="en-US" w:eastAsia="zh-CN"/>
              </w:rPr>
              <w:t>62785</w:t>
            </w:r>
          </w:p>
        </w:tc>
      </w:tr>
      <w:tr>
        <w:trPr>
          <w:wAfter w:w="0" w:type="auto"/>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20910</w:t>
            </w:r>
          </w:p>
        </w:tc>
        <w:tc>
          <w:tcPr>
            <w:tcW w:w="4490"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城乡居民基本养老保险基金支出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kern w:val="0"/>
                <w:sz w:val="24"/>
                <w:szCs w:val="24"/>
                <w:lang w:val="en-US" w:eastAsia="zh-CN" w:bidi="ar-SA"/>
              </w:rPr>
            </w:pPr>
            <w:r>
              <w:rPr>
                <w:rFonts w:hint="default" w:ascii="仿宋" w:hAnsi="仿宋" w:eastAsia="仿宋" w:cs="Times New Roman"/>
                <w:b/>
                <w:bCs/>
                <w:kern w:val="0"/>
                <w:sz w:val="24"/>
                <w:lang w:val="en-US" w:eastAsia="zh-CN"/>
              </w:rPr>
              <w:t>27382</w:t>
            </w:r>
          </w:p>
        </w:tc>
      </w:tr>
      <w:tr>
        <w:tblPrEx>
          <w:tblCellMar>
            <w:top w:w="0" w:type="dxa"/>
            <w:left w:w="108" w:type="dxa"/>
            <w:bottom w:w="0" w:type="dxa"/>
            <w:right w:w="108" w:type="dxa"/>
          </w:tblCellMar>
        </w:tblPrEx>
        <w:trPr>
          <w:wAfter w:w="0" w:type="auto"/>
          <w:trHeight w:val="525"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highlight w:val="none"/>
              </w:rPr>
            </w:pPr>
            <w:r>
              <w:rPr>
                <w:rFonts w:ascii="仿宋" w:hAnsi="仿宋" w:eastAsia="仿宋" w:cs="Times New Roman"/>
                <w:b/>
                <w:bCs/>
                <w:kern w:val="0"/>
                <w:sz w:val="24"/>
                <w:highlight w:val="none"/>
              </w:rPr>
              <w:t>20911</w:t>
            </w:r>
          </w:p>
        </w:tc>
        <w:tc>
          <w:tcPr>
            <w:tcW w:w="4490"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highlight w:val="none"/>
              </w:rPr>
            </w:pPr>
            <w:r>
              <w:rPr>
                <w:rFonts w:hint="eastAsia" w:ascii="仿宋" w:hAnsi="仿宋" w:eastAsia="仿宋" w:cs="宋体"/>
                <w:b/>
                <w:bCs/>
                <w:kern w:val="0"/>
                <w:sz w:val="24"/>
                <w:highlight w:val="none"/>
              </w:rPr>
              <w:t>机关事业单位基本养老保险基金支出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szCs w:val="24"/>
                <w:lang w:val="en-US" w:eastAsia="zh-CN" w:bidi="ar-SA"/>
              </w:rPr>
            </w:pPr>
            <w:r>
              <w:rPr>
                <w:rFonts w:hint="default" w:ascii="仿宋" w:hAnsi="仿宋" w:eastAsia="仿宋" w:cs="Times New Roman"/>
                <w:b/>
                <w:bCs/>
                <w:kern w:val="0"/>
                <w:sz w:val="24"/>
                <w:lang w:val="en-US" w:eastAsia="zh-CN"/>
              </w:rPr>
              <w:t>35403</w:t>
            </w:r>
          </w:p>
        </w:tc>
      </w:tr>
      <w:tr>
        <w:tblPrEx>
          <w:tblCellMar>
            <w:top w:w="0" w:type="dxa"/>
            <w:left w:w="108" w:type="dxa"/>
            <w:bottom w:w="0" w:type="dxa"/>
            <w:right w:w="108" w:type="dxa"/>
          </w:tblCellMar>
        </w:tblPrEx>
        <w:trPr>
          <w:trHeight w:val="525" w:hRule="atLeast"/>
        </w:trPr>
        <w:tc>
          <w:tcPr>
            <w:tcW w:w="6435"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Times New Roman"/>
                <w:b/>
                <w:bCs/>
                <w:kern w:val="0"/>
                <w:sz w:val="24"/>
                <w:highlight w:val="none"/>
              </w:rPr>
            </w:pPr>
            <w:r>
              <w:rPr>
                <w:rFonts w:hint="eastAsia" w:ascii="仿宋" w:hAnsi="仿宋" w:eastAsia="仿宋" w:cs="Times New Roman"/>
                <w:b/>
                <w:bCs/>
                <w:kern w:val="0"/>
                <w:sz w:val="24"/>
                <w:highlight w:val="none"/>
              </w:rPr>
              <w:t>合计</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highlight w:val="none"/>
                <w:lang w:val="en-US"/>
              </w:rPr>
            </w:pPr>
            <w:r>
              <w:rPr>
                <w:rFonts w:hint="default" w:ascii="仿宋" w:hAnsi="仿宋" w:eastAsia="仿宋" w:cs="Times New Roman"/>
                <w:b/>
                <w:bCs/>
                <w:kern w:val="0"/>
                <w:sz w:val="24"/>
                <w:lang w:val="en-US" w:eastAsia="zh-CN"/>
              </w:rPr>
              <w:t>62785</w:t>
            </w:r>
          </w:p>
        </w:tc>
      </w:tr>
    </w:tbl>
    <w:p>
      <w:pPr>
        <w:rPr>
          <w:highlight w:val="none"/>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5</w:t>
      </w:r>
      <w:r>
        <w:rPr>
          <w:rFonts w:hint="eastAsia" w:ascii="仿宋" w:hAnsi="仿宋" w:eastAsia="仿宋" w:cs="宋体"/>
          <w:b/>
          <w:spacing w:val="-4"/>
          <w:kern w:val="0"/>
          <w:sz w:val="32"/>
          <w:szCs w:val="32"/>
          <w:highlight w:val="none"/>
        </w:rPr>
        <w:t>年一般公共预算收入情况表</w:t>
      </w:r>
    </w:p>
    <w:tbl>
      <w:tblPr>
        <w:tblStyle w:val="12"/>
        <w:tblW w:w="8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3"/>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        目</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宋体" w:hAnsi="宋体" w:eastAsia="宋体" w:cs="宋体"/>
                <w:b/>
                <w:bCs/>
                <w:color w:val="000000"/>
                <w:kern w:val="0"/>
                <w:sz w:val="24"/>
                <w:szCs w:val="24"/>
                <w:highlight w:val="none"/>
              </w:rPr>
              <w:t>一般公共预算收入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149400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一、税收收入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1.增值税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2.企业所得税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3.个人所得税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4.资源税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5.城市维护建设税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6.房产税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7.印花税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8.城镇土地使用税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9.土地增值税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10.车船税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11.耕地占用税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12.契税</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二、非税收入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1.专项收入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2.行政事业性收费收入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3.罚没收入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4.国有资源（资产）有偿使用收入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5.政府住房基金收入</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r>
    </w:tbl>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eastAsia" w:ascii="仿宋" w:hAnsi="仿宋" w:eastAsia="仿宋" w:cs="仿宋"/>
          <w:b/>
          <w:spacing w:val="-4"/>
          <w:kern w:val="0"/>
          <w:sz w:val="32"/>
          <w:szCs w:val="32"/>
          <w:highlight w:val="none"/>
        </w:rPr>
      </w:pPr>
      <w:r>
        <w:rPr>
          <w:rFonts w:hint="eastAsia" w:ascii="仿宋" w:hAnsi="仿宋" w:eastAsia="仿宋" w:cs="仿宋"/>
          <w:b/>
          <w:spacing w:val="-4"/>
          <w:kern w:val="0"/>
          <w:sz w:val="32"/>
          <w:szCs w:val="32"/>
          <w:highlight w:val="none"/>
        </w:rPr>
        <w:t>202</w:t>
      </w:r>
      <w:r>
        <w:rPr>
          <w:rFonts w:hint="default" w:ascii="仿宋" w:hAnsi="仿宋" w:eastAsia="仿宋" w:cs="仿宋"/>
          <w:b/>
          <w:spacing w:val="-4"/>
          <w:kern w:val="0"/>
          <w:sz w:val="32"/>
          <w:szCs w:val="32"/>
          <w:highlight w:val="none"/>
          <w:lang w:val="en-US"/>
        </w:rPr>
        <w:t>5</w:t>
      </w:r>
      <w:r>
        <w:rPr>
          <w:rFonts w:hint="eastAsia" w:ascii="仿宋" w:hAnsi="仿宋" w:eastAsia="仿宋" w:cs="仿宋"/>
          <w:b/>
          <w:spacing w:val="-4"/>
          <w:kern w:val="0"/>
          <w:sz w:val="32"/>
          <w:szCs w:val="32"/>
          <w:highlight w:val="none"/>
        </w:rPr>
        <w:t>年一般公共预算支出情况表</w:t>
      </w:r>
    </w:p>
    <w:tbl>
      <w:tblPr>
        <w:tblStyle w:val="12"/>
        <w:tblW w:w="8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607" w:type="dxa"/>
            <w:tcBorders>
              <w:top w:val="nil"/>
              <w:left w:val="nil"/>
              <w:bottom w:val="nil"/>
              <w:right w:val="nil"/>
            </w:tcBorders>
            <w:noWrap/>
            <w:vAlign w:val="bottom"/>
          </w:tcPr>
          <w:p>
            <w:pPr>
              <w:rPr>
                <w:rFonts w:hint="default" w:ascii="Times New Roman" w:hAnsi="Times New Roman" w:eastAsia="宋体" w:cs="Times New Roman"/>
                <w:i w:val="0"/>
                <w:iCs w:val="0"/>
                <w:color w:val="000000"/>
                <w:sz w:val="22"/>
                <w:szCs w:val="22"/>
                <w:highlight w:val="none"/>
                <w:u w:val="none"/>
              </w:rPr>
            </w:pPr>
          </w:p>
        </w:tc>
        <w:tc>
          <w:tcPr>
            <w:tcW w:w="2888" w:type="dxa"/>
            <w:tcBorders>
              <w:top w:val="nil"/>
              <w:left w:val="nil"/>
              <w:bottom w:val="nil"/>
              <w:right w:val="nil"/>
            </w:tcBorders>
            <w:noWrap/>
            <w:vAlign w:val="bottom"/>
          </w:tcPr>
          <w:p>
            <w:pPr>
              <w:jc w:val="right"/>
              <w:rPr>
                <w:rFonts w:hint="default" w:ascii="Times New Roman" w:hAnsi="Times New Roman" w:eastAsia="宋体" w:cs="Times New Roman"/>
                <w:b/>
                <w:bCs/>
                <w:i w:val="0"/>
                <w:iCs w:val="0"/>
                <w:color w:val="000000"/>
                <w:sz w:val="22"/>
                <w:szCs w:val="22"/>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科目编码及名称</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eastAsia" w:ascii="Times New Roman" w:hAnsi="Times New Roman" w:eastAsia="宋体" w:cs="Times New Roman"/>
                <w:b/>
                <w:bCs/>
                <w:i w:val="0"/>
                <w:iCs w:val="0"/>
                <w:color w:val="000000"/>
                <w:kern w:val="0"/>
                <w:sz w:val="24"/>
                <w:szCs w:val="24"/>
                <w:highlight w:val="none"/>
                <w:u w:val="none"/>
                <w:lang w:val="en-US" w:eastAsia="zh-CN" w:bidi="ar"/>
              </w:rPr>
              <w:t>本级支出合计</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433829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201 一般公共服务支出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204 公共安全支出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205 教育支出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206 科学技术支出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207 文化旅游体育与传媒支出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208 社会保障和就业支出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210 卫生健康支出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211 节能环保支出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212 城乡社区支出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213 农林水支出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214 交通运输支出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216 商业服务业等支出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217 金融支出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220 自然资源海洋气象等支出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221 住房保障支出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222 粮油物资储备支出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224 灾害防治及应急管理支出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227 预备费</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229 其他支出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232 债务付息支出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233 债务发行费用支出</w:t>
            </w:r>
          </w:p>
        </w:tc>
        <w:tc>
          <w:tcPr>
            <w:tcW w:w="2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r>
    </w:tbl>
    <w:p>
      <w:pPr>
        <w:pBdr>
          <w:bottom w:val="single" w:color="FFFFFF" w:sz="4" w:space="31"/>
        </w:pBdr>
        <w:autoSpaceDE w:val="0"/>
        <w:adjustRightInd w:val="0"/>
        <w:snapToGrid w:val="0"/>
        <w:spacing w:line="240" w:lineRule="auto"/>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5</w:t>
      </w:r>
      <w:r>
        <w:rPr>
          <w:rFonts w:hint="eastAsia" w:ascii="仿宋" w:hAnsi="仿宋" w:eastAsia="仿宋" w:cs="宋体"/>
          <w:b/>
          <w:spacing w:val="-4"/>
          <w:kern w:val="0"/>
          <w:sz w:val="32"/>
          <w:szCs w:val="32"/>
          <w:highlight w:val="none"/>
        </w:rPr>
        <w:t>年政府性基金收入情况表</w:t>
      </w:r>
    </w:p>
    <w:p>
      <w:pPr>
        <w:pStyle w:val="2"/>
        <w:jc w:val="right"/>
        <w:rPr>
          <w:rFonts w:hint="eastAsia"/>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8"/>
          <w:szCs w:val="28"/>
          <w:highlight w:val="none"/>
        </w:rPr>
        <w:t>单位：万元</w:t>
      </w:r>
    </w:p>
    <w:tbl>
      <w:tblPr>
        <w:tblStyle w:val="12"/>
        <w:tblW w:w="89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0"/>
        <w:gridCol w:w="3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科目名称</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一、农业土地开发资金收入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二、国有土地使用权出让收入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146500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三、国有土地收益基金收入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四、彩票公益金收入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五、城市基础设施配套费收入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六、污水处理费收入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七、其他政府性基金专项债券对应项目专项收入</w:t>
            </w:r>
          </w:p>
        </w:tc>
        <w:tc>
          <w:tcPr>
            <w:tcW w:w="3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20580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合      计</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181800</w:t>
            </w:r>
          </w:p>
        </w:tc>
      </w:tr>
    </w:tbl>
    <w:p>
      <w:pPr>
        <w:pStyle w:val="2"/>
        <w:rPr>
          <w:rFonts w:hint="eastAsia"/>
        </w:rPr>
      </w:pPr>
    </w:p>
    <w:p>
      <w:pPr>
        <w:pStyle w:val="2"/>
        <w:rPr>
          <w:rFonts w:hint="eastAsia"/>
        </w:rPr>
      </w:pPr>
    </w:p>
    <w:p>
      <w:pPr>
        <w:pStyle w:val="2"/>
        <w:rPr>
          <w:rFonts w:hint="eastAsia"/>
        </w:rPr>
      </w:pPr>
    </w:p>
    <w:p>
      <w:pPr>
        <w:pStyle w:val="2"/>
        <w:rPr>
          <w:rFonts w:hint="eastAsia"/>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5</w:t>
      </w:r>
      <w:r>
        <w:rPr>
          <w:rFonts w:hint="eastAsia" w:ascii="仿宋" w:hAnsi="仿宋" w:eastAsia="仿宋" w:cs="宋体"/>
          <w:b/>
          <w:spacing w:val="-4"/>
          <w:kern w:val="0"/>
          <w:sz w:val="32"/>
          <w:szCs w:val="32"/>
          <w:highlight w:val="none"/>
        </w:rPr>
        <w:t>年政府性基金支出情况表</w:t>
      </w:r>
    </w:p>
    <w:tbl>
      <w:tblPr>
        <w:tblStyle w:val="12"/>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5"/>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205" w:type="dxa"/>
            <w:tcBorders>
              <w:top w:val="nil"/>
              <w:left w:val="nil"/>
              <w:bottom w:val="nil"/>
              <w:right w:val="nil"/>
            </w:tcBorders>
            <w:noWrap/>
            <w:vAlign w:val="top"/>
          </w:tcPr>
          <w:p>
            <w:pPr>
              <w:jc w:val="left"/>
              <w:rPr>
                <w:rFonts w:hint="eastAsia" w:ascii="宋体" w:hAnsi="宋体" w:eastAsia="宋体" w:cs="宋体"/>
                <w:i w:val="0"/>
                <w:iCs w:val="0"/>
                <w:color w:val="000000"/>
                <w:sz w:val="22"/>
                <w:szCs w:val="22"/>
                <w:highlight w:val="none"/>
                <w:u w:val="none"/>
              </w:rPr>
            </w:pPr>
          </w:p>
        </w:tc>
        <w:tc>
          <w:tcPr>
            <w:tcW w:w="3390"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4"/>
                <w:szCs w:val="24"/>
                <w:highlight w:val="none"/>
                <w:u w:val="none"/>
                <w:lang w:val="en-US" w:eastAsia="zh-CN" w:bidi="ar"/>
              </w:rPr>
            </w:pPr>
            <w:r>
              <w:rPr>
                <w:rFonts w:hint="eastAsia" w:ascii="Times New Roman" w:hAnsi="Times New Roman" w:eastAsia="宋体" w:cs="Times New Roman"/>
                <w:b/>
                <w:bCs/>
                <w:i w:val="0"/>
                <w:iCs w:val="0"/>
                <w:color w:val="000000"/>
                <w:kern w:val="0"/>
                <w:sz w:val="24"/>
                <w:szCs w:val="24"/>
                <w:highlight w:val="none"/>
                <w:u w:val="none"/>
                <w:lang w:val="en-US" w:eastAsia="zh-CN" w:bidi="ar"/>
              </w:rPr>
              <w:t>项目</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4"/>
                <w:szCs w:val="24"/>
                <w:highlight w:val="none"/>
                <w:u w:val="none"/>
                <w:lang w:val="en-US" w:eastAsia="zh-CN" w:bidi="ar"/>
              </w:rPr>
            </w:pPr>
            <w:r>
              <w:rPr>
                <w:rFonts w:hint="eastAsia" w:ascii="Times New Roman" w:hAnsi="Times New Roman" w:eastAsia="宋体" w:cs="Times New Roman"/>
                <w:b/>
                <w:bCs/>
                <w:i w:val="0"/>
                <w:iCs w:val="0"/>
                <w:color w:val="000000"/>
                <w:kern w:val="0"/>
                <w:sz w:val="24"/>
                <w:szCs w:val="24"/>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文化旅游体育与传媒支出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农林水支出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城乡社区支出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其他支出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债务付息支出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债务发行费用支出</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4"/>
                <w:szCs w:val="24"/>
                <w:highlight w:val="none"/>
                <w:u w:val="none"/>
                <w:lang w:val="en-US" w:eastAsia="zh-CN" w:bidi="ar"/>
              </w:rPr>
            </w:pPr>
            <w:r>
              <w:rPr>
                <w:rFonts w:hint="eastAsia" w:ascii="Times New Roman" w:hAnsi="Times New Roman" w:eastAsia="宋体" w:cs="Times New Roman"/>
                <w:b/>
                <w:bCs/>
                <w:i w:val="0"/>
                <w:iCs w:val="0"/>
                <w:color w:val="000000"/>
                <w:kern w:val="0"/>
                <w:sz w:val="24"/>
                <w:szCs w:val="24"/>
                <w:highlight w:val="none"/>
                <w:u w:val="none"/>
                <w:lang w:val="en-US" w:eastAsia="zh-CN" w:bidi="ar"/>
              </w:rPr>
              <w:t>合计</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126846</w:t>
            </w:r>
          </w:p>
        </w:tc>
      </w:tr>
    </w:tbl>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200" w:lineRule="atLeast"/>
        <w:jc w:val="center"/>
        <w:textAlignment w:val="auto"/>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5</w:t>
      </w:r>
      <w:r>
        <w:rPr>
          <w:rFonts w:hint="eastAsia" w:ascii="仿宋" w:hAnsi="仿宋" w:eastAsia="仿宋" w:cs="宋体"/>
          <w:b/>
          <w:spacing w:val="-4"/>
          <w:kern w:val="0"/>
          <w:sz w:val="32"/>
          <w:szCs w:val="32"/>
          <w:highlight w:val="none"/>
        </w:rPr>
        <w:t>年社会保险基金收入情况表</w:t>
      </w:r>
    </w:p>
    <w:p>
      <w:pPr>
        <w:pStyle w:val="2"/>
        <w:keepNext w:val="0"/>
        <w:keepLines w:val="0"/>
        <w:pageBreakBefore w:val="0"/>
        <w:widowControl w:val="0"/>
        <w:kinsoku/>
        <w:wordWrap/>
        <w:overflowPunct/>
        <w:topLinePunct w:val="0"/>
        <w:autoSpaceDN/>
        <w:bidi w:val="0"/>
        <w:spacing w:line="200" w:lineRule="atLeast"/>
        <w:ind w:firstLine="5520" w:firstLineChars="2300"/>
        <w:jc w:val="left"/>
        <w:textAlignment w:val="auto"/>
        <w:rPr>
          <w:rFonts w:hint="eastAsia"/>
          <w:sz w:val="20"/>
          <w:szCs w:val="18"/>
        </w:rPr>
      </w:pPr>
      <w:r>
        <w:rPr>
          <w:rFonts w:hint="eastAsia" w:ascii="宋体" w:hAnsi="宋体" w:eastAsia="宋体" w:cs="宋体"/>
          <w:color w:val="000000"/>
          <w:kern w:val="0"/>
          <w:sz w:val="24"/>
          <w:szCs w:val="24"/>
          <w:highlight w:val="none"/>
        </w:rPr>
        <w:t>单位：万元</w:t>
      </w:r>
    </w:p>
    <w:tbl>
      <w:tblPr>
        <w:tblStyle w:val="12"/>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5"/>
        <w:gridCol w:w="507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社会保险基金收入合计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其中：保险费收入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财政补贴收入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利息收入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集体补助收入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转移收入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委托投资收益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10210</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一、城乡居民基本养老保险基金收入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1021001</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其中：保险费收入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1021002</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财政补贴收入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1021003</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利息收入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1101604</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1021005</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集体补助收入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1021004</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委托投资收益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1021099</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10211</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二、机关事业单位基本养老保险基金收入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1021101</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其中：保险费收入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1021102</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财政补贴收入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1021103</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7"/>
                <w:lang w:val="en-US" w:eastAsia="zh-CN" w:bidi="ar"/>
              </w:rPr>
              <w:t xml:space="preserve">          利息收入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1101605</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转移收入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1021199</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bl>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240" w:lineRule="atLeast"/>
        <w:jc w:val="center"/>
        <w:textAlignment w:val="auto"/>
        <w:rPr>
          <w:rFonts w:hint="eastAsia" w:ascii="仿宋" w:hAnsi="仿宋" w:eastAsia="仿宋" w:cs="宋体"/>
          <w:b/>
          <w:spacing w:val="-4"/>
          <w:kern w:val="0"/>
          <w:sz w:val="32"/>
          <w:szCs w:val="32"/>
          <w:highlight w:val="none"/>
        </w:rPr>
      </w:pPr>
      <w:r>
        <w:rPr>
          <w:rFonts w:hint="eastAsia" w:ascii="仿宋" w:hAnsi="仿宋" w:eastAsia="仿宋" w:cs="宋体"/>
          <w:b/>
          <w:spacing w:val="-4"/>
          <w:kern w:val="0"/>
          <w:sz w:val="32"/>
          <w:szCs w:val="32"/>
          <w:highlight w:val="none"/>
        </w:rPr>
        <w:t>202</w:t>
      </w:r>
      <w:r>
        <w:rPr>
          <w:rFonts w:hint="default" w:ascii="仿宋" w:hAnsi="仿宋" w:eastAsia="仿宋" w:cs="宋体"/>
          <w:b/>
          <w:spacing w:val="-4"/>
          <w:kern w:val="0"/>
          <w:sz w:val="32"/>
          <w:szCs w:val="32"/>
          <w:highlight w:val="none"/>
          <w:lang w:val="en-US"/>
        </w:rPr>
        <w:t>5</w:t>
      </w:r>
      <w:r>
        <w:rPr>
          <w:rFonts w:hint="eastAsia" w:ascii="仿宋" w:hAnsi="仿宋" w:eastAsia="仿宋" w:cs="宋体"/>
          <w:b/>
          <w:spacing w:val="-4"/>
          <w:kern w:val="0"/>
          <w:sz w:val="32"/>
          <w:szCs w:val="32"/>
          <w:highlight w:val="none"/>
        </w:rPr>
        <w:t>年社会保险基金支出情况表</w:t>
      </w:r>
    </w:p>
    <w:p>
      <w:pPr>
        <w:pStyle w:val="2"/>
        <w:keepNext w:val="0"/>
        <w:keepLines w:val="0"/>
        <w:pageBreakBefore w:val="0"/>
        <w:widowControl w:val="0"/>
        <w:kinsoku/>
        <w:wordWrap/>
        <w:overflowPunct/>
        <w:topLinePunct w:val="0"/>
        <w:autoSpaceDN/>
        <w:bidi w:val="0"/>
        <w:spacing w:line="200" w:lineRule="atLeast"/>
        <w:ind w:firstLine="5520" w:firstLineChars="2300"/>
        <w:jc w:val="left"/>
        <w:textAlignment w:val="auto"/>
        <w:rPr>
          <w:rFonts w:hint="eastAsia"/>
        </w:rPr>
      </w:pPr>
      <w:r>
        <w:rPr>
          <w:rFonts w:hint="eastAsia" w:ascii="宋体" w:hAnsi="宋体" w:eastAsia="宋体" w:cs="宋体"/>
          <w:color w:val="000000"/>
          <w:kern w:val="0"/>
          <w:sz w:val="24"/>
          <w:szCs w:val="24"/>
          <w:highlight w:val="none"/>
        </w:rPr>
        <w:t>单位：万元</w:t>
      </w:r>
    </w:p>
    <w:tbl>
      <w:tblPr>
        <w:tblStyle w:val="1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478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全区社会保险基金支出合计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其中：社会保险待遇支出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一、城乡居民基本养老保险基金支出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2091001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其中：居民基础养老金支出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2091002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个人账户支出养老金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2301704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2091099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二、机关事业单位基本养老保险基金支出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2091101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其中：基本养老金支出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2301705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转移支出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2091199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bl>
    <w:p>
      <w:pPr>
        <w:pStyle w:val="2"/>
        <w:rPr>
          <w:rFonts w:hint="eastAsia"/>
        </w:rPr>
      </w:pPr>
    </w:p>
    <w:p>
      <w:pPr>
        <w:pStyle w:val="2"/>
        <w:rPr>
          <w:rFonts w:hint="eastAsia"/>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bookmarkStart w:id="0" w:name="_GoBack"/>
      <w:bookmarkEnd w:id="0"/>
    </w:p>
    <w:sectPr>
      <w:footerReference r:id="rId3" w:type="default"/>
      <w:pgSz w:w="11906" w:h="16838"/>
      <w:pgMar w:top="1757"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-86995</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6.85pt;height:144pt;width:144pt;mso-position-horizontal:outside;mso-position-horizontal-relative:margin;mso-wrap-style:none;z-index:251659264;mso-width-relative:page;mso-height-relative:page;" filled="f" stroked="f" coordsize="21600,21600" o:gfxdata="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4chZt1gAAAAgBAAAPAAAAAAAAAAEAIAAAACIA&#10;AABkcnMvZG93bnJldi54bWxQSwECFAAUAAAACACHTuJATJJX/tIBAACeAwAADgAAAAAAAAABACAA&#10;AAAlAQAAZHJzL2Uyb0RvYy54bWxQSwUGAAAAAAYABgBZAQAAaQUAAAAA&#10;">
              <v:fill on="f" focussize="0,0"/>
              <v:stroke on="f"/>
              <v:imagedata o:title=""/>
              <o:lock v:ext="edit" aspectratio="f"/>
              <v:textbox inset="0mm,0mm,0mm,0mm" style="mso-fit-shape-to-text:t;">
                <w:txbxContent>
                  <w:p>
                    <w:pPr>
                      <w:pStyle w:val="8"/>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60ED"/>
    <w:rsid w:val="00957601"/>
    <w:rsid w:val="00FE37AD"/>
    <w:rsid w:val="02A73B69"/>
    <w:rsid w:val="02F20765"/>
    <w:rsid w:val="038E27E2"/>
    <w:rsid w:val="04F62134"/>
    <w:rsid w:val="057316FE"/>
    <w:rsid w:val="05883C21"/>
    <w:rsid w:val="06F20248"/>
    <w:rsid w:val="07FD79D6"/>
    <w:rsid w:val="09965645"/>
    <w:rsid w:val="0A7C3745"/>
    <w:rsid w:val="0B5C7530"/>
    <w:rsid w:val="0BBA0BCE"/>
    <w:rsid w:val="0C6C084A"/>
    <w:rsid w:val="0E234232"/>
    <w:rsid w:val="0E7664C8"/>
    <w:rsid w:val="0E8629AA"/>
    <w:rsid w:val="0F5512C6"/>
    <w:rsid w:val="0FAD21F4"/>
    <w:rsid w:val="108871AD"/>
    <w:rsid w:val="116F3C27"/>
    <w:rsid w:val="124037F5"/>
    <w:rsid w:val="149B66DD"/>
    <w:rsid w:val="17641A68"/>
    <w:rsid w:val="183A58CF"/>
    <w:rsid w:val="1B61067A"/>
    <w:rsid w:val="1C4C3A51"/>
    <w:rsid w:val="1CE252F3"/>
    <w:rsid w:val="1CE56BF5"/>
    <w:rsid w:val="1D052F29"/>
    <w:rsid w:val="1FED10A7"/>
    <w:rsid w:val="21A57AC0"/>
    <w:rsid w:val="23C47ABA"/>
    <w:rsid w:val="23C62FBD"/>
    <w:rsid w:val="244A2AD6"/>
    <w:rsid w:val="246A734E"/>
    <w:rsid w:val="25C35001"/>
    <w:rsid w:val="27447A7C"/>
    <w:rsid w:val="28154685"/>
    <w:rsid w:val="28A11F36"/>
    <w:rsid w:val="2A8E045D"/>
    <w:rsid w:val="2C1E222B"/>
    <w:rsid w:val="2CD33F1A"/>
    <w:rsid w:val="2CEE2546"/>
    <w:rsid w:val="2CF73565"/>
    <w:rsid w:val="2D3C00C6"/>
    <w:rsid w:val="2DBF4E1C"/>
    <w:rsid w:val="2ECD6C74"/>
    <w:rsid w:val="2F472B7D"/>
    <w:rsid w:val="2FB129AC"/>
    <w:rsid w:val="309E5384"/>
    <w:rsid w:val="32D260EE"/>
    <w:rsid w:val="33B850E7"/>
    <w:rsid w:val="349A7C58"/>
    <w:rsid w:val="34AC6C79"/>
    <w:rsid w:val="353C5263"/>
    <w:rsid w:val="362B296D"/>
    <w:rsid w:val="37506ECC"/>
    <w:rsid w:val="38604F41"/>
    <w:rsid w:val="3A7257F0"/>
    <w:rsid w:val="3AD50F46"/>
    <w:rsid w:val="3C8903DE"/>
    <w:rsid w:val="3D900F90"/>
    <w:rsid w:val="3E49293D"/>
    <w:rsid w:val="3F620E8B"/>
    <w:rsid w:val="41235B54"/>
    <w:rsid w:val="43634CD1"/>
    <w:rsid w:val="45316114"/>
    <w:rsid w:val="461E2519"/>
    <w:rsid w:val="482C0F74"/>
    <w:rsid w:val="485A1E43"/>
    <w:rsid w:val="4C4C77BA"/>
    <w:rsid w:val="4F7226C3"/>
    <w:rsid w:val="517F4BC4"/>
    <w:rsid w:val="51894824"/>
    <w:rsid w:val="52C12C52"/>
    <w:rsid w:val="52ED4D9B"/>
    <w:rsid w:val="53397E00"/>
    <w:rsid w:val="536611E1"/>
    <w:rsid w:val="53990737"/>
    <w:rsid w:val="556D418B"/>
    <w:rsid w:val="55984398"/>
    <w:rsid w:val="57921557"/>
    <w:rsid w:val="5A7E1904"/>
    <w:rsid w:val="5C767840"/>
    <w:rsid w:val="5CA11989"/>
    <w:rsid w:val="5D083350"/>
    <w:rsid w:val="5D9F6029"/>
    <w:rsid w:val="5DFD63C2"/>
    <w:rsid w:val="5E4F01DF"/>
    <w:rsid w:val="5E654AED"/>
    <w:rsid w:val="605D4C28"/>
    <w:rsid w:val="618D7518"/>
    <w:rsid w:val="626165F7"/>
    <w:rsid w:val="62C32E18"/>
    <w:rsid w:val="64BA54D1"/>
    <w:rsid w:val="65472E61"/>
    <w:rsid w:val="65BF14FC"/>
    <w:rsid w:val="687B4BF8"/>
    <w:rsid w:val="68D60CF7"/>
    <w:rsid w:val="68DD1419"/>
    <w:rsid w:val="69090FE4"/>
    <w:rsid w:val="69F327EA"/>
    <w:rsid w:val="69F85174"/>
    <w:rsid w:val="6B0B3C2C"/>
    <w:rsid w:val="6B3A6CFA"/>
    <w:rsid w:val="6CF87F54"/>
    <w:rsid w:val="6DFE1A00"/>
    <w:rsid w:val="6F0D1AA8"/>
    <w:rsid w:val="6F4C29A7"/>
    <w:rsid w:val="736672E4"/>
    <w:rsid w:val="75444F5E"/>
    <w:rsid w:val="757B0F4D"/>
    <w:rsid w:val="75EB6C83"/>
    <w:rsid w:val="76D449DC"/>
    <w:rsid w:val="76DF0815"/>
    <w:rsid w:val="77B83A96"/>
    <w:rsid w:val="78461060"/>
    <w:rsid w:val="79933EA5"/>
    <w:rsid w:val="7A020420"/>
    <w:rsid w:val="7A284BBE"/>
    <w:rsid w:val="7AEF353D"/>
    <w:rsid w:val="7B271F47"/>
    <w:rsid w:val="7B3B62E0"/>
    <w:rsid w:val="7CD70E5F"/>
    <w:rsid w:val="7D7513B3"/>
    <w:rsid w:val="7F722FBD"/>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Autospacing="0" w:afterAutospacing="0" w:line="580" w:lineRule="exact"/>
      <w:ind w:firstLine="0" w:firstLineChars="0"/>
      <w:jc w:val="center"/>
      <w:outlineLvl w:val="0"/>
    </w:pPr>
    <w:rPr>
      <w:rFonts w:ascii="Calibri" w:hAnsi="Calibri" w:eastAsia="方正小标宋简体" w:cs="Times New Roman"/>
      <w:b/>
      <w:kern w:val="44"/>
      <w:sz w:val="44"/>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600" w:lineRule="exact"/>
      <w:ind w:left="420" w:leftChars="200" w:firstLine="420"/>
    </w:pPr>
    <w:rPr>
      <w:rFonts w:ascii="Times New Roman" w:eastAsia="仿宋_GB2312"/>
      <w:szCs w:val="20"/>
    </w:rPr>
  </w:style>
  <w:style w:type="paragraph" w:styleId="3">
    <w:name w:val="Body Text Indent"/>
    <w:basedOn w:val="1"/>
    <w:next w:val="4"/>
    <w:qFormat/>
    <w:uiPriority w:val="0"/>
    <w:pPr>
      <w:ind w:left="200" w:leftChars="200"/>
    </w:pPr>
    <w:rPr>
      <w:rFonts w:ascii="Times New Roman" w:hAnsi="Times New Roman"/>
    </w:rPr>
  </w:style>
  <w:style w:type="paragraph" w:styleId="4">
    <w:name w:val="Body Text"/>
    <w:basedOn w:val="1"/>
    <w:next w:val="5"/>
    <w:qFormat/>
    <w:uiPriority w:val="0"/>
    <w:pPr>
      <w:spacing w:line="600" w:lineRule="exact"/>
    </w:pPr>
    <w:rPr>
      <w:rFonts w:ascii="仿宋_GB2312" w:eastAsia="仿宋_GB2312"/>
    </w:rPr>
  </w:style>
  <w:style w:type="paragraph" w:styleId="5">
    <w:name w:val="toc 5"/>
    <w:basedOn w:val="1"/>
    <w:next w:val="1"/>
    <w:qFormat/>
    <w:uiPriority w:val="39"/>
    <w:pPr>
      <w:ind w:left="1680" w:leftChars="800"/>
    </w:pPr>
  </w:style>
  <w:style w:type="paragraph" w:styleId="7">
    <w:name w:val="Normal Indent"/>
    <w:basedOn w:val="1"/>
    <w:qFormat/>
    <w:uiPriority w:val="99"/>
    <w:pPr>
      <w:ind w:firstLine="200" w:firstLine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rPr>
      <w:rFonts w:ascii="Calibri" w:hAnsi="Calibri" w:eastAsia="宋体" w:cs="Times New Roman"/>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0"/>
    <w:rPr>
      <w:i/>
    </w:rPr>
  </w:style>
  <w:style w:type="paragraph" w:customStyle="1" w:styleId="17">
    <w:name w:val="Normal Indent1"/>
    <w:basedOn w:val="1"/>
    <w:qFormat/>
    <w:uiPriority w:val="0"/>
    <w:pPr>
      <w:widowControl w:val="0"/>
      <w:adjustRightInd/>
      <w:snapToGrid/>
      <w:spacing w:after="0" w:line="660" w:lineRule="exact"/>
      <w:ind w:firstLine="720" w:firstLineChars="200"/>
      <w:jc w:val="both"/>
    </w:pPr>
    <w:rPr>
      <w:rFonts w:ascii="Calibri" w:hAnsi="Calibri" w:eastAsia="楷体_GB2312" w:cs="Times New Roman"/>
      <w:kern w:val="2"/>
      <w:sz w:val="36"/>
      <w:szCs w:val="36"/>
    </w:rPr>
  </w:style>
  <w:style w:type="paragraph" w:customStyle="1" w:styleId="18">
    <w:name w:val="NormalIndent"/>
    <w:basedOn w:val="1"/>
    <w:qFormat/>
    <w:uiPriority w:val="0"/>
    <w:pPr>
      <w:widowControl/>
      <w:ind w:firstLine="420"/>
      <w:textAlignment w:val="baseline"/>
    </w:pPr>
    <w:rPr>
      <w:szCs w:val="20"/>
    </w:rPr>
  </w:style>
  <w:style w:type="paragraph" w:customStyle="1" w:styleId="19">
    <w:name w:val="默认段落字体 Para Char Char Char Char Char Char Char"/>
    <w:basedOn w:val="1"/>
    <w:qFormat/>
    <w:uiPriority w:val="0"/>
    <w:rPr>
      <w:sz w:val="13"/>
      <w:szCs w:val="13"/>
    </w:rPr>
  </w:style>
  <w:style w:type="paragraph" w:customStyle="1" w:styleId="20">
    <w:name w:val="正文文本首行缩进 2"/>
    <w:basedOn w:val="3"/>
    <w:next w:val="1"/>
    <w:qFormat/>
    <w:uiPriority w:val="0"/>
    <w:pPr>
      <w:ind w:firstLine="200" w:firstLineChars="200"/>
    </w:pPr>
  </w:style>
  <w:style w:type="character" w:customStyle="1" w:styleId="21">
    <w:name w:val="font41"/>
    <w:basedOn w:val="13"/>
    <w:qFormat/>
    <w:uiPriority w:val="0"/>
    <w:rPr>
      <w:rFonts w:hint="eastAsia" w:ascii="宋体" w:hAnsi="宋体" w:eastAsia="宋体" w:cs="宋体"/>
      <w:b/>
      <w:bCs/>
      <w:color w:val="000000"/>
      <w:sz w:val="24"/>
      <w:szCs w:val="24"/>
      <w:u w:val="none"/>
    </w:rPr>
  </w:style>
  <w:style w:type="character" w:customStyle="1" w:styleId="22">
    <w:name w:val="font71"/>
    <w:basedOn w:val="13"/>
    <w:qFormat/>
    <w:uiPriority w:val="0"/>
    <w:rPr>
      <w:rFonts w:hint="default" w:ascii="Times New Roman" w:hAnsi="Times New Roman" w:cs="Times New Roman"/>
      <w:b/>
      <w:bCs/>
      <w:color w:val="000000"/>
      <w:sz w:val="22"/>
      <w:szCs w:val="22"/>
      <w:u w:val="none"/>
    </w:rPr>
  </w:style>
  <w:style w:type="character" w:customStyle="1" w:styleId="23">
    <w:name w:val="font51"/>
    <w:basedOn w:val="13"/>
    <w:qFormat/>
    <w:uiPriority w:val="0"/>
    <w:rPr>
      <w:rFonts w:hint="eastAsia" w:ascii="宋体" w:hAnsi="宋体" w:eastAsia="宋体" w:cs="宋体"/>
      <w:b/>
      <w:bCs/>
      <w:color w:val="000000"/>
      <w:sz w:val="22"/>
      <w:szCs w:val="22"/>
      <w:u w:val="none"/>
    </w:rPr>
  </w:style>
  <w:style w:type="character" w:customStyle="1" w:styleId="24">
    <w:name w:val="font91"/>
    <w:basedOn w:val="13"/>
    <w:qFormat/>
    <w:uiPriority w:val="0"/>
    <w:rPr>
      <w:rFonts w:hint="default" w:ascii="Times New Roman" w:hAnsi="Times New Roman" w:cs="Times New Roman"/>
      <w:b/>
      <w:bCs/>
      <w:color w:val="000000"/>
      <w:sz w:val="24"/>
      <w:szCs w:val="24"/>
      <w:u w:val="none"/>
    </w:rPr>
  </w:style>
  <w:style w:type="character" w:customStyle="1" w:styleId="25">
    <w:name w:val="font11"/>
    <w:basedOn w:val="13"/>
    <w:qFormat/>
    <w:uiPriority w:val="0"/>
    <w:rPr>
      <w:rFonts w:hint="eastAsia" w:ascii="宋体" w:hAnsi="宋体" w:eastAsia="宋体" w:cs="宋体"/>
      <w:b/>
      <w:bCs/>
      <w:color w:val="000000"/>
      <w:sz w:val="24"/>
      <w:szCs w:val="24"/>
      <w:u w:val="none"/>
    </w:rPr>
  </w:style>
  <w:style w:type="character" w:customStyle="1" w:styleId="26">
    <w:name w:val="font81"/>
    <w:basedOn w:val="13"/>
    <w:qFormat/>
    <w:uiPriority w:val="0"/>
    <w:rPr>
      <w:rFonts w:hint="eastAsia" w:ascii="宋体" w:hAnsi="宋体" w:eastAsia="宋体" w:cs="宋体"/>
      <w:b/>
      <w:bCs/>
      <w:color w:val="000000"/>
      <w:sz w:val="24"/>
      <w:szCs w:val="24"/>
      <w:u w:val="none"/>
    </w:rPr>
  </w:style>
  <w:style w:type="character" w:customStyle="1" w:styleId="27">
    <w:name w:val="font6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6927</Words>
  <Characters>7613</Characters>
  <Paragraphs>86</Paragraphs>
  <TotalTime>1</TotalTime>
  <ScaleCrop>false</ScaleCrop>
  <LinksUpToDate>false</LinksUpToDate>
  <CharactersWithSpaces>7619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2022-12-26T02:13:00Z</dcterms:created>
  <dc:creator>Administrator</dc:creator>
  <cp:lastModifiedBy>user</cp:lastModifiedBy>
  <cp:lastPrinted>2025-01-03T00:46:00Z</cp:lastPrinted>
  <dcterms:modified xsi:type="dcterms:W3CDTF">2025-02-21T09:06:35Z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8D740918B0624882BCA571084DE004D6</vt:lpwstr>
  </property>
</Properties>
</file>