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426保定市徐水区应急管理局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899.03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951.56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899.03</w:t>
            </w:r>
          </w:p>
        </w:tc>
        <w:tc>
          <w:tcPr>
            <w:tcW w:w="4535" w:type="dxa"/>
            <w:vAlign w:val="center"/>
          </w:tcPr>
          <w:p>
            <w:pPr>
              <w:pStyle w:val="16"/>
            </w:pPr>
            <w:r>
              <w:t>本年支出合计</w:t>
            </w:r>
          </w:p>
        </w:tc>
        <w:tc>
          <w:tcPr>
            <w:tcW w:w="2126" w:type="dxa"/>
            <w:vAlign w:val="center"/>
          </w:tcPr>
          <w:p>
            <w:pPr>
              <w:pStyle w:val="17"/>
            </w:pPr>
            <w:r>
              <w:t>1056.86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157.83</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1056.86</w:t>
            </w:r>
          </w:p>
        </w:tc>
        <w:tc>
          <w:tcPr>
            <w:tcW w:w="4535" w:type="dxa"/>
            <w:vAlign w:val="center"/>
          </w:tcPr>
          <w:p>
            <w:pPr>
              <w:pStyle w:val="16"/>
            </w:pPr>
            <w:r>
              <w:t>支出总计</w:t>
            </w:r>
          </w:p>
        </w:tc>
        <w:tc>
          <w:tcPr>
            <w:tcW w:w="2126" w:type="dxa"/>
            <w:vAlign w:val="center"/>
          </w:tcPr>
          <w:p>
            <w:pPr>
              <w:pStyle w:val="17"/>
            </w:pPr>
            <w:r>
              <w:t>1056.86</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426保定市徐水区应急管理局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1056.86</w:t>
            </w:r>
          </w:p>
        </w:tc>
        <w:tc>
          <w:tcPr>
            <w:tcW w:w="1134" w:type="dxa"/>
            <w:vAlign w:val="center"/>
          </w:tcPr>
          <w:p>
            <w:pPr>
              <w:pStyle w:val="17"/>
            </w:pPr>
            <w:r>
              <w:t>899.03</w:t>
            </w:r>
          </w:p>
        </w:tc>
        <w:tc>
          <w:tcPr>
            <w:tcW w:w="1134" w:type="dxa"/>
            <w:vAlign w:val="center"/>
          </w:tcPr>
          <w:p>
            <w:pPr>
              <w:pStyle w:val="17"/>
            </w:pPr>
            <w:r>
              <w:t>899.03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157.83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60.68</w:t>
            </w:r>
          </w:p>
        </w:tc>
        <w:tc>
          <w:tcPr>
            <w:tcW w:w="1134" w:type="dxa"/>
            <w:vAlign w:val="center"/>
          </w:tcPr>
          <w:p>
            <w:pPr>
              <w:pStyle w:val="13"/>
            </w:pPr>
            <w:r>
              <w:t>60.68</w:t>
            </w:r>
          </w:p>
        </w:tc>
        <w:tc>
          <w:tcPr>
            <w:tcW w:w="1134" w:type="dxa"/>
            <w:vAlign w:val="center"/>
          </w:tcPr>
          <w:p>
            <w:pPr>
              <w:pStyle w:val="13"/>
            </w:pPr>
            <w:r>
              <w:t>60.68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60.32</w:t>
            </w:r>
          </w:p>
        </w:tc>
        <w:tc>
          <w:tcPr>
            <w:tcW w:w="1134" w:type="dxa"/>
            <w:vAlign w:val="center"/>
          </w:tcPr>
          <w:p>
            <w:pPr>
              <w:pStyle w:val="13"/>
            </w:pPr>
            <w:r>
              <w:t>60.32</w:t>
            </w:r>
          </w:p>
        </w:tc>
        <w:tc>
          <w:tcPr>
            <w:tcW w:w="1134" w:type="dxa"/>
            <w:vAlign w:val="center"/>
          </w:tcPr>
          <w:p>
            <w:pPr>
              <w:pStyle w:val="13"/>
            </w:pPr>
            <w:r>
              <w:t>60.32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38.06</w:t>
            </w:r>
          </w:p>
        </w:tc>
        <w:tc>
          <w:tcPr>
            <w:tcW w:w="1134" w:type="dxa"/>
            <w:vAlign w:val="center"/>
          </w:tcPr>
          <w:p>
            <w:pPr>
              <w:pStyle w:val="13"/>
            </w:pPr>
            <w:r>
              <w:t>38.06</w:t>
            </w:r>
          </w:p>
        </w:tc>
        <w:tc>
          <w:tcPr>
            <w:tcW w:w="1134" w:type="dxa"/>
            <w:vAlign w:val="center"/>
          </w:tcPr>
          <w:p>
            <w:pPr>
              <w:pStyle w:val="13"/>
            </w:pPr>
            <w:r>
              <w:t>38.06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951.56</w:t>
            </w:r>
          </w:p>
        </w:tc>
        <w:tc>
          <w:tcPr>
            <w:tcW w:w="1134" w:type="dxa"/>
            <w:vAlign w:val="center"/>
          </w:tcPr>
          <w:p>
            <w:pPr>
              <w:pStyle w:val="13"/>
            </w:pPr>
            <w:r>
              <w:t>793.73</w:t>
            </w:r>
          </w:p>
        </w:tc>
        <w:tc>
          <w:tcPr>
            <w:tcW w:w="1134" w:type="dxa"/>
            <w:vAlign w:val="center"/>
          </w:tcPr>
          <w:p>
            <w:pPr>
              <w:pStyle w:val="13"/>
            </w:pPr>
            <w:r>
              <w:t>793.73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869.16</w:t>
            </w:r>
          </w:p>
        </w:tc>
        <w:tc>
          <w:tcPr>
            <w:tcW w:w="1134" w:type="dxa"/>
            <w:vAlign w:val="center"/>
          </w:tcPr>
          <w:p>
            <w:pPr>
              <w:pStyle w:val="13"/>
            </w:pPr>
            <w:r>
              <w:t>719.33</w:t>
            </w:r>
          </w:p>
        </w:tc>
        <w:tc>
          <w:tcPr>
            <w:tcW w:w="1134" w:type="dxa"/>
            <w:vAlign w:val="center"/>
          </w:tcPr>
          <w:p>
            <w:pPr>
              <w:pStyle w:val="13"/>
            </w:pPr>
            <w:r>
              <w:t>719.33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2240101</w:t>
            </w:r>
          </w:p>
        </w:tc>
        <w:tc>
          <w:tcPr>
            <w:tcW w:w="1559" w:type="dxa"/>
            <w:vAlign w:val="center"/>
          </w:tcPr>
          <w:p>
            <w:pPr>
              <w:pStyle w:val="14"/>
            </w:pPr>
            <w:r>
              <w:t>行政运行</w:t>
            </w:r>
          </w:p>
        </w:tc>
        <w:tc>
          <w:tcPr>
            <w:tcW w:w="1134" w:type="dxa"/>
            <w:vAlign w:val="center"/>
          </w:tcPr>
          <w:p>
            <w:pPr>
              <w:pStyle w:val="13"/>
            </w:pPr>
            <w:r>
              <w:t>329.01</w:t>
            </w:r>
          </w:p>
        </w:tc>
        <w:tc>
          <w:tcPr>
            <w:tcW w:w="1134" w:type="dxa"/>
            <w:vAlign w:val="center"/>
          </w:tcPr>
          <w:p>
            <w:pPr>
              <w:pStyle w:val="13"/>
            </w:pPr>
            <w:r>
              <w:t>329.01</w:t>
            </w:r>
          </w:p>
        </w:tc>
        <w:tc>
          <w:tcPr>
            <w:tcW w:w="1134" w:type="dxa"/>
            <w:vAlign w:val="center"/>
          </w:tcPr>
          <w:p>
            <w:pPr>
              <w:pStyle w:val="13"/>
            </w:pPr>
            <w:r>
              <w:t>329.01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311.39</w:t>
            </w:r>
          </w:p>
        </w:tc>
        <w:tc>
          <w:tcPr>
            <w:tcW w:w="1134" w:type="dxa"/>
            <w:vAlign w:val="center"/>
          </w:tcPr>
          <w:p>
            <w:pPr>
              <w:pStyle w:val="13"/>
            </w:pPr>
            <w:r>
              <w:t>311.39</w:t>
            </w:r>
          </w:p>
        </w:tc>
        <w:tc>
          <w:tcPr>
            <w:tcW w:w="1134" w:type="dxa"/>
            <w:vAlign w:val="center"/>
          </w:tcPr>
          <w:p>
            <w:pPr>
              <w:pStyle w:val="13"/>
            </w:pPr>
            <w:r>
              <w:t>311.39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149.83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27.56</w:t>
            </w:r>
          </w:p>
        </w:tc>
        <w:tc>
          <w:tcPr>
            <w:tcW w:w="1134" w:type="dxa"/>
            <w:vAlign w:val="center"/>
          </w:tcPr>
          <w:p>
            <w:pPr>
              <w:pStyle w:val="13"/>
            </w:pPr>
            <w:r>
              <w:t>27.56</w:t>
            </w:r>
          </w:p>
        </w:tc>
        <w:tc>
          <w:tcPr>
            <w:tcW w:w="1134" w:type="dxa"/>
            <w:vAlign w:val="center"/>
          </w:tcPr>
          <w:p>
            <w:pPr>
              <w:pStyle w:val="13"/>
            </w:pPr>
            <w:r>
              <w:t>27.56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2240150</w:t>
            </w:r>
          </w:p>
        </w:tc>
        <w:tc>
          <w:tcPr>
            <w:tcW w:w="1559" w:type="dxa"/>
            <w:vAlign w:val="center"/>
          </w:tcPr>
          <w:p>
            <w:pPr>
              <w:pStyle w:val="14"/>
            </w:pPr>
            <w:r>
              <w:t>事业运行</w:t>
            </w:r>
          </w:p>
        </w:tc>
        <w:tc>
          <w:tcPr>
            <w:tcW w:w="1134" w:type="dxa"/>
            <w:vAlign w:val="center"/>
          </w:tcPr>
          <w:p>
            <w:pPr>
              <w:pStyle w:val="13"/>
            </w:pPr>
            <w:r>
              <w:t>51.38</w:t>
            </w:r>
          </w:p>
        </w:tc>
        <w:tc>
          <w:tcPr>
            <w:tcW w:w="1134" w:type="dxa"/>
            <w:vAlign w:val="center"/>
          </w:tcPr>
          <w:p>
            <w:pPr>
              <w:pStyle w:val="13"/>
            </w:pPr>
            <w:r>
              <w:t>51.38</w:t>
            </w:r>
          </w:p>
        </w:tc>
        <w:tc>
          <w:tcPr>
            <w:tcW w:w="1134" w:type="dxa"/>
            <w:vAlign w:val="center"/>
          </w:tcPr>
          <w:p>
            <w:pPr>
              <w:pStyle w:val="13"/>
            </w:pPr>
            <w:r>
              <w:t>51.38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82.40</w:t>
            </w:r>
          </w:p>
        </w:tc>
        <w:tc>
          <w:tcPr>
            <w:tcW w:w="1134" w:type="dxa"/>
            <w:vAlign w:val="center"/>
          </w:tcPr>
          <w:p>
            <w:pPr>
              <w:pStyle w:val="13"/>
            </w:pPr>
            <w:r>
              <w:t>74.40</w:t>
            </w:r>
          </w:p>
        </w:tc>
        <w:tc>
          <w:tcPr>
            <w:tcW w:w="1134" w:type="dxa"/>
            <w:vAlign w:val="center"/>
          </w:tcPr>
          <w:p>
            <w:pPr>
              <w:pStyle w:val="13"/>
            </w:pPr>
            <w:r>
              <w:t>74.40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2240703</w:t>
            </w:r>
          </w:p>
        </w:tc>
        <w:tc>
          <w:tcPr>
            <w:tcW w:w="1559" w:type="dxa"/>
            <w:vAlign w:val="center"/>
          </w:tcPr>
          <w:p>
            <w:pPr>
              <w:pStyle w:val="14"/>
            </w:pPr>
            <w:r>
              <w:t>自然灾害救灾补助</w:t>
            </w:r>
          </w:p>
        </w:tc>
        <w:tc>
          <w:tcPr>
            <w:tcW w:w="1134" w:type="dxa"/>
            <w:vAlign w:val="center"/>
          </w:tcPr>
          <w:p>
            <w:pPr>
              <w:pStyle w:val="13"/>
            </w:pPr>
            <w:r>
              <w:t>82.40</w:t>
            </w:r>
          </w:p>
        </w:tc>
        <w:tc>
          <w:tcPr>
            <w:tcW w:w="1134" w:type="dxa"/>
            <w:vAlign w:val="center"/>
          </w:tcPr>
          <w:p>
            <w:pPr>
              <w:pStyle w:val="13"/>
            </w:pPr>
            <w:r>
              <w:t>74.40</w:t>
            </w:r>
          </w:p>
        </w:tc>
        <w:tc>
          <w:tcPr>
            <w:tcW w:w="1134" w:type="dxa"/>
            <w:vAlign w:val="center"/>
          </w:tcPr>
          <w:p>
            <w:pPr>
              <w:pStyle w:val="13"/>
            </w:pPr>
            <w:r>
              <w:t>74.40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1056.86</w:t>
            </w:r>
          </w:p>
        </w:tc>
        <w:tc>
          <w:tcPr>
            <w:tcW w:w="1361" w:type="dxa"/>
            <w:vAlign w:val="center"/>
          </w:tcPr>
          <w:p>
            <w:pPr>
              <w:pStyle w:val="17"/>
            </w:pPr>
            <w:r>
              <w:t>485.32</w:t>
            </w:r>
          </w:p>
        </w:tc>
        <w:tc>
          <w:tcPr>
            <w:tcW w:w="1361" w:type="dxa"/>
            <w:vAlign w:val="center"/>
          </w:tcPr>
          <w:p>
            <w:pPr>
              <w:pStyle w:val="17"/>
            </w:pPr>
            <w:r>
              <w:t>571.54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60.68</w:t>
            </w:r>
          </w:p>
        </w:tc>
        <w:tc>
          <w:tcPr>
            <w:tcW w:w="1361" w:type="dxa"/>
            <w:vAlign w:val="center"/>
          </w:tcPr>
          <w:p>
            <w:pPr>
              <w:pStyle w:val="13"/>
            </w:pPr>
            <w:r>
              <w:t>60.32</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60.32</w:t>
            </w:r>
          </w:p>
        </w:tc>
        <w:tc>
          <w:tcPr>
            <w:tcW w:w="1361" w:type="dxa"/>
            <w:vAlign w:val="center"/>
          </w:tcPr>
          <w:p>
            <w:pPr>
              <w:pStyle w:val="13"/>
            </w:pPr>
            <w:r>
              <w:t>60.32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22.26</w:t>
            </w:r>
          </w:p>
        </w:tc>
        <w:tc>
          <w:tcPr>
            <w:tcW w:w="1361" w:type="dxa"/>
            <w:vAlign w:val="center"/>
          </w:tcPr>
          <w:p>
            <w:pPr>
              <w:pStyle w:val="13"/>
            </w:pPr>
            <w:r>
              <w:t>22.26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38.06</w:t>
            </w:r>
          </w:p>
        </w:tc>
        <w:tc>
          <w:tcPr>
            <w:tcW w:w="1361" w:type="dxa"/>
            <w:vAlign w:val="center"/>
          </w:tcPr>
          <w:p>
            <w:pPr>
              <w:pStyle w:val="13"/>
            </w:pPr>
            <w:r>
              <w:t>38.06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951.56</w:t>
            </w:r>
          </w:p>
        </w:tc>
        <w:tc>
          <w:tcPr>
            <w:tcW w:w="1361" w:type="dxa"/>
            <w:vAlign w:val="center"/>
          </w:tcPr>
          <w:p>
            <w:pPr>
              <w:pStyle w:val="13"/>
            </w:pPr>
            <w:r>
              <w:t>380.38</w:t>
            </w:r>
          </w:p>
        </w:tc>
        <w:tc>
          <w:tcPr>
            <w:tcW w:w="1361" w:type="dxa"/>
            <w:vAlign w:val="center"/>
          </w:tcPr>
          <w:p>
            <w:pPr>
              <w:pStyle w:val="13"/>
            </w:pPr>
            <w:r>
              <w:t>571.18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869.16</w:t>
            </w:r>
          </w:p>
        </w:tc>
        <w:tc>
          <w:tcPr>
            <w:tcW w:w="1361" w:type="dxa"/>
            <w:vAlign w:val="center"/>
          </w:tcPr>
          <w:p>
            <w:pPr>
              <w:pStyle w:val="13"/>
            </w:pPr>
            <w:r>
              <w:t>380.38</w:t>
            </w:r>
          </w:p>
        </w:tc>
        <w:tc>
          <w:tcPr>
            <w:tcW w:w="1361" w:type="dxa"/>
            <w:vAlign w:val="center"/>
          </w:tcPr>
          <w:p>
            <w:pPr>
              <w:pStyle w:val="13"/>
            </w:pPr>
            <w:r>
              <w:t>488.78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2240101</w:t>
            </w:r>
          </w:p>
        </w:tc>
        <w:tc>
          <w:tcPr>
            <w:tcW w:w="4535" w:type="dxa"/>
            <w:vAlign w:val="center"/>
          </w:tcPr>
          <w:p>
            <w:pPr>
              <w:pStyle w:val="14"/>
            </w:pPr>
            <w:r>
              <w:t>行政运行</w:t>
            </w:r>
          </w:p>
        </w:tc>
        <w:tc>
          <w:tcPr>
            <w:tcW w:w="1361" w:type="dxa"/>
            <w:vAlign w:val="center"/>
          </w:tcPr>
          <w:p>
            <w:pPr>
              <w:pStyle w:val="13"/>
            </w:pPr>
            <w:r>
              <w:t>329.01</w:t>
            </w:r>
          </w:p>
        </w:tc>
        <w:tc>
          <w:tcPr>
            <w:tcW w:w="1361" w:type="dxa"/>
            <w:vAlign w:val="center"/>
          </w:tcPr>
          <w:p>
            <w:pPr>
              <w:pStyle w:val="13"/>
            </w:pPr>
            <w:r>
              <w:t>329.01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311.39</w:t>
            </w:r>
          </w:p>
        </w:tc>
        <w:tc>
          <w:tcPr>
            <w:tcW w:w="1361" w:type="dxa"/>
            <w:vAlign w:val="center"/>
          </w:tcPr>
          <w:p>
            <w:pPr>
              <w:pStyle w:val="13"/>
            </w:pPr>
          </w:p>
        </w:tc>
        <w:tc>
          <w:tcPr>
            <w:tcW w:w="1361" w:type="dxa"/>
            <w:vAlign w:val="center"/>
          </w:tcPr>
          <w:p>
            <w:pPr>
              <w:pStyle w:val="13"/>
            </w:pPr>
            <w:r>
              <w:t>311.39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149.83</w:t>
            </w:r>
          </w:p>
        </w:tc>
        <w:tc>
          <w:tcPr>
            <w:tcW w:w="1361" w:type="dxa"/>
            <w:vAlign w:val="center"/>
          </w:tcPr>
          <w:p>
            <w:pPr>
              <w:pStyle w:val="13"/>
            </w:pPr>
          </w:p>
        </w:tc>
        <w:tc>
          <w:tcPr>
            <w:tcW w:w="1361" w:type="dxa"/>
            <w:vAlign w:val="center"/>
          </w:tcPr>
          <w:p>
            <w:pPr>
              <w:pStyle w:val="13"/>
            </w:pPr>
            <w:r>
              <w:t>149.83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27.56</w:t>
            </w:r>
          </w:p>
        </w:tc>
        <w:tc>
          <w:tcPr>
            <w:tcW w:w="1361" w:type="dxa"/>
            <w:vAlign w:val="center"/>
          </w:tcPr>
          <w:p>
            <w:pPr>
              <w:pStyle w:val="13"/>
            </w:pPr>
          </w:p>
        </w:tc>
        <w:tc>
          <w:tcPr>
            <w:tcW w:w="1361" w:type="dxa"/>
            <w:vAlign w:val="center"/>
          </w:tcPr>
          <w:p>
            <w:pPr>
              <w:pStyle w:val="13"/>
            </w:pPr>
            <w:r>
              <w:t>27.56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2240150</w:t>
            </w:r>
          </w:p>
        </w:tc>
        <w:tc>
          <w:tcPr>
            <w:tcW w:w="4535" w:type="dxa"/>
            <w:vAlign w:val="center"/>
          </w:tcPr>
          <w:p>
            <w:pPr>
              <w:pStyle w:val="14"/>
            </w:pPr>
            <w:r>
              <w:t>事业运行</w:t>
            </w:r>
          </w:p>
        </w:tc>
        <w:tc>
          <w:tcPr>
            <w:tcW w:w="1361" w:type="dxa"/>
            <w:vAlign w:val="center"/>
          </w:tcPr>
          <w:p>
            <w:pPr>
              <w:pStyle w:val="13"/>
            </w:pPr>
            <w:r>
              <w:t>51.38</w:t>
            </w:r>
          </w:p>
        </w:tc>
        <w:tc>
          <w:tcPr>
            <w:tcW w:w="1361" w:type="dxa"/>
            <w:vAlign w:val="center"/>
          </w:tcPr>
          <w:p>
            <w:pPr>
              <w:pStyle w:val="13"/>
            </w:pPr>
            <w:r>
              <w:t>51.38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2240703</w:t>
            </w:r>
          </w:p>
        </w:tc>
        <w:tc>
          <w:tcPr>
            <w:tcW w:w="4535" w:type="dxa"/>
            <w:vAlign w:val="center"/>
          </w:tcPr>
          <w:p>
            <w:pPr>
              <w:pStyle w:val="14"/>
            </w:pPr>
            <w:r>
              <w:t>自然灾害救灾补助</w:t>
            </w: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899.03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60.68</w:t>
            </w:r>
          </w:p>
        </w:tc>
        <w:tc>
          <w:tcPr>
            <w:tcW w:w="1474" w:type="dxa"/>
            <w:vAlign w:val="center"/>
          </w:tcPr>
          <w:p>
            <w:pPr>
              <w:pStyle w:val="13"/>
            </w:pPr>
            <w:r>
              <w:t>60.68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13.31</w:t>
            </w:r>
          </w:p>
        </w:tc>
        <w:tc>
          <w:tcPr>
            <w:tcW w:w="1474" w:type="dxa"/>
            <w:vAlign w:val="center"/>
          </w:tcPr>
          <w:p>
            <w:pPr>
              <w:pStyle w:val="13"/>
            </w:pPr>
            <w:r>
              <w:t>13.31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31.30</w:t>
            </w:r>
          </w:p>
        </w:tc>
        <w:tc>
          <w:tcPr>
            <w:tcW w:w="1474" w:type="dxa"/>
            <w:vAlign w:val="center"/>
          </w:tcPr>
          <w:p>
            <w:pPr>
              <w:pStyle w:val="13"/>
            </w:pPr>
            <w:r>
              <w:t>31.30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951.56</w:t>
            </w:r>
          </w:p>
        </w:tc>
        <w:tc>
          <w:tcPr>
            <w:tcW w:w="1474" w:type="dxa"/>
            <w:vAlign w:val="center"/>
          </w:tcPr>
          <w:p>
            <w:pPr>
              <w:pStyle w:val="13"/>
            </w:pPr>
            <w:r>
              <w:t>951.56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899.03</w:t>
            </w:r>
          </w:p>
        </w:tc>
        <w:tc>
          <w:tcPr>
            <w:tcW w:w="3402" w:type="dxa"/>
            <w:vAlign w:val="center"/>
          </w:tcPr>
          <w:p>
            <w:pPr>
              <w:pStyle w:val="16"/>
            </w:pPr>
            <w:r>
              <w:t>本年支出合计</w:t>
            </w:r>
          </w:p>
        </w:tc>
        <w:tc>
          <w:tcPr>
            <w:tcW w:w="1474" w:type="dxa"/>
            <w:vAlign w:val="center"/>
          </w:tcPr>
          <w:p>
            <w:pPr>
              <w:pStyle w:val="17"/>
            </w:pPr>
            <w:r>
              <w:t>1056.86</w:t>
            </w:r>
          </w:p>
        </w:tc>
        <w:tc>
          <w:tcPr>
            <w:tcW w:w="1474" w:type="dxa"/>
            <w:vAlign w:val="center"/>
          </w:tcPr>
          <w:p>
            <w:pPr>
              <w:pStyle w:val="17"/>
            </w:pPr>
            <w:r>
              <w:t>1056.86</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157.83</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157.83</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1056.86</w:t>
            </w:r>
          </w:p>
        </w:tc>
        <w:tc>
          <w:tcPr>
            <w:tcW w:w="3402" w:type="dxa"/>
            <w:vAlign w:val="center"/>
          </w:tcPr>
          <w:p>
            <w:pPr>
              <w:pStyle w:val="16"/>
            </w:pPr>
            <w:r>
              <w:t>支出总计</w:t>
            </w:r>
          </w:p>
        </w:tc>
        <w:tc>
          <w:tcPr>
            <w:tcW w:w="1474" w:type="dxa"/>
            <w:vAlign w:val="center"/>
          </w:tcPr>
          <w:p>
            <w:pPr>
              <w:pStyle w:val="17"/>
            </w:pPr>
            <w:r>
              <w:t>1056.86</w:t>
            </w:r>
          </w:p>
        </w:tc>
        <w:tc>
          <w:tcPr>
            <w:tcW w:w="1474" w:type="dxa"/>
            <w:vAlign w:val="center"/>
          </w:tcPr>
          <w:p>
            <w:pPr>
              <w:pStyle w:val="17"/>
            </w:pPr>
            <w:r>
              <w:t>1056.86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1056.86</w:t>
            </w:r>
          </w:p>
        </w:tc>
        <w:tc>
          <w:tcPr>
            <w:tcW w:w="2551" w:type="dxa"/>
            <w:vAlign w:val="center"/>
          </w:tcPr>
          <w:p>
            <w:pPr>
              <w:pStyle w:val="17"/>
            </w:pPr>
            <w:r>
              <w:t>485.32</w:t>
            </w:r>
          </w:p>
        </w:tc>
        <w:tc>
          <w:tcPr>
            <w:tcW w:w="2551" w:type="dxa"/>
            <w:vAlign w:val="center"/>
          </w:tcPr>
          <w:p>
            <w:pPr>
              <w:pStyle w:val="17"/>
            </w:pPr>
            <w:r>
              <w:t>571.54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60.68</w:t>
            </w:r>
          </w:p>
        </w:tc>
        <w:tc>
          <w:tcPr>
            <w:tcW w:w="2551" w:type="dxa"/>
            <w:vAlign w:val="center"/>
          </w:tcPr>
          <w:p>
            <w:pPr>
              <w:pStyle w:val="13"/>
            </w:pPr>
            <w:r>
              <w:t>60.32</w:t>
            </w: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60.32</w:t>
            </w:r>
          </w:p>
        </w:tc>
        <w:tc>
          <w:tcPr>
            <w:tcW w:w="2551" w:type="dxa"/>
            <w:vAlign w:val="center"/>
          </w:tcPr>
          <w:p>
            <w:pPr>
              <w:pStyle w:val="13"/>
            </w:pPr>
            <w:r>
              <w:t>60.32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22.26</w:t>
            </w:r>
          </w:p>
        </w:tc>
        <w:tc>
          <w:tcPr>
            <w:tcW w:w="2551" w:type="dxa"/>
            <w:vAlign w:val="center"/>
          </w:tcPr>
          <w:p>
            <w:pPr>
              <w:pStyle w:val="13"/>
            </w:pPr>
            <w:r>
              <w:t>22.26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38.06</w:t>
            </w:r>
          </w:p>
        </w:tc>
        <w:tc>
          <w:tcPr>
            <w:tcW w:w="2551" w:type="dxa"/>
            <w:vAlign w:val="center"/>
          </w:tcPr>
          <w:p>
            <w:pPr>
              <w:pStyle w:val="13"/>
            </w:pPr>
            <w:r>
              <w:t>38.06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951.56</w:t>
            </w:r>
          </w:p>
        </w:tc>
        <w:tc>
          <w:tcPr>
            <w:tcW w:w="2551" w:type="dxa"/>
            <w:vAlign w:val="center"/>
          </w:tcPr>
          <w:p>
            <w:pPr>
              <w:pStyle w:val="13"/>
            </w:pPr>
            <w:r>
              <w:t>380.38</w:t>
            </w:r>
          </w:p>
        </w:tc>
        <w:tc>
          <w:tcPr>
            <w:tcW w:w="2551" w:type="dxa"/>
            <w:vAlign w:val="center"/>
          </w:tcPr>
          <w:p>
            <w:pPr>
              <w:pStyle w:val="13"/>
            </w:pPr>
            <w:r>
              <w:t>571.18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869.16</w:t>
            </w:r>
          </w:p>
        </w:tc>
        <w:tc>
          <w:tcPr>
            <w:tcW w:w="2551" w:type="dxa"/>
            <w:vAlign w:val="center"/>
          </w:tcPr>
          <w:p>
            <w:pPr>
              <w:pStyle w:val="13"/>
            </w:pPr>
            <w:r>
              <w:t>380.38</w:t>
            </w:r>
          </w:p>
        </w:tc>
        <w:tc>
          <w:tcPr>
            <w:tcW w:w="2551" w:type="dxa"/>
            <w:vAlign w:val="center"/>
          </w:tcPr>
          <w:p>
            <w:pPr>
              <w:pStyle w:val="13"/>
            </w:pPr>
            <w:r>
              <w:t>488.78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2240101</w:t>
            </w:r>
          </w:p>
        </w:tc>
        <w:tc>
          <w:tcPr>
            <w:tcW w:w="4535" w:type="dxa"/>
            <w:vAlign w:val="center"/>
          </w:tcPr>
          <w:p>
            <w:pPr>
              <w:pStyle w:val="14"/>
            </w:pPr>
            <w:r>
              <w:t>行政运行</w:t>
            </w:r>
          </w:p>
        </w:tc>
        <w:tc>
          <w:tcPr>
            <w:tcW w:w="2551" w:type="dxa"/>
            <w:vAlign w:val="center"/>
          </w:tcPr>
          <w:p>
            <w:pPr>
              <w:pStyle w:val="13"/>
            </w:pPr>
            <w:r>
              <w:t>329.01</w:t>
            </w:r>
          </w:p>
        </w:tc>
        <w:tc>
          <w:tcPr>
            <w:tcW w:w="2551" w:type="dxa"/>
            <w:vAlign w:val="center"/>
          </w:tcPr>
          <w:p>
            <w:pPr>
              <w:pStyle w:val="13"/>
            </w:pPr>
            <w:r>
              <w:t>329.01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311.39</w:t>
            </w:r>
          </w:p>
        </w:tc>
        <w:tc>
          <w:tcPr>
            <w:tcW w:w="2551" w:type="dxa"/>
            <w:vAlign w:val="center"/>
          </w:tcPr>
          <w:p>
            <w:pPr>
              <w:pStyle w:val="13"/>
            </w:pPr>
          </w:p>
        </w:tc>
        <w:tc>
          <w:tcPr>
            <w:tcW w:w="2551" w:type="dxa"/>
            <w:vAlign w:val="center"/>
          </w:tcPr>
          <w:p>
            <w:pPr>
              <w:pStyle w:val="13"/>
            </w:pPr>
            <w:r>
              <w:t>311.39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149.83</w:t>
            </w:r>
          </w:p>
        </w:tc>
        <w:tc>
          <w:tcPr>
            <w:tcW w:w="2551" w:type="dxa"/>
            <w:vAlign w:val="center"/>
          </w:tcPr>
          <w:p>
            <w:pPr>
              <w:pStyle w:val="13"/>
            </w:pPr>
          </w:p>
        </w:tc>
        <w:tc>
          <w:tcPr>
            <w:tcW w:w="2551"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27.56</w:t>
            </w:r>
          </w:p>
        </w:tc>
        <w:tc>
          <w:tcPr>
            <w:tcW w:w="2551" w:type="dxa"/>
            <w:vAlign w:val="center"/>
          </w:tcPr>
          <w:p>
            <w:pPr>
              <w:pStyle w:val="13"/>
            </w:pPr>
          </w:p>
        </w:tc>
        <w:tc>
          <w:tcPr>
            <w:tcW w:w="2551" w:type="dxa"/>
            <w:vAlign w:val="center"/>
          </w:tcPr>
          <w:p>
            <w:pPr>
              <w:pStyle w:val="13"/>
            </w:pPr>
            <w:r>
              <w:t>27.56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2240150</w:t>
            </w:r>
          </w:p>
        </w:tc>
        <w:tc>
          <w:tcPr>
            <w:tcW w:w="4535" w:type="dxa"/>
            <w:vAlign w:val="center"/>
          </w:tcPr>
          <w:p>
            <w:pPr>
              <w:pStyle w:val="14"/>
            </w:pPr>
            <w:r>
              <w:t>事业运行</w:t>
            </w:r>
          </w:p>
        </w:tc>
        <w:tc>
          <w:tcPr>
            <w:tcW w:w="2551" w:type="dxa"/>
            <w:vAlign w:val="center"/>
          </w:tcPr>
          <w:p>
            <w:pPr>
              <w:pStyle w:val="13"/>
            </w:pPr>
            <w:r>
              <w:t>51.38</w:t>
            </w:r>
          </w:p>
        </w:tc>
        <w:tc>
          <w:tcPr>
            <w:tcW w:w="2551" w:type="dxa"/>
            <w:vAlign w:val="center"/>
          </w:tcPr>
          <w:p>
            <w:pPr>
              <w:pStyle w:val="13"/>
            </w:pPr>
            <w:r>
              <w:t>51.38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82.40</w:t>
            </w:r>
          </w:p>
        </w:tc>
        <w:tc>
          <w:tcPr>
            <w:tcW w:w="2551" w:type="dxa"/>
            <w:vAlign w:val="center"/>
          </w:tcPr>
          <w:p>
            <w:pPr>
              <w:pStyle w:val="13"/>
            </w:pPr>
          </w:p>
        </w:tc>
        <w:tc>
          <w:tcPr>
            <w:tcW w:w="2551" w:type="dxa"/>
            <w:vAlign w:val="center"/>
          </w:tcPr>
          <w:p>
            <w:pPr>
              <w:pStyle w:val="13"/>
            </w:pPr>
            <w:r>
              <w:t>82.40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2240703</w:t>
            </w:r>
          </w:p>
        </w:tc>
        <w:tc>
          <w:tcPr>
            <w:tcW w:w="4535" w:type="dxa"/>
            <w:vAlign w:val="center"/>
          </w:tcPr>
          <w:p>
            <w:pPr>
              <w:pStyle w:val="14"/>
            </w:pPr>
            <w:r>
              <w:t>自然灾害救灾补助</w:t>
            </w:r>
          </w:p>
        </w:tc>
        <w:tc>
          <w:tcPr>
            <w:tcW w:w="2551" w:type="dxa"/>
            <w:vAlign w:val="center"/>
          </w:tcPr>
          <w:p>
            <w:pPr>
              <w:pStyle w:val="13"/>
            </w:pPr>
            <w:r>
              <w:t>82.40</w:t>
            </w:r>
          </w:p>
        </w:tc>
        <w:tc>
          <w:tcPr>
            <w:tcW w:w="2551" w:type="dxa"/>
            <w:vAlign w:val="center"/>
          </w:tcPr>
          <w:p>
            <w:pPr>
              <w:pStyle w:val="13"/>
            </w:pPr>
          </w:p>
        </w:tc>
        <w:tc>
          <w:tcPr>
            <w:tcW w:w="2551" w:type="dxa"/>
            <w:vAlign w:val="center"/>
          </w:tcPr>
          <w:p>
            <w:pPr>
              <w:pStyle w:val="13"/>
            </w:pPr>
            <w:r>
              <w:t>82.40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485.32</w:t>
            </w:r>
          </w:p>
        </w:tc>
        <w:tc>
          <w:tcPr>
            <w:tcW w:w="2551" w:type="dxa"/>
            <w:vAlign w:val="center"/>
          </w:tcPr>
          <w:p>
            <w:pPr>
              <w:pStyle w:val="17"/>
            </w:pPr>
            <w:r>
              <w:t>436.90</w:t>
            </w:r>
          </w:p>
        </w:tc>
        <w:tc>
          <w:tcPr>
            <w:tcW w:w="2551" w:type="dxa"/>
            <w:vAlign w:val="center"/>
          </w:tcPr>
          <w:p>
            <w:pPr>
              <w:pStyle w:val="17"/>
            </w:pPr>
            <w:r>
              <w:t>48.41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413.37</w:t>
            </w:r>
          </w:p>
        </w:tc>
        <w:tc>
          <w:tcPr>
            <w:tcW w:w="2551" w:type="dxa"/>
            <w:vAlign w:val="center"/>
          </w:tcPr>
          <w:p>
            <w:pPr>
              <w:pStyle w:val="13"/>
            </w:pPr>
            <w:r>
              <w:t>413.37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139.60</w:t>
            </w:r>
          </w:p>
        </w:tc>
        <w:tc>
          <w:tcPr>
            <w:tcW w:w="2551" w:type="dxa"/>
            <w:vAlign w:val="center"/>
          </w:tcPr>
          <w:p>
            <w:pPr>
              <w:pStyle w:val="13"/>
            </w:pPr>
            <w:r>
              <w:t>139.60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96.95</w:t>
            </w:r>
          </w:p>
        </w:tc>
        <w:tc>
          <w:tcPr>
            <w:tcW w:w="2551" w:type="dxa"/>
            <w:vAlign w:val="center"/>
          </w:tcPr>
          <w:p>
            <w:pPr>
              <w:pStyle w:val="13"/>
            </w:pPr>
            <w:r>
              <w:t>96.95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64.26</w:t>
            </w:r>
          </w:p>
        </w:tc>
        <w:tc>
          <w:tcPr>
            <w:tcW w:w="2551" w:type="dxa"/>
            <w:vAlign w:val="center"/>
          </w:tcPr>
          <w:p>
            <w:pPr>
              <w:pStyle w:val="13"/>
            </w:pPr>
            <w:r>
              <w:t>64.26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28.68</w:t>
            </w:r>
          </w:p>
        </w:tc>
        <w:tc>
          <w:tcPr>
            <w:tcW w:w="2551" w:type="dxa"/>
            <w:vAlign w:val="center"/>
          </w:tcPr>
          <w:p>
            <w:pPr>
              <w:pStyle w:val="13"/>
            </w:pPr>
            <w:r>
              <w:t>28.68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38.06</w:t>
            </w:r>
          </w:p>
        </w:tc>
        <w:tc>
          <w:tcPr>
            <w:tcW w:w="2551" w:type="dxa"/>
            <w:vAlign w:val="center"/>
          </w:tcPr>
          <w:p>
            <w:pPr>
              <w:pStyle w:val="13"/>
            </w:pPr>
            <w:r>
              <w:t>38.06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48.41</w:t>
            </w:r>
          </w:p>
        </w:tc>
        <w:tc>
          <w:tcPr>
            <w:tcW w:w="2551" w:type="dxa"/>
            <w:vAlign w:val="center"/>
          </w:tcPr>
          <w:p>
            <w:pPr>
              <w:pStyle w:val="13"/>
            </w:pPr>
          </w:p>
        </w:tc>
        <w:tc>
          <w:tcPr>
            <w:tcW w:w="2551" w:type="dxa"/>
            <w:vAlign w:val="center"/>
          </w:tcPr>
          <w:p>
            <w:pPr>
              <w:pStyle w:val="13"/>
            </w:pPr>
            <w:r>
              <w:t>48.41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5.74</w:t>
            </w:r>
          </w:p>
        </w:tc>
        <w:tc>
          <w:tcPr>
            <w:tcW w:w="2551" w:type="dxa"/>
            <w:vAlign w:val="center"/>
          </w:tcPr>
          <w:p>
            <w:pPr>
              <w:pStyle w:val="13"/>
            </w:pPr>
          </w:p>
        </w:tc>
        <w:tc>
          <w:tcPr>
            <w:tcW w:w="2551" w:type="dxa"/>
            <w:vAlign w:val="center"/>
          </w:tcPr>
          <w:p>
            <w:pPr>
              <w:pStyle w:val="13"/>
            </w:pPr>
            <w:r>
              <w:t>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7.98</w:t>
            </w:r>
          </w:p>
        </w:tc>
        <w:tc>
          <w:tcPr>
            <w:tcW w:w="2551" w:type="dxa"/>
            <w:vAlign w:val="center"/>
          </w:tcPr>
          <w:p>
            <w:pPr>
              <w:pStyle w:val="13"/>
            </w:pPr>
          </w:p>
        </w:tc>
        <w:tc>
          <w:tcPr>
            <w:tcW w:w="2551" w:type="dxa"/>
            <w:vAlign w:val="center"/>
          </w:tcPr>
          <w:p>
            <w:pPr>
              <w:pStyle w:val="13"/>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1.07</w:t>
            </w:r>
          </w:p>
        </w:tc>
        <w:tc>
          <w:tcPr>
            <w:tcW w:w="2551" w:type="dxa"/>
            <w:vAlign w:val="center"/>
          </w:tcPr>
          <w:p>
            <w:pPr>
              <w:pStyle w:val="13"/>
            </w:pPr>
          </w:p>
        </w:tc>
        <w:tc>
          <w:tcPr>
            <w:tcW w:w="2551" w:type="dxa"/>
            <w:vAlign w:val="center"/>
          </w:tcPr>
          <w:p>
            <w:pPr>
              <w:pStyle w:val="13"/>
            </w:pPr>
            <w:r>
              <w:t>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3.84</w:t>
            </w:r>
          </w:p>
        </w:tc>
        <w:tc>
          <w:tcPr>
            <w:tcW w:w="2551" w:type="dxa"/>
            <w:vAlign w:val="center"/>
          </w:tcPr>
          <w:p>
            <w:pPr>
              <w:pStyle w:val="13"/>
            </w:pPr>
          </w:p>
        </w:tc>
        <w:tc>
          <w:tcPr>
            <w:tcW w:w="2551" w:type="dxa"/>
            <w:vAlign w:val="center"/>
          </w:tcPr>
          <w:p>
            <w:pPr>
              <w:pStyle w:val="13"/>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3.31</w:t>
            </w:r>
          </w:p>
        </w:tc>
        <w:tc>
          <w:tcPr>
            <w:tcW w:w="2551" w:type="dxa"/>
            <w:vAlign w:val="center"/>
          </w:tcPr>
          <w:p>
            <w:pPr>
              <w:pStyle w:val="13"/>
            </w:pPr>
          </w:p>
        </w:tc>
        <w:tc>
          <w:tcPr>
            <w:tcW w:w="2551" w:type="dxa"/>
            <w:vAlign w:val="center"/>
          </w:tcPr>
          <w:p>
            <w:pPr>
              <w:pStyle w:val="13"/>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9.72</w:t>
            </w:r>
          </w:p>
        </w:tc>
        <w:tc>
          <w:tcPr>
            <w:tcW w:w="2551" w:type="dxa"/>
            <w:vAlign w:val="center"/>
          </w:tcPr>
          <w:p>
            <w:pPr>
              <w:pStyle w:val="13"/>
            </w:pPr>
          </w:p>
        </w:tc>
        <w:tc>
          <w:tcPr>
            <w:tcW w:w="2551" w:type="dxa"/>
            <w:vAlign w:val="center"/>
          </w:tcPr>
          <w:p>
            <w:pPr>
              <w:pStyle w:val="13"/>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12.90</w:t>
            </w:r>
          </w:p>
        </w:tc>
        <w:tc>
          <w:tcPr>
            <w:tcW w:w="2551" w:type="dxa"/>
            <w:vAlign w:val="center"/>
          </w:tcPr>
          <w:p>
            <w:pPr>
              <w:pStyle w:val="13"/>
            </w:pPr>
          </w:p>
        </w:tc>
        <w:tc>
          <w:tcPr>
            <w:tcW w:w="2551" w:type="dxa"/>
            <w:vAlign w:val="center"/>
          </w:tcPr>
          <w:p>
            <w:pPr>
              <w:pStyle w:val="13"/>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3.65</w:t>
            </w:r>
          </w:p>
        </w:tc>
        <w:tc>
          <w:tcPr>
            <w:tcW w:w="2551" w:type="dxa"/>
            <w:vAlign w:val="center"/>
          </w:tcPr>
          <w:p>
            <w:pPr>
              <w:pStyle w:val="13"/>
            </w:pPr>
          </w:p>
        </w:tc>
        <w:tc>
          <w:tcPr>
            <w:tcW w:w="2551" w:type="dxa"/>
            <w:vAlign w:val="center"/>
          </w:tcPr>
          <w:p>
            <w:pPr>
              <w:pStyle w:val="13"/>
            </w:pPr>
            <w:r>
              <w:t>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23.54</w:t>
            </w:r>
          </w:p>
        </w:tc>
        <w:tc>
          <w:tcPr>
            <w:tcW w:w="2551" w:type="dxa"/>
            <w:vAlign w:val="center"/>
          </w:tcPr>
          <w:p>
            <w:pPr>
              <w:pStyle w:val="13"/>
            </w:pPr>
            <w:r>
              <w:t>23.54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21.72</w:t>
            </w:r>
          </w:p>
        </w:tc>
        <w:tc>
          <w:tcPr>
            <w:tcW w:w="2551" w:type="dxa"/>
            <w:vAlign w:val="center"/>
          </w:tcPr>
          <w:p>
            <w:pPr>
              <w:pStyle w:val="13"/>
            </w:pPr>
            <w:r>
              <w:t>21.72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1.82</w:t>
            </w:r>
          </w:p>
        </w:tc>
        <w:tc>
          <w:tcPr>
            <w:tcW w:w="2551" w:type="dxa"/>
            <w:vAlign w:val="center"/>
          </w:tcPr>
          <w:p>
            <w:pPr>
              <w:pStyle w:val="13"/>
            </w:pPr>
            <w:r>
              <w:t>1.82</w:t>
            </w:r>
          </w:p>
        </w:tc>
        <w:tc>
          <w:tcPr>
            <w:tcW w:w="2551"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426保定市徐水区应急管理局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9.72</w:t>
            </w:r>
          </w:p>
        </w:tc>
        <w:tc>
          <w:tcPr>
            <w:tcW w:w="2381" w:type="dxa"/>
            <w:vAlign w:val="center"/>
          </w:tcPr>
          <w:p>
            <w:pPr>
              <w:pStyle w:val="17"/>
            </w:pPr>
            <w:r>
              <w:t>9.72</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保定市徐水区应急管理局2025年部门预算信息公开情况说明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保定市徐水区应急管理局2025年部门预算信息公开情况说明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按照《中华人民共和国预算法》、《地方预决算公开操作规程》和《关于进一步推进预算公开工作的实施意见》规定，现将保定市徐水区应急管理局2025年部门预算公开如下：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（一）负责应急管理工作，指导各级各部门应对安全生产类、自然灾害类等突发事件和综合防灾减灾救灾工作。负责安全生产综合监督管理和工矿商贸行业安全生产监督管理工作。</w:t>
      </w:r>
    </w:p>
    <w:p>
      <w:pPr>
        <w:pStyle w:val="19"/>
      </w:pPr>
      <w:r>
        <w:t>（二）落实应急管理、安全生产等方针政策，组织落实区应急体系建设、安全生产和综合防灾减灾规划，地方性法规和政府规章草案，组织实施相关规程和标准并监督实施。</w:t>
      </w:r>
    </w:p>
    <w:p>
      <w:pPr>
        <w:pStyle w:val="19"/>
      </w:pPr>
      <w:r>
        <w:t>（三）指导应急预案体系建设，建立完善事故灾难和自然灾害分级应对制度，组织编制区总体应急预案和安全生产类、自然灾害类专项预案，综合协调应急预案衔接工作，组织开展预案演练，推动应急避难设施建设。</w:t>
      </w:r>
    </w:p>
    <w:p>
      <w:pPr>
        <w:pStyle w:val="19"/>
      </w:pPr>
      <w:r>
        <w:t>（四）牵头建立统一的全区应急管理信息系统，负责信息传输渠道的规划和布局，建立监测预警和灾情报告制度，健全自然灾害信息资源获取和共享机制，依法统一发布灾情。</w:t>
      </w:r>
    </w:p>
    <w:p>
      <w:pPr>
        <w:pStyle w:val="19"/>
      </w:pPr>
      <w:r>
        <w:t>（五）组织指导协调安全生产类、自然灾害类等突发事件应急救援，承担区应对特别重大灾害指挥部工作，综合研判突发事件发展态势并提出应对建议，协助区委、区政府指定的负责同志组织特别重大灾害应急处置工作。</w:t>
      </w:r>
    </w:p>
    <w:p>
      <w:pPr>
        <w:pStyle w:val="19"/>
      </w:pPr>
      <w:r>
        <w:t>（六）统一协调指挥各类应急专业队伍，建立应急协调联动机制，推进指挥平台对接。</w:t>
      </w:r>
    </w:p>
    <w:p>
      <w:pPr>
        <w:pStyle w:val="19"/>
      </w:pPr>
      <w:r>
        <w:t>（七）统筹应急救援力量建设，负责消防、森林和草原火灾扑救、抗洪抢险、地震和地质灾害救援、生产安全事故救援等专业应急救援力量建设，管理区综合性应急救援队伍，指导各级及社会应急救援力量建设。</w:t>
      </w:r>
    </w:p>
    <w:p>
      <w:pPr>
        <w:pStyle w:val="19"/>
      </w:pPr>
      <w:r>
        <w:t>（八）负责消防工作，指导各级消防监督、火灾预防、火灾扑救等工作。</w:t>
      </w:r>
    </w:p>
    <w:p>
      <w:pPr>
        <w:pStyle w:val="19"/>
      </w:pPr>
      <w:r>
        <w:t>（九）指导协调森林和草原火灾、水旱灾害、地震和地质灾害等防治工作，负责自然灾害综合监测预警工作，指导开展自然灾害综合风险评估工作。</w:t>
      </w:r>
    </w:p>
    <w:p>
      <w:pPr>
        <w:pStyle w:val="19"/>
      </w:pPr>
      <w:r>
        <w:t>（十）组织协调灾害救助工作，组织指导灾情核查、损失评估、救灾捐赠工作，管理、分配区救灾款物并监督使用。</w:t>
      </w:r>
    </w:p>
    <w:p>
      <w:pPr>
        <w:pStyle w:val="19"/>
      </w:pPr>
      <w:r>
        <w:t>（十一）依法行使区安全生产综合监督管理职权，指导协调、监督检查区有关部门和各乡镇、城区办、政府、开发区管委会安全生产工作，组织开展安全生产巡查、考核工作。</w:t>
      </w:r>
    </w:p>
    <w:p>
      <w:pPr>
        <w:pStyle w:val="19"/>
      </w:pPr>
      <w: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pStyle w:val="19"/>
      </w:pPr>
      <w:r>
        <w:t>(十三)依法组织指导生产安全事故调查处理，监督事故查处和责任追究落实情况。组织开展自然灾害类突发事件的调查评估工作。</w:t>
      </w:r>
    </w:p>
    <w:p>
      <w:pPr>
        <w:pStyle w:val="19"/>
      </w:pPr>
      <w:r>
        <w:t>(十四)制定应急物资储备和应急救援装备规划并组织实施，会同区粮食和物资储备等部门建立健全应急物资信息平台和调拨制度，在救灾时统一调度。</w:t>
      </w:r>
    </w:p>
    <w:p>
      <w:pPr>
        <w:pStyle w:val="19"/>
      </w:pPr>
      <w:r>
        <w:t>(十五)负责应急管理、安全生产宣传教育和培训工作，组织指导应急管理、安全生产的科学技术研究、推广应用和信息化建设工作。</w:t>
      </w:r>
    </w:p>
    <w:p>
      <w:pPr>
        <w:pStyle w:val="19"/>
      </w:pPr>
      <w:r>
        <w:t>(十六)负责组织指导协调和监督全区安全生产行政执法检查工作，组织开展对安全生产重点企业的执法检查。</w:t>
      </w:r>
    </w:p>
    <w:p>
      <w:pPr>
        <w:pStyle w:val="19"/>
      </w:pPr>
      <w:r>
        <w:t>（十七）负责地震监测、震灾防御和震灾救援指挥工作。</w:t>
      </w:r>
    </w:p>
    <w:p>
      <w:pPr>
        <w:pStyle w:val="19"/>
      </w:pPr>
      <w:r>
        <w:t>（十八）完成区委、区政府交办的其他任务。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保定市徐水区应急管理局本级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按照预算管理有关规定，目前部门预算的编制实行综合预算管理，即全部收入和支出都反映在预算中。保定市徐水区应急管理局机关及所属事业单位的收支包含在部门预算中。</w:t>
      </w:r>
    </w:p>
    <w:p>
      <w:pPr>
        <w:pStyle w:val="20"/>
      </w:pPr>
      <w:r>
        <w:t>1、收入说明</w:t>
      </w:r>
    </w:p>
    <w:p>
      <w:pPr>
        <w:pStyle w:val="20"/>
      </w:pPr>
      <w:r>
        <w:t>反映本部门当年全部收入。2025年预算收入1056.86万元，其中：一般公共预算收入899.03万元，基金预算收入0.00万元，国有资本经营预算收入0.00万元，财政专户核拨收入0.00万元，单位资金收入0.00万元，上年结转结余157.83万元。</w:t>
      </w:r>
    </w:p>
    <w:p>
      <w:pPr>
        <w:pStyle w:val="20"/>
      </w:pPr>
      <w:r>
        <w:t>2、支出说明</w:t>
      </w:r>
    </w:p>
    <w:p>
      <w:pPr>
        <w:pStyle w:val="20"/>
      </w:pPr>
      <w:r>
        <w:t>收支预算总表支出栏、基本支出表、项目支出表按经济分类和支出功能分类科目编制，反映保定市徐水区应急管理局年度部门预算中支出预算的总体情况。2025年支出预算1056.86万元，其中基本支出485.32万元，包括人员经费436.90万元和日常公用经费48.41万元；项目支出571.54万元，主要为公用经费支出（特定目标类）项目所需总经费27.56万元，其中安全生产专家经费6.56万元，安全生产专项经费21万元；消防业务经费253.47万元，其中用于支付森林草原消防大队基本运转经费7.42万元，用于支付森林草原消防专业队伍建设经费246.05万元；网络视频系统服务费0.96万元；应急综合管理工作经费22.25万元；解决历史遗留等问题经费0.36万元；其他个人部分支出34.71万元；自然灾害救助项目（含农房保险、物资储备等）所需经费74.4万元；2024年上级转移支付项目64.13万元，其中河北省自然灾害应急能力提升工程预警指挥项目国债项目省级配套所需经费3.9万元，河北省自然灾害应急能力提升工程预警指挥项目国债项目中央资金60.23万元；2024年一般公共预算本级项目85.7万元，其中河北省保定市基层防灾工程国债项目县级配套所需经费74.54万元，河北省自然灾害应急能力提升工程预警指挥项目国债项目县级配套所需经费11.16万元；下达中央自然灾害救助资金预算项目所需资金8万元，用于购置防汛物资一批。</w:t>
      </w:r>
    </w:p>
    <w:p>
      <w:pPr>
        <w:pStyle w:val="20"/>
      </w:pPr>
      <w:r>
        <w:t>3、比上年增减情况</w:t>
      </w:r>
    </w:p>
    <w:p>
      <w:pPr>
        <w:pStyle w:val="20"/>
      </w:pPr>
      <w:r>
        <w:t>2025年预算收支安排1056.86万元，较2024年预算增加218.84万元，其中：基本支出增加55.94万元，主要为2025年公务员工资调标且增加人员3名，致使基本支出增加。项目支出增加162.90万元，主要为增加了河北省保定市基层防灾工程国债项目县级配套、河北省自然灾害应急能力提升工程预警指挥项目国债项目中央资金、河北省自然灾害应急能力提升工程预警指挥项目国债项目县级配套等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2025年，我部门机关运行经费共计安排48.41万元，主要用于日常维修、办公用房水电费、办公用房取暖费、办公用房物业管理费等日常运行支出。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rFonts w:hint="eastAsia" w:eastAsia="方正仿宋_GBK"/>
          <w:lang w:eastAsia="zh-CN"/>
        </w:rPr>
      </w:pPr>
      <w:r>
        <w:t>2025年，我部门财政拨款“三公”经费预算安排9.72万元，其中因公出国（境）费0.00万元；公务用车购置及运维费9.72万元（其中：公务用车购置费为0.00万元，公务用车运维费9.72万元)；公务接待费0.00万元。与2024年相比增加0.00万元</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以习近平新时代中国特色社会主义思想为指导，全面贯彻党的二十大精神精神，按照国家和省市区的决策部署，牢固树立红线意识，强化底线思维，坚持生命至上、安全第一的发展理念，坚持以防为主、防抗救相结合，统筹加强自然灾害防治，全力防范化解重大安全风险，着力打造高素质专业化应急管理干部队伍，自然灾害防治能力、重大灾害救助能力、应急救援能力建设明显见效，事故起数和死亡人数继续“双下降”，较大事故进一步减少，重特大事故得到有效遏制，全区安全生产形势持续稳定好转，切实保障人民群众生命财产安全，积极维护全区社会大局稳定，为新时代建设美丽徐水做出应有的贡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1、整合全区安全生产、综合减灾、地震和火灾、应急救援等各项工作的联动，将各种事故发生率和灾害损失率降到最低。</w:t>
      </w:r>
    </w:p>
    <w:p>
      <w:pPr>
        <w:pStyle w:val="24"/>
      </w:pPr>
      <w:r>
        <w:t>绩效目标：牵头建立统一的全区应急管理信息系统，负责信息传输渠道的规划和布局，建立监测预警和灾情报告制度，健全自然灾害信息资源获取和共享机制，依法统一发布灾情；完成本局交办的各项工作；完成区委、区政府交办的其他任务。</w:t>
      </w:r>
    </w:p>
    <w:p>
      <w:pPr>
        <w:pStyle w:val="24"/>
      </w:pPr>
      <w:r>
        <w:t>绩效指标： 安全生产月发放宣传品5千份，隐患排查整改率、行政处罚率达到90%以上，2025年末较2024年末生产安全事故起数下降10%，综合业务管理完成率达到90%以上。</w:t>
      </w:r>
    </w:p>
    <w:p>
      <w:pPr>
        <w:pStyle w:val="24"/>
      </w:pPr>
      <w:r>
        <w:t>2、全面提升应急救援水平，提高应急处置能力</w:t>
      </w:r>
    </w:p>
    <w:p>
      <w:pPr>
        <w:pStyle w:val="24"/>
      </w:pPr>
      <w:r>
        <w:t>绩效目标：指导建立完善有关部门相协同的应急联动工作机制。按照总体布局，统筹规划生产安全事故救援、森林和草原火灾扑救、抗洪抢险、地震和地质灾害救援等救援队伍的整体布局。加快预案编制和修订工作，尽快完善总体预案、专项预案、部门预案“1+31+42”的预案体系，加强预案演练，提高预案的实战性。</w:t>
      </w:r>
    </w:p>
    <w:p>
      <w:pPr>
        <w:pStyle w:val="24"/>
      </w:pPr>
      <w:r>
        <w:t xml:space="preserve">绩效指标：组织专项应急预案、部门应急预案审核，组织开展应急演练3次，组织培训企业管理人员、救援队、社会救援力量训练， 购置宣传册2千册，组织1场防灾减灾宣传演练活动，专业救援队伍人员增长率年均10%以上，地震台站有效运行率90%以上。 </w:t>
      </w:r>
    </w:p>
    <w:p>
      <w:pPr>
        <w:pStyle w:val="24"/>
      </w:pPr>
      <w:r>
        <w:t xml:space="preserve">3、依法组织并指导监督实施安全生产准入制度，加强应急管理、安全生产宣传教育和培训工作。 </w:t>
      </w:r>
    </w:p>
    <w:p>
      <w:pPr>
        <w:pStyle w:val="24"/>
      </w:pPr>
      <w:r>
        <w:t>绩效目标：通过宣传培训等手段加强应急管理系统人员素质，有效降低安全生产事故及自然灾害造成的人员及财产损失。通过普法等活动，提高系统人员法制意识及执法水平，有效减少行政应诉案件的发生。</w:t>
      </w:r>
    </w:p>
    <w:p>
      <w:pPr>
        <w:pStyle w:val="24"/>
      </w:pPr>
      <w:r>
        <w:t>绩效指标：应急管理人员培训人次100人次以上，安全生产月发放宣传品5千份。</w:t>
      </w:r>
    </w:p>
    <w:p>
      <w:pPr>
        <w:pStyle w:val="24"/>
      </w:pPr>
      <w:r>
        <w:t>4、全区安全生产形势持续稳定好转</w:t>
      </w:r>
    </w:p>
    <w:p>
      <w:pPr>
        <w:pStyle w:val="24"/>
      </w:pPr>
      <w:r>
        <w:t>绩效目标：推动“党政同责、一岗双责、齐抓共管、失职追责”和“三个必须”的要求落到实处，以“双控”机制建设推动企业主体责任的落实，严厉打击非法违法生产经营和建设行为，坚决消除事故隐患，事故起数和死亡人数继续“双下降”，较大事故进一步减少，重特大事故得到有效遏制。通过检查、督查等手段提高各行业、各部门的重视程度，有效预防和减少生产安全事故。通过执法检查提高相关行业、企业安全生产管理水平，有效预防和减少生产安全事故。</w:t>
      </w:r>
    </w:p>
    <w:p>
      <w:pPr>
        <w:pStyle w:val="24"/>
      </w:pPr>
      <w:r>
        <w:t xml:space="preserve">绩效指标：高危行业主要负责人与安全管理人员考试合格率达到80%，生产安全事故死亡人数下降10%，隐患排查整改率、行政处罚率达到90%以上。生产经营单位执法检查率达到90%以上。 </w:t>
      </w:r>
    </w:p>
    <w:p>
      <w:pPr>
        <w:pStyle w:val="24"/>
      </w:pPr>
      <w:r>
        <w:t>5、防范化解自然灾害风险，做好防灾减灾救灾工作</w:t>
      </w:r>
    </w:p>
    <w:p>
      <w:pPr>
        <w:pStyle w:val="24"/>
      </w:pPr>
      <w:r>
        <w:t>绩效目标：不断优化“六个机制”，加快推进“七项工程”，建立完善综合减灾体系，做好重大自然灾害防治工作。构建统筹应对各灾种、有效覆盖各环节、综合协调各部门的全方位、全过程、多层次防灾减灾救灾新体系，研究建立协调联动、快速反应、高效有序的灾害救助新体制。强化灾情进一步强化灾害救助和物资保障能力，确保一旦发生灾害，救援物资能够及时运达救灾现场，保证救灾需要。处置，及时落实救助资金和物资，深入推广推进农房保险工作，进一步扩大保险覆盖面，做到应保尽保。做好全体干部职工劳务工资、社保资金等的基本保障。通过核查评估，保障全区救灾物资的管理并及时发放。通过科技建设进一步提高应急管理、安全生产的管理水平。</w:t>
      </w:r>
    </w:p>
    <w:p>
      <w:pPr>
        <w:pStyle w:val="24"/>
      </w:pPr>
      <w:r>
        <w:t>绩效指标：5.12防灾减灾日发放宣传品5千份，区级灾害救助资金下拨到乡级财政部门时间保证在15日以内，保障全区受灾人员应急期吃穿住等生活需求，对全区因灾造成冬春期间生活出现困难的人员提供口粮、饮水、衣被、取暖等基本生活救助的总体救助率达到90%，物资保障受灾群众人数覆盖率达到100%，救灾捐赠资金到位率100%，农房保险出保赔付率达到95%。物资维护保养覆盖率达到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1、完善制度建设。建立统一高效的应急管理体系。一是持续深化机构改革，打通应急管理 “最后一公里”，完善应急管理网络体系。二是加强制度建设。查找和破解应急管理改革发展的难题，以制度建设为抓手，逐条逐项制定改进措施，制定安全生产诚信分级分类联合奖惩措施清单，定期发布企业安全生产失信行为。</w:t>
      </w:r>
    </w:p>
    <w:p>
      <w:pPr>
        <w:pStyle w:val="25"/>
      </w:pPr>
      <w:r>
        <w:t>2、加强支出管理。为加快我局预算支出进度，提高财政资金使用效益，更好地促进我区应急管理工作，于3月底、6月底、10月底将单位的预算支出进度情况向局党组汇报。同时要求各股室应严格执行厅财务管理办法，防止出现突击花钱、违规花钱等违法违纪行为。</w:t>
      </w:r>
    </w:p>
    <w:p>
      <w:pPr>
        <w:pStyle w:val="25"/>
      </w:pPr>
      <w:r>
        <w:t>3、加强绩效运行监控。遵循目标导向、权责对等、全面覆盖、突出重点、适时适当的原则，按要求开展绩效运行监控，重点关注重大专项以及支出进度缓慢、管理基础薄弱的项目，动态掌握政策和项目进展，以及资金使用和绩效目标完成情况，发现问题及时纠正采取措施，合理利用和报送绩效监控结果，确保绩效目标如期保质实现。</w:t>
      </w:r>
    </w:p>
    <w:p>
      <w:pPr>
        <w:pStyle w:val="25"/>
      </w:pPr>
      <w:r>
        <w:t>4、做好绩效自评。按要求开展上年度部门预算绩效自评和重点评价工作，对预算资金投向的准确性、安排使用的有效性、投入方式的科学性、产出效益的经济性进行客观、公正的评价，在评价中发现的问题及时整改，调整优化支出结构，提高财政资金使用效益，实现绩效预算管理的全方位、全过程、全覆盖。</w:t>
      </w:r>
    </w:p>
    <w:p>
      <w:pPr>
        <w:pStyle w:val="25"/>
      </w:pPr>
      <w:r>
        <w:t>5、规范财务资产管理。为了维护国有资产的完全和完整，提高固定资产使用效率，进一步强化固定资产管理，确保国有资产安全，我局重点加强以下工作：1、固定资产日常管理。严格执行固定资产登记制度，持续加强固定资产台账的建立与完善。2、固定资产验收管理。办理固定资产验收手续时，固定资产验收小组应按照采购合同中约定的固定资产的品目、数量和标准进行验收。3、固定资产清查管理。核实报废或长期闲置的固定资产原值、已使用年限及折旧提取情况，及时向区财政局核销及备案。</w:t>
      </w:r>
    </w:p>
    <w:p>
      <w:pPr>
        <w:pStyle w:val="25"/>
      </w:pPr>
      <w:r>
        <w:t>6、加强内部监督。按照审计署印发的《关于内部审计工作的规定》和《关于加强内部审计工作业务指导和监督的意见》的要求，我局积极贯彻落实各项财政财经政策，严格履行行政事业单位财务管理制度，以加强部门内部控制、建立内审体制机制和强化监督指导为重点，积极开展内部审计工作。</w:t>
      </w:r>
    </w:p>
    <w:p>
      <w:pPr>
        <w:pStyle w:val="25"/>
      </w:pPr>
      <w:r>
        <w:t>7、加强宣传培训调研等工作。</w:t>
      </w:r>
    </w:p>
    <w:p>
      <w:pPr>
        <w:pStyle w:val="25"/>
        <w:sectPr>
          <w:pgSz w:w="16840" w:h="11900" w:orient="landscape"/>
          <w:pgMar w:top="1361" w:right="1020" w:bottom="1361" w:left="1020" w:header="720" w:footer="720" w:gutter="0"/>
        </w:sectPr>
      </w:pPr>
      <w:r>
        <w:t>加强单位人员学习培训工作，提高单位人员业务素质；加强调研，在掌握第一手材料的情况下提出可行的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1、安全生产专家经费绩效目标表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13062525P00023410041C</w:t>
            </w:r>
          </w:p>
        </w:tc>
        <w:tc>
          <w:tcPr>
            <w:tcW w:w="2835" w:type="dxa"/>
            <w:vAlign w:val="center"/>
          </w:tcPr>
          <w:p>
            <w:pPr>
              <w:pStyle w:val="12"/>
            </w:pPr>
            <w:r>
              <w:t>项目名称</w:t>
            </w:r>
          </w:p>
        </w:tc>
        <w:tc>
          <w:tcPr>
            <w:tcW w:w="6095" w:type="dxa"/>
            <w:gridSpan w:val="3"/>
            <w:vAlign w:val="center"/>
          </w:tcPr>
          <w:p>
            <w:pPr>
              <w:pStyle w:val="14"/>
            </w:pPr>
            <w:r>
              <w:t>安全生产专家经费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6.56</w:t>
            </w:r>
          </w:p>
        </w:tc>
        <w:tc>
          <w:tcPr>
            <w:tcW w:w="2835" w:type="dxa"/>
            <w:vAlign w:val="center"/>
          </w:tcPr>
          <w:p>
            <w:pPr>
              <w:pStyle w:val="12"/>
            </w:pPr>
            <w:r>
              <w:t>其中：财政    资金</w:t>
            </w:r>
          </w:p>
        </w:tc>
        <w:tc>
          <w:tcPr>
            <w:tcW w:w="2551" w:type="dxa"/>
            <w:vAlign w:val="center"/>
          </w:tcPr>
          <w:p>
            <w:pPr>
              <w:pStyle w:val="14"/>
            </w:pPr>
            <w:r>
              <w:t>6.56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用于支付安全生产专家、法律专家安全生产技术服务等劳务费。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1.进一步强化安全生产工作，防止和减少生产安全事故的发生，确保“十四五”期间安全生产形势的持续稳定。    </w:t>
            </w:r>
          </w:p>
          <w:p>
            <w:pPr>
              <w:pStyle w:val="14"/>
            </w:pPr>
            <w:r>
              <w:t>2.全年聘请安全生产专家144人次以上对企业进行安全生产检查、培训等技术服务。聘法律专家1人，负责执法卷宗的法律审查及单位涉诉问题。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使用专家人次</w:t>
            </w:r>
          </w:p>
        </w:tc>
        <w:tc>
          <w:tcPr>
            <w:tcW w:w="5386" w:type="dxa"/>
            <w:vAlign w:val="center"/>
          </w:tcPr>
          <w:p>
            <w:pPr>
              <w:pStyle w:val="14"/>
            </w:pPr>
            <w:r>
              <w:t>全年使用安全生产专家人次</w:t>
            </w:r>
          </w:p>
        </w:tc>
        <w:tc>
          <w:tcPr>
            <w:tcW w:w="2268" w:type="dxa"/>
            <w:vAlign w:val="center"/>
          </w:tcPr>
          <w:p>
            <w:pPr>
              <w:pStyle w:val="14"/>
            </w:pPr>
            <w:r>
              <w:t>144人次</w:t>
            </w:r>
          </w:p>
        </w:tc>
        <w:tc>
          <w:tcPr>
            <w:tcW w:w="1276" w:type="dxa"/>
            <w:vAlign w:val="center"/>
          </w:tcPr>
          <w:p>
            <w:pPr>
              <w:pStyle w:val="14"/>
            </w:pPr>
            <w:r>
              <w:t>依据（徐政办【2014】18号文件）专家组使用规定、安全生产专家经费项目实施计划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法律专家人数</w:t>
            </w:r>
          </w:p>
        </w:tc>
        <w:tc>
          <w:tcPr>
            <w:tcW w:w="5386" w:type="dxa"/>
            <w:vAlign w:val="center"/>
          </w:tcPr>
          <w:p>
            <w:pPr>
              <w:pStyle w:val="14"/>
            </w:pPr>
            <w:r>
              <w:t>每年聘请法律专家人数</w:t>
            </w:r>
          </w:p>
        </w:tc>
        <w:tc>
          <w:tcPr>
            <w:tcW w:w="2268" w:type="dxa"/>
            <w:vAlign w:val="center"/>
          </w:tcPr>
          <w:p>
            <w:pPr>
              <w:pStyle w:val="14"/>
            </w:pPr>
            <w:r>
              <w:t>1人</w:t>
            </w:r>
          </w:p>
        </w:tc>
        <w:tc>
          <w:tcPr>
            <w:tcW w:w="1276" w:type="dxa"/>
            <w:vAlign w:val="center"/>
          </w:tcPr>
          <w:p>
            <w:pPr>
              <w:pStyle w:val="14"/>
            </w:pPr>
            <w:r>
              <w:t>安全生产专家经费项目实施计划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劳务费发放到位率</w:t>
            </w:r>
          </w:p>
        </w:tc>
        <w:tc>
          <w:tcPr>
            <w:tcW w:w="5386" w:type="dxa"/>
            <w:vAlign w:val="center"/>
          </w:tcPr>
          <w:p>
            <w:pPr>
              <w:pStyle w:val="14"/>
            </w:pPr>
            <w:r>
              <w:t>安全生产专家劳务费发放到位率</w:t>
            </w:r>
          </w:p>
        </w:tc>
        <w:tc>
          <w:tcPr>
            <w:tcW w:w="2268" w:type="dxa"/>
            <w:vAlign w:val="center"/>
          </w:tcPr>
          <w:p>
            <w:pPr>
              <w:pStyle w:val="14"/>
            </w:pPr>
            <w:r>
              <w:t>≥90%</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劳务费支付及时率</w:t>
            </w:r>
          </w:p>
        </w:tc>
        <w:tc>
          <w:tcPr>
            <w:tcW w:w="5386" w:type="dxa"/>
            <w:vAlign w:val="center"/>
          </w:tcPr>
          <w:p>
            <w:pPr>
              <w:pStyle w:val="14"/>
            </w:pPr>
            <w:r>
              <w:t>安全生产专家劳务费支付及时率</w:t>
            </w:r>
          </w:p>
        </w:tc>
        <w:tc>
          <w:tcPr>
            <w:tcW w:w="2268" w:type="dxa"/>
            <w:vAlign w:val="center"/>
          </w:tcPr>
          <w:p>
            <w:pPr>
              <w:pStyle w:val="14"/>
            </w:pPr>
            <w:r>
              <w:t>≥90%</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≤65600元</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全年发生较大以上安全生产事故发生数</w:t>
            </w:r>
          </w:p>
        </w:tc>
        <w:tc>
          <w:tcPr>
            <w:tcW w:w="2268" w:type="dxa"/>
            <w:vAlign w:val="center"/>
          </w:tcPr>
          <w:p>
            <w:pPr>
              <w:pStyle w:val="14"/>
            </w:pPr>
            <w:r>
              <w:t>0次</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服务企业满意度指标</w:t>
            </w:r>
          </w:p>
        </w:tc>
        <w:tc>
          <w:tcPr>
            <w:tcW w:w="5386" w:type="dxa"/>
            <w:vAlign w:val="center"/>
          </w:tcPr>
          <w:p>
            <w:pPr>
              <w:pStyle w:val="14"/>
            </w:pPr>
            <w:r>
              <w:t>安全生产专家服务企业满意度指标</w:t>
            </w:r>
          </w:p>
        </w:tc>
        <w:tc>
          <w:tcPr>
            <w:tcW w:w="2268" w:type="dxa"/>
            <w:vAlign w:val="center"/>
          </w:tcPr>
          <w:p>
            <w:pPr>
              <w:pStyle w:val="14"/>
            </w:pPr>
            <w:r>
              <w:t>≥90%</w:t>
            </w:r>
          </w:p>
        </w:tc>
        <w:tc>
          <w:tcPr>
            <w:tcW w:w="1276" w:type="dxa"/>
            <w:vAlign w:val="center"/>
          </w:tcPr>
          <w:p>
            <w:pPr>
              <w:pStyle w:val="14"/>
            </w:pPr>
            <w:r>
              <w:t>服务企业满意度调查问卷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2、安全生产专项经费绩效目标表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13062525P00023410040Q</w:t>
            </w:r>
          </w:p>
        </w:tc>
        <w:tc>
          <w:tcPr>
            <w:tcW w:w="2835" w:type="dxa"/>
            <w:vAlign w:val="center"/>
          </w:tcPr>
          <w:p>
            <w:pPr>
              <w:pStyle w:val="12"/>
            </w:pPr>
            <w:r>
              <w:t>项目名称</w:t>
            </w:r>
          </w:p>
        </w:tc>
        <w:tc>
          <w:tcPr>
            <w:tcW w:w="6095" w:type="dxa"/>
            <w:gridSpan w:val="3"/>
            <w:vAlign w:val="center"/>
          </w:tcPr>
          <w:p>
            <w:pPr>
              <w:pStyle w:val="14"/>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用于补助执法必需的经费、安全生产材料法律法规材料印刷费。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1.进一步强化安全生产工作，防止和减少生产安全事故的发生，确保“十四五”期间安全生产形势的持续稳定。</w:t>
            </w:r>
          </w:p>
          <w:p>
            <w:pPr>
              <w:pStyle w:val="14"/>
            </w:pPr>
            <w:r>
              <w:t>2.项目资金21万元，用于保障监管执法必需的人员、经费和车辆等支出，印刷安全生产宣传材料、法律法规材料40000册。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资料印刷数量</w:t>
            </w:r>
          </w:p>
        </w:tc>
        <w:tc>
          <w:tcPr>
            <w:tcW w:w="5386" w:type="dxa"/>
            <w:vAlign w:val="center"/>
          </w:tcPr>
          <w:p>
            <w:pPr>
              <w:pStyle w:val="14"/>
            </w:pPr>
            <w:r>
              <w:t>安全生产宣传材料、法律法规材料印刷数量</w:t>
            </w:r>
          </w:p>
        </w:tc>
        <w:tc>
          <w:tcPr>
            <w:tcW w:w="2268" w:type="dxa"/>
            <w:vAlign w:val="center"/>
          </w:tcPr>
          <w:p>
            <w:pPr>
              <w:pStyle w:val="14"/>
            </w:pPr>
            <w:r>
              <w:t>≥40000册</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材料验收合格率</w:t>
            </w:r>
          </w:p>
        </w:tc>
        <w:tc>
          <w:tcPr>
            <w:tcW w:w="5386" w:type="dxa"/>
            <w:vAlign w:val="center"/>
          </w:tcPr>
          <w:p>
            <w:pPr>
              <w:pStyle w:val="14"/>
            </w:pPr>
            <w:r>
              <w:t>印刷安全生产宣传材料、法律法规材料验收合格率</w:t>
            </w:r>
          </w:p>
        </w:tc>
        <w:tc>
          <w:tcPr>
            <w:tcW w:w="2268" w:type="dxa"/>
            <w:vAlign w:val="center"/>
          </w:tcPr>
          <w:p>
            <w:pPr>
              <w:pStyle w:val="14"/>
            </w:pPr>
            <w:r>
              <w:t>≥95%</w:t>
            </w:r>
          </w:p>
        </w:tc>
        <w:tc>
          <w:tcPr>
            <w:tcW w:w="1276" w:type="dxa"/>
            <w:vAlign w:val="center"/>
          </w:tcPr>
          <w:p>
            <w:pPr>
              <w:pStyle w:val="14"/>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材料印刷及时率</w:t>
            </w:r>
          </w:p>
        </w:tc>
        <w:tc>
          <w:tcPr>
            <w:tcW w:w="5386" w:type="dxa"/>
            <w:vAlign w:val="center"/>
          </w:tcPr>
          <w:p>
            <w:pPr>
              <w:pStyle w:val="14"/>
            </w:pPr>
            <w:r>
              <w:t>印刷安全生产宣传材料、法律法规材料印刷及时率</w:t>
            </w:r>
          </w:p>
        </w:tc>
        <w:tc>
          <w:tcPr>
            <w:tcW w:w="2268" w:type="dxa"/>
            <w:vAlign w:val="center"/>
          </w:tcPr>
          <w:p>
            <w:pPr>
              <w:pStyle w:val="14"/>
            </w:pPr>
            <w:r>
              <w:t>≥95%</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项目支出控制在预算范围内</w:t>
            </w:r>
          </w:p>
        </w:tc>
        <w:tc>
          <w:tcPr>
            <w:tcW w:w="2268" w:type="dxa"/>
            <w:vAlign w:val="center"/>
          </w:tcPr>
          <w:p>
            <w:pPr>
              <w:pStyle w:val="14"/>
            </w:pPr>
            <w:r>
              <w:t>≤21万元</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发生重大安全事故次数</w:t>
            </w:r>
          </w:p>
        </w:tc>
        <w:tc>
          <w:tcPr>
            <w:tcW w:w="5386" w:type="dxa"/>
            <w:vAlign w:val="center"/>
          </w:tcPr>
          <w:p>
            <w:pPr>
              <w:pStyle w:val="14"/>
            </w:pPr>
            <w:r>
              <w:t>年发生重大安全事故次数</w:t>
            </w:r>
          </w:p>
        </w:tc>
        <w:tc>
          <w:tcPr>
            <w:tcW w:w="2268" w:type="dxa"/>
            <w:vAlign w:val="center"/>
          </w:tcPr>
          <w:p>
            <w:pPr>
              <w:pStyle w:val="14"/>
            </w:pPr>
            <w:r>
              <w:t>0次</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执法工作人员满意度</w:t>
            </w:r>
          </w:p>
        </w:tc>
        <w:tc>
          <w:tcPr>
            <w:tcW w:w="5386" w:type="dxa"/>
            <w:vAlign w:val="center"/>
          </w:tcPr>
          <w:p>
            <w:pPr>
              <w:pStyle w:val="14"/>
            </w:pPr>
            <w:r>
              <w:t>单位执法工作人员对执法保障情况满意度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3、河北省保定市基层防灾工程国债项目县级配套绩效目标表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13062524P00001511162D</w:t>
            </w:r>
          </w:p>
        </w:tc>
        <w:tc>
          <w:tcPr>
            <w:tcW w:w="2835" w:type="dxa"/>
            <w:vAlign w:val="center"/>
          </w:tcPr>
          <w:p>
            <w:pPr>
              <w:pStyle w:val="12"/>
            </w:pPr>
            <w:r>
              <w:t>项目名称</w:t>
            </w:r>
          </w:p>
        </w:tc>
        <w:tc>
          <w:tcPr>
            <w:tcW w:w="6095" w:type="dxa"/>
            <w:gridSpan w:val="3"/>
            <w:vAlign w:val="center"/>
          </w:tcPr>
          <w:p>
            <w:pPr>
              <w:pStyle w:val="14"/>
            </w:pPr>
            <w:r>
              <w:t>河北省保定市基层防灾工程国债项目县级配套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74.54</w:t>
            </w:r>
          </w:p>
        </w:tc>
        <w:tc>
          <w:tcPr>
            <w:tcW w:w="2835" w:type="dxa"/>
            <w:vAlign w:val="center"/>
          </w:tcPr>
          <w:p>
            <w:pPr>
              <w:pStyle w:val="12"/>
            </w:pPr>
            <w:r>
              <w:t>其中：财政    资金</w:t>
            </w:r>
          </w:p>
        </w:tc>
        <w:tc>
          <w:tcPr>
            <w:tcW w:w="2551" w:type="dxa"/>
            <w:vAlign w:val="center"/>
          </w:tcPr>
          <w:p>
            <w:pPr>
              <w:pStyle w:val="14"/>
            </w:pPr>
            <w:r>
              <w:t>74.54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用于支付基层防灾工程项目购置设备所需资金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1.支持灾后恢复重建和防灾减灾救灾能力提升，提高我区基层自然灾害防御水平。</w:t>
            </w:r>
          </w:p>
          <w:p>
            <w:pPr>
              <w:pStyle w:val="14"/>
            </w:pPr>
            <w:r>
              <w:t>2.项目资金188.92万元，为我区16支应急救援队伍配备快速投送、抢险救援、通信指挥等专业救援装备。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设备配备队伍数量</w:t>
            </w:r>
          </w:p>
        </w:tc>
        <w:tc>
          <w:tcPr>
            <w:tcW w:w="5386" w:type="dxa"/>
            <w:vAlign w:val="center"/>
          </w:tcPr>
          <w:p>
            <w:pPr>
              <w:pStyle w:val="14"/>
            </w:pPr>
            <w:r>
              <w:t>购置专业设备配备队伍数量</w:t>
            </w:r>
          </w:p>
        </w:tc>
        <w:tc>
          <w:tcPr>
            <w:tcW w:w="2268" w:type="dxa"/>
            <w:vAlign w:val="center"/>
          </w:tcPr>
          <w:p>
            <w:pPr>
              <w:pStyle w:val="14"/>
            </w:pPr>
            <w:r>
              <w:t>16个</w:t>
            </w:r>
          </w:p>
        </w:tc>
        <w:tc>
          <w:tcPr>
            <w:tcW w:w="1276" w:type="dxa"/>
            <w:vAlign w:val="center"/>
          </w:tcPr>
          <w:p>
            <w:pPr>
              <w:pStyle w:val="14"/>
            </w:pPr>
            <w:r>
              <w:t>请示文件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购置设备验收率</w:t>
            </w:r>
          </w:p>
        </w:tc>
        <w:tc>
          <w:tcPr>
            <w:tcW w:w="5386" w:type="dxa"/>
            <w:vAlign w:val="center"/>
          </w:tcPr>
          <w:p>
            <w:pPr>
              <w:pStyle w:val="14"/>
            </w:pPr>
            <w:r>
              <w:t>购置设备验收率</w:t>
            </w:r>
          </w:p>
        </w:tc>
        <w:tc>
          <w:tcPr>
            <w:tcW w:w="2268" w:type="dxa"/>
            <w:vAlign w:val="center"/>
          </w:tcPr>
          <w:p>
            <w:pPr>
              <w:pStyle w:val="14"/>
            </w:pPr>
            <w:r>
              <w:t>100%</w:t>
            </w:r>
          </w:p>
        </w:tc>
        <w:tc>
          <w:tcPr>
            <w:tcW w:w="1276" w:type="dxa"/>
            <w:vAlign w:val="center"/>
          </w:tcPr>
          <w:p>
            <w:pPr>
              <w:pStyle w:val="14"/>
            </w:pPr>
            <w:r>
              <w:t>设备验收记录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设备维修及时率</w:t>
            </w:r>
          </w:p>
        </w:tc>
        <w:tc>
          <w:tcPr>
            <w:tcW w:w="5386" w:type="dxa"/>
            <w:vAlign w:val="center"/>
          </w:tcPr>
          <w:p>
            <w:pPr>
              <w:pStyle w:val="14"/>
            </w:pPr>
            <w:r>
              <w:t>设备维修及时率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≤188.92万元</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应急救援任务有效完成率</w:t>
            </w:r>
          </w:p>
        </w:tc>
        <w:tc>
          <w:tcPr>
            <w:tcW w:w="2268" w:type="dxa"/>
            <w:vAlign w:val="center"/>
          </w:tcPr>
          <w:p>
            <w:pPr>
              <w:pStyle w:val="14"/>
            </w:pPr>
            <w:r>
              <w:t>100%</w:t>
            </w:r>
          </w:p>
        </w:tc>
        <w:tc>
          <w:tcPr>
            <w:tcW w:w="1276" w:type="dxa"/>
            <w:vAlign w:val="center"/>
          </w:tcPr>
          <w:p>
            <w:pPr>
              <w:pStyle w:val="14"/>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4、河北省自然灾害应急能力提升工程预警指挥项目国债项目省级配套绩效目标表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13062524P000017102769</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w:t>
            </w:r>
          </w:p>
        </w:tc>
        <w:tc>
          <w:tcPr>
            <w:tcW w:w="2835" w:type="dxa"/>
            <w:vAlign w:val="center"/>
          </w:tcPr>
          <w:p>
            <w:pPr>
              <w:pStyle w:val="12"/>
            </w:pPr>
            <w:r>
              <w:t>其中：财政    资金</w:t>
            </w:r>
          </w:p>
        </w:tc>
        <w:tc>
          <w:tcPr>
            <w:tcW w:w="2551" w:type="dxa"/>
            <w:vAlign w:val="center"/>
          </w:tcPr>
          <w:p>
            <w:pPr>
              <w:pStyle w:val="14"/>
            </w:pPr>
            <w:r>
              <w:t>3.90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用于支付自然灾害应急能力提升工程资金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2.为我区建设预警指挥项目，项目配套资金3.895845万元，购置值班室调度显示设备1台2万元，指挥中心音视频改造100万元，指挥中心音视频改造集成费2.5万元，370MHZ多模终端10台4.5万元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≥11台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项目预算资金总额</w:t>
            </w:r>
          </w:p>
        </w:tc>
        <w:tc>
          <w:tcPr>
            <w:tcW w:w="5386" w:type="dxa"/>
            <w:vAlign w:val="center"/>
          </w:tcPr>
          <w:p>
            <w:pPr>
              <w:pStyle w:val="14"/>
            </w:pPr>
            <w:r>
              <w:t>项目资金总额支出数控制在预算范围内</w:t>
            </w:r>
          </w:p>
        </w:tc>
        <w:tc>
          <w:tcPr>
            <w:tcW w:w="2268" w:type="dxa"/>
            <w:vAlign w:val="center"/>
          </w:tcPr>
          <w:p>
            <w:pPr>
              <w:pStyle w:val="14"/>
            </w:pPr>
            <w:r>
              <w:t>≤38958.45元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应急救援任务有效完成数占全部任务数比例</w:t>
            </w:r>
          </w:p>
        </w:tc>
        <w:tc>
          <w:tcPr>
            <w:tcW w:w="2268" w:type="dxa"/>
            <w:vAlign w:val="center"/>
          </w:tcPr>
          <w:p>
            <w:pPr>
              <w:pStyle w:val="14"/>
            </w:pPr>
            <w:r>
              <w:t>100%</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设备可持续使用时间</w:t>
            </w:r>
          </w:p>
        </w:tc>
        <w:tc>
          <w:tcPr>
            <w:tcW w:w="5386" w:type="dxa"/>
            <w:vAlign w:val="center"/>
          </w:tcPr>
          <w:p>
            <w:pPr>
              <w:pStyle w:val="14"/>
            </w:pPr>
            <w:r>
              <w:t>设备正常使用年限</w:t>
            </w:r>
          </w:p>
        </w:tc>
        <w:tc>
          <w:tcPr>
            <w:tcW w:w="2268" w:type="dxa"/>
            <w:vAlign w:val="center"/>
          </w:tcPr>
          <w:p>
            <w:pPr>
              <w:pStyle w:val="14"/>
            </w:pPr>
            <w:r>
              <w:t>≥10年</w:t>
            </w:r>
          </w:p>
        </w:tc>
        <w:tc>
          <w:tcPr>
            <w:tcW w:w="1276" w:type="dxa"/>
            <w:vAlign w:val="center"/>
          </w:tcPr>
          <w:p>
            <w:pPr>
              <w:pStyle w:val="14"/>
            </w:pPr>
            <w:r>
              <w:t>固定资产相关财务制度规定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反映通过问卷调查受益群体满意情况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5、河北省自然灾害应急能力提升工程预警指挥项目国债项目县级配套绩效目标表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13062524P00001511161R</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11.16</w:t>
            </w:r>
          </w:p>
        </w:tc>
        <w:tc>
          <w:tcPr>
            <w:tcW w:w="2835" w:type="dxa"/>
            <w:vAlign w:val="center"/>
          </w:tcPr>
          <w:p>
            <w:pPr>
              <w:pStyle w:val="12"/>
            </w:pPr>
            <w:r>
              <w:t>其中：财政    资金</w:t>
            </w:r>
          </w:p>
        </w:tc>
        <w:tc>
          <w:tcPr>
            <w:tcW w:w="2551" w:type="dxa"/>
            <w:vAlign w:val="center"/>
          </w:tcPr>
          <w:p>
            <w:pPr>
              <w:pStyle w:val="14"/>
            </w:pPr>
            <w:r>
              <w:t>11.16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用于支付自然灾害应急能力提升工程资金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2.为我区建设预警指挥项目，项目资金14.533万元，购置值班室调度显示设备1台2万元，指挥中心音视频改造100万元，指挥中心音视频改造集成费2.5万元，370MHZ多模终端10台4.5万元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≥10台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≤14.54万元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应急救援任务有效完成率</w:t>
            </w:r>
          </w:p>
        </w:tc>
        <w:tc>
          <w:tcPr>
            <w:tcW w:w="2268" w:type="dxa"/>
            <w:vAlign w:val="center"/>
          </w:tcPr>
          <w:p>
            <w:pPr>
              <w:pStyle w:val="14"/>
            </w:pPr>
            <w:r>
              <w:t>100%</w:t>
            </w:r>
          </w:p>
        </w:tc>
        <w:tc>
          <w:tcPr>
            <w:tcW w:w="1276" w:type="dxa"/>
            <w:vAlign w:val="center"/>
          </w:tcPr>
          <w:p>
            <w:pPr>
              <w:pStyle w:val="14"/>
            </w:pPr>
            <w:r>
              <w:t>上级文件规定</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6、河北省自然灾害应急能力提升工程预警指挥项目国债项目中央资金绩效目标表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13062524P00001710275M</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60.23</w:t>
            </w:r>
          </w:p>
        </w:tc>
        <w:tc>
          <w:tcPr>
            <w:tcW w:w="2835" w:type="dxa"/>
            <w:vAlign w:val="center"/>
          </w:tcPr>
          <w:p>
            <w:pPr>
              <w:pStyle w:val="12"/>
            </w:pPr>
            <w:r>
              <w:t>其中：财政    资金</w:t>
            </w:r>
          </w:p>
        </w:tc>
        <w:tc>
          <w:tcPr>
            <w:tcW w:w="2551" w:type="dxa"/>
            <w:vAlign w:val="center"/>
          </w:tcPr>
          <w:p>
            <w:pPr>
              <w:pStyle w:val="14"/>
            </w:pPr>
            <w:r>
              <w:t>60.23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用于支付自然支行应急能力提升工程项目资金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2.为我区建设预警指挥项目，项目配套资金60.63076万元，购置值班室调度显示设备1台2万元，指挥中心音视频改造100万元，指挥中心音视频改造集成费2.5万元，370MHZ多模终端10台4.5万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≥11台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项目预算资金总额</w:t>
            </w:r>
          </w:p>
        </w:tc>
        <w:tc>
          <w:tcPr>
            <w:tcW w:w="5386" w:type="dxa"/>
            <w:vAlign w:val="center"/>
          </w:tcPr>
          <w:p>
            <w:pPr>
              <w:pStyle w:val="14"/>
            </w:pPr>
            <w:r>
              <w:t>项目资金总额支出数控制在预算范围内</w:t>
            </w:r>
          </w:p>
        </w:tc>
        <w:tc>
          <w:tcPr>
            <w:tcW w:w="2268" w:type="dxa"/>
            <w:vAlign w:val="center"/>
          </w:tcPr>
          <w:p>
            <w:pPr>
              <w:pStyle w:val="14"/>
            </w:pPr>
            <w:r>
              <w:t>≤606307.6元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应急救援任务有效完成数占全部任务数比例</w:t>
            </w:r>
          </w:p>
        </w:tc>
        <w:tc>
          <w:tcPr>
            <w:tcW w:w="2268" w:type="dxa"/>
            <w:vAlign w:val="center"/>
          </w:tcPr>
          <w:p>
            <w:pPr>
              <w:pStyle w:val="14"/>
            </w:pPr>
            <w:r>
              <w:t>100%</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设备可持续使用时间</w:t>
            </w:r>
          </w:p>
        </w:tc>
        <w:tc>
          <w:tcPr>
            <w:tcW w:w="5386" w:type="dxa"/>
            <w:vAlign w:val="center"/>
          </w:tcPr>
          <w:p>
            <w:pPr>
              <w:pStyle w:val="14"/>
            </w:pPr>
            <w:r>
              <w:t>设备正常使用年限</w:t>
            </w:r>
          </w:p>
        </w:tc>
        <w:tc>
          <w:tcPr>
            <w:tcW w:w="2268" w:type="dxa"/>
            <w:vAlign w:val="center"/>
          </w:tcPr>
          <w:p>
            <w:pPr>
              <w:pStyle w:val="14"/>
            </w:pPr>
            <w:r>
              <w:t>≥10年</w:t>
            </w:r>
          </w:p>
        </w:tc>
        <w:tc>
          <w:tcPr>
            <w:tcW w:w="1276" w:type="dxa"/>
            <w:vAlign w:val="center"/>
          </w:tcPr>
          <w:p>
            <w:pPr>
              <w:pStyle w:val="14"/>
            </w:pPr>
            <w:r>
              <w:t>固定资产相关财务制度规定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反映通过问卷调查受益群体满意情况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7、机关劳务派遣人员工资保险绩效目标表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13062525P000232100947</w:t>
            </w:r>
          </w:p>
        </w:tc>
        <w:tc>
          <w:tcPr>
            <w:tcW w:w="2835" w:type="dxa"/>
            <w:vAlign w:val="center"/>
          </w:tcPr>
          <w:p>
            <w:pPr>
              <w:pStyle w:val="12"/>
            </w:pPr>
            <w:r>
              <w:t>项目名称</w:t>
            </w:r>
          </w:p>
        </w:tc>
        <w:tc>
          <w:tcPr>
            <w:tcW w:w="6095" w:type="dxa"/>
            <w:gridSpan w:val="3"/>
            <w:vAlign w:val="center"/>
          </w:tcPr>
          <w:p>
            <w:pPr>
              <w:pStyle w:val="14"/>
            </w:pPr>
            <w:r>
              <w:t>机关劳务派遣人员工资保险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34.71</w:t>
            </w:r>
          </w:p>
        </w:tc>
        <w:tc>
          <w:tcPr>
            <w:tcW w:w="2835" w:type="dxa"/>
            <w:vAlign w:val="center"/>
          </w:tcPr>
          <w:p>
            <w:pPr>
              <w:pStyle w:val="12"/>
            </w:pPr>
            <w:r>
              <w:t>其中：财政    资金</w:t>
            </w:r>
          </w:p>
        </w:tc>
        <w:tc>
          <w:tcPr>
            <w:tcW w:w="2551" w:type="dxa"/>
            <w:vAlign w:val="center"/>
          </w:tcPr>
          <w:p>
            <w:pPr>
              <w:pStyle w:val="14"/>
            </w:pPr>
            <w:r>
              <w:t>34.71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用于支付单位劳务派遣人员工资保险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1.进一步强化安全生产工作，防止和减少生产安全事故的发生，确保“十四五”期间安全生产形势的持续稳定。 </w:t>
            </w:r>
          </w:p>
          <w:p>
            <w:pPr>
              <w:pStyle w:val="14"/>
            </w:pPr>
            <w:r>
              <w:t>2.通过公开招聘，利用劳务派遣形式聘用工作人员8人，缓解了单位人员紧张的压力。</w:t>
            </w:r>
          </w:p>
          <w:p>
            <w:pPr>
              <w:pStyle w:val="14"/>
            </w:pPr>
            <w:r>
              <w:t>3.项目资金347050.56元，为劳务派遣人员8人支付工资缴纳四险一金。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劳务派遣人员数量</w:t>
            </w:r>
          </w:p>
        </w:tc>
        <w:tc>
          <w:tcPr>
            <w:tcW w:w="5386" w:type="dxa"/>
            <w:vAlign w:val="center"/>
          </w:tcPr>
          <w:p>
            <w:pPr>
              <w:pStyle w:val="14"/>
            </w:pPr>
            <w:r>
              <w:t>机关劳务派遣人员数量</w:t>
            </w:r>
          </w:p>
        </w:tc>
        <w:tc>
          <w:tcPr>
            <w:tcW w:w="2268" w:type="dxa"/>
            <w:vAlign w:val="center"/>
          </w:tcPr>
          <w:p>
            <w:pPr>
              <w:pStyle w:val="14"/>
            </w:pPr>
            <w:r>
              <w:t>8人</w:t>
            </w:r>
          </w:p>
        </w:tc>
        <w:tc>
          <w:tcPr>
            <w:tcW w:w="1276" w:type="dxa"/>
            <w:vAlign w:val="center"/>
          </w:tcPr>
          <w:p>
            <w:pPr>
              <w:pStyle w:val="14"/>
            </w:pPr>
            <w:r>
              <w:t>徐水县安全生产监督管理局关于安全生产应急信息系统建设工作、隐患排查信息化建设工作的相关请示及相关领导批示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机关劳务派遣人员劳务费发放准确率</w:t>
            </w:r>
          </w:p>
        </w:tc>
        <w:tc>
          <w:tcPr>
            <w:tcW w:w="2268" w:type="dxa"/>
            <w:vAlign w:val="center"/>
          </w:tcPr>
          <w:p>
            <w:pPr>
              <w:pStyle w:val="14"/>
            </w:pPr>
            <w:r>
              <w:t>≥95%</w:t>
            </w:r>
          </w:p>
        </w:tc>
        <w:tc>
          <w:tcPr>
            <w:tcW w:w="1276" w:type="dxa"/>
            <w:vAlign w:val="center"/>
          </w:tcPr>
          <w:p>
            <w:pPr>
              <w:pStyle w:val="14"/>
            </w:pPr>
            <w:r>
              <w:t>机关劳务派遣人员工资保险项目实施计划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机关劳务派遣人员劳务费发放及时率</w:t>
            </w:r>
          </w:p>
        </w:tc>
        <w:tc>
          <w:tcPr>
            <w:tcW w:w="2268" w:type="dxa"/>
            <w:vAlign w:val="center"/>
          </w:tcPr>
          <w:p>
            <w:pPr>
              <w:pStyle w:val="14"/>
            </w:pPr>
            <w:r>
              <w:t>≥95%</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≤347050.56元</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全年较大以上安全生产事故发生次数</w:t>
            </w:r>
          </w:p>
        </w:tc>
        <w:tc>
          <w:tcPr>
            <w:tcW w:w="2268" w:type="dxa"/>
            <w:vAlign w:val="center"/>
          </w:tcPr>
          <w:p>
            <w:pPr>
              <w:pStyle w:val="14"/>
            </w:pPr>
            <w:r>
              <w:t>0次</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劳务派遣人员满意度</w:t>
            </w:r>
          </w:p>
        </w:tc>
        <w:tc>
          <w:tcPr>
            <w:tcW w:w="5386" w:type="dxa"/>
            <w:vAlign w:val="center"/>
          </w:tcPr>
          <w:p>
            <w:pPr>
              <w:pStyle w:val="14"/>
            </w:pPr>
            <w:r>
              <w:t>机关劳务派遣人员满意度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8、森林草原消防大队基本运转经费绩效目标表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13062525P000208100087</w:t>
            </w:r>
          </w:p>
        </w:tc>
        <w:tc>
          <w:tcPr>
            <w:tcW w:w="2835" w:type="dxa"/>
            <w:vAlign w:val="center"/>
          </w:tcPr>
          <w:p>
            <w:pPr>
              <w:pStyle w:val="12"/>
            </w:pPr>
            <w:r>
              <w:t>项目名称</w:t>
            </w:r>
          </w:p>
        </w:tc>
        <w:tc>
          <w:tcPr>
            <w:tcW w:w="6095" w:type="dxa"/>
            <w:gridSpan w:val="3"/>
            <w:vAlign w:val="center"/>
          </w:tcPr>
          <w:p>
            <w:pPr>
              <w:pStyle w:val="14"/>
            </w:pPr>
            <w:r>
              <w:t>森林草原消防大队基本运转经费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7.42</w:t>
            </w:r>
          </w:p>
        </w:tc>
        <w:tc>
          <w:tcPr>
            <w:tcW w:w="2835" w:type="dxa"/>
            <w:vAlign w:val="center"/>
          </w:tcPr>
          <w:p>
            <w:pPr>
              <w:pStyle w:val="12"/>
            </w:pPr>
            <w:r>
              <w:t>其中：财政    资金</w:t>
            </w:r>
          </w:p>
        </w:tc>
        <w:tc>
          <w:tcPr>
            <w:tcW w:w="2551" w:type="dxa"/>
            <w:vAlign w:val="center"/>
          </w:tcPr>
          <w:p>
            <w:pPr>
              <w:pStyle w:val="14"/>
            </w:pPr>
            <w:r>
              <w:t>7.42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1.建立健全森林草原消防专业队伍体系，切实提升全省森林草原火灾和其他灾害事故应急救援水平。</w:t>
            </w:r>
          </w:p>
          <w:p>
            <w:pPr>
              <w:pStyle w:val="14"/>
            </w:pPr>
            <w:r>
              <w:t>2.森林草原消防大队实行准军事化管理，需雇佣厨师2人，解决消防队员饮食问题。</w:t>
            </w:r>
          </w:p>
          <w:p>
            <w:pPr>
              <w:pStyle w:val="14"/>
            </w:pPr>
            <w:r>
              <w:t>3.厨师每人每月工资3000元，全年需工资72000元；意外险年1000元；管理费每人每月50元，年需1200元。共计年需资金74200元。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雇佣厨师人数</w:t>
            </w:r>
          </w:p>
        </w:tc>
        <w:tc>
          <w:tcPr>
            <w:tcW w:w="5386" w:type="dxa"/>
            <w:vAlign w:val="center"/>
          </w:tcPr>
          <w:p>
            <w:pPr>
              <w:pStyle w:val="14"/>
            </w:pPr>
            <w:r>
              <w:t>森防大队雇佣厨师人数</w:t>
            </w:r>
          </w:p>
        </w:tc>
        <w:tc>
          <w:tcPr>
            <w:tcW w:w="2268" w:type="dxa"/>
            <w:vAlign w:val="center"/>
          </w:tcPr>
          <w:p>
            <w:pPr>
              <w:pStyle w:val="14"/>
            </w:pPr>
            <w:r>
              <w:t>2人</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厨师劳务费发放准确率</w:t>
            </w:r>
          </w:p>
        </w:tc>
        <w:tc>
          <w:tcPr>
            <w:tcW w:w="2268" w:type="dxa"/>
            <w:vAlign w:val="center"/>
          </w:tcPr>
          <w:p>
            <w:pPr>
              <w:pStyle w:val="14"/>
            </w:pPr>
            <w:r>
              <w:t>≥95%</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厨师劳务费发放及时率</w:t>
            </w:r>
          </w:p>
        </w:tc>
        <w:tc>
          <w:tcPr>
            <w:tcW w:w="2268" w:type="dxa"/>
            <w:vAlign w:val="center"/>
          </w:tcPr>
          <w:p>
            <w:pPr>
              <w:pStyle w:val="14"/>
            </w:pPr>
            <w:r>
              <w:t>≥95%</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≤74200元</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应急救援水平提升率</w:t>
            </w:r>
          </w:p>
        </w:tc>
        <w:tc>
          <w:tcPr>
            <w:tcW w:w="5386" w:type="dxa"/>
            <w:vAlign w:val="center"/>
          </w:tcPr>
          <w:p>
            <w:pPr>
              <w:pStyle w:val="14"/>
            </w:pPr>
            <w:r>
              <w:t>应急救援水平与去年同期对比提升率</w:t>
            </w:r>
          </w:p>
        </w:tc>
        <w:tc>
          <w:tcPr>
            <w:tcW w:w="2268" w:type="dxa"/>
            <w:vAlign w:val="center"/>
          </w:tcPr>
          <w:p>
            <w:pPr>
              <w:pStyle w:val="14"/>
            </w:pPr>
            <w:r>
              <w:t>≥50%</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消防队员满意度</w:t>
            </w:r>
          </w:p>
        </w:tc>
        <w:tc>
          <w:tcPr>
            <w:tcW w:w="5386" w:type="dxa"/>
            <w:vAlign w:val="center"/>
          </w:tcPr>
          <w:p>
            <w:pPr>
              <w:pStyle w:val="14"/>
            </w:pPr>
            <w:r>
              <w:t>森防大队消防队员满意度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9、森林草原专业消防队伍建设经费绩效目标表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13062525P00020810007K</w:t>
            </w:r>
          </w:p>
        </w:tc>
        <w:tc>
          <w:tcPr>
            <w:tcW w:w="2835" w:type="dxa"/>
            <w:vAlign w:val="center"/>
          </w:tcPr>
          <w:p>
            <w:pPr>
              <w:pStyle w:val="12"/>
            </w:pPr>
            <w:r>
              <w:t>项目名称</w:t>
            </w:r>
          </w:p>
        </w:tc>
        <w:tc>
          <w:tcPr>
            <w:tcW w:w="6095" w:type="dxa"/>
            <w:gridSpan w:val="3"/>
            <w:vAlign w:val="center"/>
          </w:tcPr>
          <w:p>
            <w:pPr>
              <w:pStyle w:val="14"/>
            </w:pPr>
            <w:r>
              <w:t>森林草原专业消防队伍建设经费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246.05</w:t>
            </w:r>
          </w:p>
        </w:tc>
        <w:tc>
          <w:tcPr>
            <w:tcW w:w="2835" w:type="dxa"/>
            <w:vAlign w:val="center"/>
          </w:tcPr>
          <w:p>
            <w:pPr>
              <w:pStyle w:val="12"/>
            </w:pPr>
            <w:r>
              <w:t>其中：财政    资金</w:t>
            </w:r>
          </w:p>
        </w:tc>
        <w:tc>
          <w:tcPr>
            <w:tcW w:w="2551" w:type="dxa"/>
            <w:vAlign w:val="center"/>
          </w:tcPr>
          <w:p>
            <w:pPr>
              <w:pStyle w:val="14"/>
            </w:pPr>
            <w:r>
              <w:t>246.05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1.建立健全森林草原消防专业队伍体系，切实提升全省森林草原火灾和其他灾害事故应急救援水平。</w:t>
            </w:r>
          </w:p>
          <w:p>
            <w:pPr>
              <w:pStyle w:val="14"/>
            </w:pPr>
            <w:r>
              <w:t>2.成立了森林草原消防专业队伍，森林草原消防大队实行准军事化管理，队员平时训练、备勤，发生火情、汛情等灾害时出动进行灭火、抢险救援任务。</w:t>
            </w:r>
          </w:p>
          <w:p>
            <w:pPr>
              <w:pStyle w:val="14"/>
            </w:pPr>
            <w:r>
              <w:t>3.项目资金2460547.20元，为队员40人支付工资缴纳四险一金。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森林草原消防专业队伍人数</w:t>
            </w:r>
          </w:p>
        </w:tc>
        <w:tc>
          <w:tcPr>
            <w:tcW w:w="5386" w:type="dxa"/>
            <w:vAlign w:val="center"/>
          </w:tcPr>
          <w:p>
            <w:pPr>
              <w:pStyle w:val="14"/>
            </w:pPr>
            <w:r>
              <w:t>森林草原消防专业队伍招聘劳务派遣人数</w:t>
            </w:r>
          </w:p>
        </w:tc>
        <w:tc>
          <w:tcPr>
            <w:tcW w:w="2268" w:type="dxa"/>
            <w:vAlign w:val="center"/>
          </w:tcPr>
          <w:p>
            <w:pPr>
              <w:pStyle w:val="14"/>
            </w:pPr>
            <w:r>
              <w:t>40人</w:t>
            </w:r>
          </w:p>
        </w:tc>
        <w:tc>
          <w:tcPr>
            <w:tcW w:w="1276" w:type="dxa"/>
            <w:vAlign w:val="center"/>
          </w:tcPr>
          <w:p>
            <w:pPr>
              <w:pStyle w:val="14"/>
            </w:pPr>
            <w:r>
              <w:t>《关于印发河北省森林草原消防专业队伍建设方案的通知》（冀政办字【2021】39号）《徐水区招聘森林草原消防专业队员的方案》</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森林草原消防大队劳务派遣人员劳务费发放准确率</w:t>
            </w:r>
          </w:p>
        </w:tc>
        <w:tc>
          <w:tcPr>
            <w:tcW w:w="2268" w:type="dxa"/>
            <w:vAlign w:val="center"/>
          </w:tcPr>
          <w:p>
            <w:pPr>
              <w:pStyle w:val="14"/>
            </w:pPr>
            <w:r>
              <w:t>100%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森林草原消防大队劳务派遣人员劳务费发放及时率</w:t>
            </w:r>
          </w:p>
        </w:tc>
        <w:tc>
          <w:tcPr>
            <w:tcW w:w="2268" w:type="dxa"/>
            <w:vAlign w:val="center"/>
          </w:tcPr>
          <w:p>
            <w:pPr>
              <w:pStyle w:val="14"/>
            </w:pPr>
            <w:r>
              <w:t>100%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≤2460547.2元</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应急救援水平提升率</w:t>
            </w:r>
          </w:p>
        </w:tc>
        <w:tc>
          <w:tcPr>
            <w:tcW w:w="5386" w:type="dxa"/>
            <w:vAlign w:val="center"/>
          </w:tcPr>
          <w:p>
            <w:pPr>
              <w:pStyle w:val="14"/>
            </w:pPr>
            <w:r>
              <w:t>应急救援水平与去年相比提升率</w:t>
            </w:r>
          </w:p>
        </w:tc>
        <w:tc>
          <w:tcPr>
            <w:tcW w:w="2268" w:type="dxa"/>
            <w:vAlign w:val="center"/>
          </w:tcPr>
          <w:p>
            <w:pPr>
              <w:pStyle w:val="14"/>
            </w:pPr>
            <w:r>
              <w:t>≥50%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消防队员满意度</w:t>
            </w:r>
          </w:p>
        </w:tc>
        <w:tc>
          <w:tcPr>
            <w:tcW w:w="5386" w:type="dxa"/>
            <w:vAlign w:val="center"/>
          </w:tcPr>
          <w:p>
            <w:pPr>
              <w:pStyle w:val="14"/>
            </w:pPr>
            <w:r>
              <w:t>森防大队消防队员满意度</w:t>
            </w:r>
          </w:p>
        </w:tc>
        <w:tc>
          <w:tcPr>
            <w:tcW w:w="2268" w:type="dxa"/>
            <w:vAlign w:val="center"/>
          </w:tcPr>
          <w:p>
            <w:pPr>
              <w:pStyle w:val="14"/>
            </w:pPr>
            <w:r>
              <w:t>≥90%</w:t>
            </w:r>
          </w:p>
        </w:tc>
        <w:tc>
          <w:tcPr>
            <w:tcW w:w="1276" w:type="dxa"/>
            <w:vAlign w:val="center"/>
          </w:tcPr>
          <w:p>
            <w:pPr>
              <w:pStyle w:val="14"/>
            </w:pPr>
            <w:r>
              <w:t>消防队员满意度调查问卷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10、提前下达2025年自然灾害救助专项资金绩效目标表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13062525P00020310001H</w:t>
            </w:r>
          </w:p>
        </w:tc>
        <w:tc>
          <w:tcPr>
            <w:tcW w:w="2835" w:type="dxa"/>
            <w:vAlign w:val="center"/>
          </w:tcPr>
          <w:p>
            <w:pPr>
              <w:pStyle w:val="12"/>
            </w:pPr>
            <w:r>
              <w:t>项目名称</w:t>
            </w:r>
          </w:p>
        </w:tc>
        <w:tc>
          <w:tcPr>
            <w:tcW w:w="6095" w:type="dxa"/>
            <w:gridSpan w:val="3"/>
            <w:vAlign w:val="center"/>
          </w:tcPr>
          <w:p>
            <w:pPr>
              <w:pStyle w:val="14"/>
            </w:pPr>
            <w:r>
              <w:t>提前下达2025年自然灾害救助专项资金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74.40</w:t>
            </w:r>
          </w:p>
        </w:tc>
        <w:tc>
          <w:tcPr>
            <w:tcW w:w="2835" w:type="dxa"/>
            <w:vAlign w:val="center"/>
          </w:tcPr>
          <w:p>
            <w:pPr>
              <w:pStyle w:val="12"/>
            </w:pPr>
            <w:r>
              <w:t>其中：财政    资金</w:t>
            </w:r>
          </w:p>
        </w:tc>
        <w:tc>
          <w:tcPr>
            <w:tcW w:w="2551" w:type="dxa"/>
            <w:vAlign w:val="center"/>
          </w:tcPr>
          <w:p>
            <w:pPr>
              <w:pStyle w:val="14"/>
            </w:pPr>
            <w:r>
              <w:t>74.40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用于支付农村住房灾害保险。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1.有效提高我省农村住房灾后重建保障能力和救助水平</w:t>
            </w:r>
          </w:p>
          <w:p>
            <w:pPr>
              <w:pStyle w:val="14"/>
            </w:pPr>
            <w:r>
              <w:t>2.项目资金74.4万元，用于为全区12.4万户农村住房支付农村住房灾害保险支出。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农房保险参保户数</w:t>
            </w:r>
          </w:p>
        </w:tc>
        <w:tc>
          <w:tcPr>
            <w:tcW w:w="5386" w:type="dxa"/>
            <w:vAlign w:val="center"/>
          </w:tcPr>
          <w:p>
            <w:pPr>
              <w:pStyle w:val="14"/>
            </w:pPr>
            <w:r>
              <w:t>农房保险参保户数</w:t>
            </w:r>
          </w:p>
        </w:tc>
        <w:tc>
          <w:tcPr>
            <w:tcW w:w="2268" w:type="dxa"/>
            <w:vAlign w:val="center"/>
          </w:tcPr>
          <w:p>
            <w:pPr>
              <w:pStyle w:val="14"/>
            </w:pPr>
            <w:r>
              <w:t>≥12.4万户</w:t>
            </w:r>
          </w:p>
        </w:tc>
        <w:tc>
          <w:tcPr>
            <w:tcW w:w="1276" w:type="dxa"/>
            <w:vAlign w:val="center"/>
          </w:tcPr>
          <w:p>
            <w:pPr>
              <w:pStyle w:val="14"/>
            </w:pPr>
            <w:r>
              <w:t>依据徐水区农村住房保险工作实施方案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农房保险覆盖率</w:t>
            </w:r>
          </w:p>
        </w:tc>
        <w:tc>
          <w:tcPr>
            <w:tcW w:w="5386" w:type="dxa"/>
            <w:vAlign w:val="center"/>
          </w:tcPr>
          <w:p>
            <w:pPr>
              <w:pStyle w:val="14"/>
            </w:pPr>
            <w:r>
              <w:t>农房保险覆盖乡镇占全部乡镇比例</w:t>
            </w:r>
          </w:p>
        </w:tc>
        <w:tc>
          <w:tcPr>
            <w:tcW w:w="2268" w:type="dxa"/>
            <w:vAlign w:val="center"/>
          </w:tcPr>
          <w:p>
            <w:pPr>
              <w:pStyle w:val="14"/>
            </w:pPr>
            <w:r>
              <w:t>100%</w:t>
            </w:r>
          </w:p>
        </w:tc>
        <w:tc>
          <w:tcPr>
            <w:tcW w:w="1276" w:type="dxa"/>
            <w:vAlign w:val="center"/>
          </w:tcPr>
          <w:p>
            <w:pPr>
              <w:pStyle w:val="14"/>
            </w:pPr>
            <w:r>
              <w:t>依据徐水区农村住房保险工作实施方案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投保及时率</w:t>
            </w:r>
          </w:p>
        </w:tc>
        <w:tc>
          <w:tcPr>
            <w:tcW w:w="5386" w:type="dxa"/>
            <w:vAlign w:val="center"/>
          </w:tcPr>
          <w:p>
            <w:pPr>
              <w:pStyle w:val="14"/>
            </w:pPr>
            <w:r>
              <w:t>投保及时率</w:t>
            </w:r>
          </w:p>
        </w:tc>
        <w:tc>
          <w:tcPr>
            <w:tcW w:w="2268" w:type="dxa"/>
            <w:vAlign w:val="center"/>
          </w:tcPr>
          <w:p>
            <w:pPr>
              <w:pStyle w:val="14"/>
            </w:pPr>
            <w:r>
              <w:t>≥95%</w:t>
            </w:r>
          </w:p>
        </w:tc>
        <w:tc>
          <w:tcPr>
            <w:tcW w:w="1276" w:type="dxa"/>
            <w:vAlign w:val="center"/>
          </w:tcPr>
          <w:p>
            <w:pPr>
              <w:pStyle w:val="14"/>
            </w:pPr>
            <w:r>
              <w:t>依据冀应急【2020】24号《河北省应急管理厅等三部门关于进一步加强和规范全省政策性农房保险工作的通知》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≤74.4万元</w:t>
            </w:r>
          </w:p>
        </w:tc>
        <w:tc>
          <w:tcPr>
            <w:tcW w:w="1276" w:type="dxa"/>
            <w:vAlign w:val="center"/>
          </w:tcPr>
          <w:p>
            <w:pPr>
              <w:pStyle w:val="14"/>
            </w:pPr>
            <w:r>
              <w:t>依据保财建【2023】83号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农房保险理赔保障率</w:t>
            </w:r>
          </w:p>
        </w:tc>
        <w:tc>
          <w:tcPr>
            <w:tcW w:w="5386" w:type="dxa"/>
            <w:vAlign w:val="center"/>
          </w:tcPr>
          <w:p>
            <w:pPr>
              <w:pStyle w:val="14"/>
            </w:pPr>
            <w:r>
              <w:t>农房保险理赔保障率</w:t>
            </w:r>
          </w:p>
        </w:tc>
        <w:tc>
          <w:tcPr>
            <w:tcW w:w="2268" w:type="dxa"/>
            <w:vAlign w:val="center"/>
          </w:tcPr>
          <w:p>
            <w:pPr>
              <w:pStyle w:val="14"/>
            </w:pPr>
            <w:r>
              <w:t>100%</w:t>
            </w:r>
          </w:p>
        </w:tc>
        <w:tc>
          <w:tcPr>
            <w:tcW w:w="1276" w:type="dxa"/>
            <w:vAlign w:val="center"/>
          </w:tcPr>
          <w:p>
            <w:pPr>
              <w:pStyle w:val="14"/>
            </w:pPr>
            <w:r>
              <w:t>依据保财建【2023】83号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保险理赔群众满意度</w:t>
            </w:r>
          </w:p>
        </w:tc>
        <w:tc>
          <w:tcPr>
            <w:tcW w:w="5386" w:type="dxa"/>
            <w:vAlign w:val="center"/>
          </w:tcPr>
          <w:p>
            <w:pPr>
              <w:pStyle w:val="14"/>
            </w:pPr>
            <w:r>
              <w:t>保险理赔群众满意率</w:t>
            </w:r>
          </w:p>
        </w:tc>
        <w:tc>
          <w:tcPr>
            <w:tcW w:w="2268" w:type="dxa"/>
            <w:vAlign w:val="center"/>
          </w:tcPr>
          <w:p>
            <w:pPr>
              <w:pStyle w:val="14"/>
            </w:pPr>
            <w:r>
              <w:t>≥95%</w:t>
            </w:r>
          </w:p>
        </w:tc>
        <w:tc>
          <w:tcPr>
            <w:tcW w:w="1276" w:type="dxa"/>
            <w:vAlign w:val="center"/>
          </w:tcPr>
          <w:p>
            <w:pPr>
              <w:pStyle w:val="14"/>
            </w:pPr>
            <w:r>
              <w:t>依据满意度调查表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11、退役军人专岗人员提高待遇资金绩效目标表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13062525P000229100450</w:t>
            </w:r>
          </w:p>
        </w:tc>
        <w:tc>
          <w:tcPr>
            <w:tcW w:w="2835" w:type="dxa"/>
            <w:vAlign w:val="center"/>
          </w:tcPr>
          <w:p>
            <w:pPr>
              <w:pStyle w:val="12"/>
            </w:pPr>
            <w:r>
              <w:t>项目名称</w:t>
            </w:r>
          </w:p>
        </w:tc>
        <w:tc>
          <w:tcPr>
            <w:tcW w:w="6095" w:type="dxa"/>
            <w:gridSpan w:val="3"/>
            <w:vAlign w:val="center"/>
          </w:tcPr>
          <w:p>
            <w:pPr>
              <w:pStyle w:val="14"/>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0.36</w:t>
            </w:r>
          </w:p>
        </w:tc>
        <w:tc>
          <w:tcPr>
            <w:tcW w:w="2835" w:type="dxa"/>
            <w:vAlign w:val="center"/>
          </w:tcPr>
          <w:p>
            <w:pPr>
              <w:pStyle w:val="12"/>
            </w:pPr>
            <w:r>
              <w:t>其中：财政    资金</w:t>
            </w:r>
          </w:p>
        </w:tc>
        <w:tc>
          <w:tcPr>
            <w:tcW w:w="2551" w:type="dxa"/>
            <w:vAlign w:val="center"/>
          </w:tcPr>
          <w:p>
            <w:pPr>
              <w:pStyle w:val="14"/>
            </w:pPr>
            <w:r>
              <w:t>0.36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用于退役军人出勤补贴支出。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1.提高退役军人专岗待遇，保证专岗人员更好发挥作用。</w:t>
            </w:r>
          </w:p>
          <w:p>
            <w:pPr>
              <w:pStyle w:val="14"/>
            </w:pPr>
            <w:r>
              <w:t>2.每人每月300元，共计1人，按月及时足额发放到位，落实专岗人员待遇。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补贴退役军人数量</w:t>
            </w:r>
          </w:p>
        </w:tc>
        <w:tc>
          <w:tcPr>
            <w:tcW w:w="5386" w:type="dxa"/>
            <w:vAlign w:val="center"/>
          </w:tcPr>
          <w:p>
            <w:pPr>
              <w:pStyle w:val="14"/>
            </w:pPr>
            <w:r>
              <w:t>领取出勤补贴退役军人数量</w:t>
            </w:r>
          </w:p>
        </w:tc>
        <w:tc>
          <w:tcPr>
            <w:tcW w:w="2268" w:type="dxa"/>
            <w:vAlign w:val="center"/>
          </w:tcPr>
          <w:p>
            <w:pPr>
              <w:pStyle w:val="14"/>
            </w:pPr>
            <w:r>
              <w:t>1人</w:t>
            </w:r>
          </w:p>
        </w:tc>
        <w:tc>
          <w:tcPr>
            <w:tcW w:w="1276" w:type="dxa"/>
            <w:vAlign w:val="center"/>
          </w:tcPr>
          <w:p>
            <w:pPr>
              <w:pStyle w:val="14"/>
            </w:pPr>
            <w:r>
              <w:t xml:space="preserve"> 退役军人专岗人员提高待遇资金分配表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退役军人出勤补贴发放准确率</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退役军人出勤补贴发放及时率</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补贴月发放标准</w:t>
            </w:r>
          </w:p>
        </w:tc>
        <w:tc>
          <w:tcPr>
            <w:tcW w:w="5386" w:type="dxa"/>
            <w:vAlign w:val="center"/>
          </w:tcPr>
          <w:p>
            <w:pPr>
              <w:pStyle w:val="14"/>
            </w:pPr>
            <w:r>
              <w:t>退役军人出勤补贴月发放标准</w:t>
            </w:r>
          </w:p>
        </w:tc>
        <w:tc>
          <w:tcPr>
            <w:tcW w:w="2268" w:type="dxa"/>
            <w:vAlign w:val="center"/>
          </w:tcPr>
          <w:p>
            <w:pPr>
              <w:pStyle w:val="14"/>
            </w:pPr>
            <w:r>
              <w:t>≤300元</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专岗人员上访次数</w:t>
            </w:r>
          </w:p>
        </w:tc>
        <w:tc>
          <w:tcPr>
            <w:tcW w:w="5386" w:type="dxa"/>
            <w:vAlign w:val="center"/>
          </w:tcPr>
          <w:p>
            <w:pPr>
              <w:pStyle w:val="14"/>
            </w:pPr>
            <w:r>
              <w:t>专岗人员因生活补贴上访的次数</w:t>
            </w:r>
          </w:p>
        </w:tc>
        <w:tc>
          <w:tcPr>
            <w:tcW w:w="2268" w:type="dxa"/>
            <w:vAlign w:val="center"/>
          </w:tcPr>
          <w:p>
            <w:pPr>
              <w:pStyle w:val="14"/>
            </w:pPr>
            <w:r>
              <w:t>≤2次</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退役军人满意率</w:t>
            </w:r>
          </w:p>
        </w:tc>
        <w:tc>
          <w:tcPr>
            <w:tcW w:w="5386" w:type="dxa"/>
            <w:vAlign w:val="center"/>
          </w:tcPr>
          <w:p>
            <w:pPr>
              <w:pStyle w:val="14"/>
            </w:pPr>
            <w:r>
              <w:t>退役军人对补贴发放满意率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12、网络视频系统服务费绩效目标表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13062525P00003110015N</w:t>
            </w:r>
          </w:p>
        </w:tc>
        <w:tc>
          <w:tcPr>
            <w:tcW w:w="2835" w:type="dxa"/>
            <w:vAlign w:val="center"/>
          </w:tcPr>
          <w:p>
            <w:pPr>
              <w:pStyle w:val="12"/>
            </w:pPr>
            <w:r>
              <w:t>项目名称</w:t>
            </w:r>
          </w:p>
        </w:tc>
        <w:tc>
          <w:tcPr>
            <w:tcW w:w="6095" w:type="dxa"/>
            <w:gridSpan w:val="3"/>
            <w:vAlign w:val="center"/>
          </w:tcPr>
          <w:p>
            <w:pPr>
              <w:pStyle w:val="14"/>
            </w:pPr>
            <w:r>
              <w:t>网络视频系统服务费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0.96</w:t>
            </w:r>
          </w:p>
        </w:tc>
        <w:tc>
          <w:tcPr>
            <w:tcW w:w="2835" w:type="dxa"/>
            <w:vAlign w:val="center"/>
          </w:tcPr>
          <w:p>
            <w:pPr>
              <w:pStyle w:val="12"/>
            </w:pPr>
            <w:r>
              <w:t>其中：财政    资金</w:t>
            </w:r>
          </w:p>
        </w:tc>
        <w:tc>
          <w:tcPr>
            <w:tcW w:w="2551" w:type="dxa"/>
            <w:vAlign w:val="center"/>
          </w:tcPr>
          <w:p>
            <w:pPr>
              <w:pStyle w:val="14"/>
            </w:pPr>
            <w:r>
              <w:t>0.96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用于支付应急网络视频系统服务费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1.项目资金9600元，缴纳1套网络视频系统每年所需服务费。</w:t>
            </w:r>
          </w:p>
          <w:p>
            <w:pPr>
              <w:pStyle w:val="14"/>
            </w:pPr>
            <w:r>
              <w:t>2.有力保障应急综合管理工作，有效提升应急救援管理水平。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网络视频系统使用数量</w:t>
            </w:r>
          </w:p>
        </w:tc>
        <w:tc>
          <w:tcPr>
            <w:tcW w:w="5386" w:type="dxa"/>
            <w:vAlign w:val="center"/>
          </w:tcPr>
          <w:p>
            <w:pPr>
              <w:pStyle w:val="14"/>
            </w:pPr>
            <w:r>
              <w:t>网络视频系统使用数量</w:t>
            </w:r>
          </w:p>
        </w:tc>
        <w:tc>
          <w:tcPr>
            <w:tcW w:w="2268" w:type="dxa"/>
            <w:vAlign w:val="center"/>
          </w:tcPr>
          <w:p>
            <w:pPr>
              <w:pStyle w:val="14"/>
            </w:pPr>
            <w:r>
              <w:t>1套</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服务费支付准确率</w:t>
            </w:r>
          </w:p>
        </w:tc>
        <w:tc>
          <w:tcPr>
            <w:tcW w:w="5386" w:type="dxa"/>
            <w:vAlign w:val="center"/>
          </w:tcPr>
          <w:p>
            <w:pPr>
              <w:pStyle w:val="14"/>
            </w:pPr>
            <w:r>
              <w:t>网络服务费支付准确率</w:t>
            </w:r>
          </w:p>
        </w:tc>
        <w:tc>
          <w:tcPr>
            <w:tcW w:w="2268" w:type="dxa"/>
            <w:vAlign w:val="center"/>
          </w:tcPr>
          <w:p>
            <w:pPr>
              <w:pStyle w:val="14"/>
            </w:pPr>
            <w:r>
              <w:t>≥95%</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服务费支付及时率</w:t>
            </w:r>
          </w:p>
        </w:tc>
        <w:tc>
          <w:tcPr>
            <w:tcW w:w="5386" w:type="dxa"/>
            <w:vAlign w:val="center"/>
          </w:tcPr>
          <w:p>
            <w:pPr>
              <w:pStyle w:val="14"/>
            </w:pPr>
            <w:r>
              <w:t>网络服务费支付及时率</w:t>
            </w:r>
          </w:p>
        </w:tc>
        <w:tc>
          <w:tcPr>
            <w:tcW w:w="2268" w:type="dxa"/>
            <w:vAlign w:val="center"/>
          </w:tcPr>
          <w:p>
            <w:pPr>
              <w:pStyle w:val="14"/>
            </w:pPr>
            <w:r>
              <w:t>≥95%</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项目支出控制在预算范围内</w:t>
            </w:r>
          </w:p>
        </w:tc>
        <w:tc>
          <w:tcPr>
            <w:tcW w:w="2268" w:type="dxa"/>
            <w:vAlign w:val="center"/>
          </w:tcPr>
          <w:p>
            <w:pPr>
              <w:pStyle w:val="14"/>
            </w:pPr>
            <w:r>
              <w:t>≤9600元</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较大以上安全生产事故年发生数</w:t>
            </w:r>
          </w:p>
        </w:tc>
        <w:tc>
          <w:tcPr>
            <w:tcW w:w="2268" w:type="dxa"/>
            <w:vAlign w:val="center"/>
          </w:tcPr>
          <w:p>
            <w:pPr>
              <w:pStyle w:val="14"/>
            </w:pPr>
            <w:r>
              <w:t>0次</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使用网络视频系统工作人员满意度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13、下达中央自然灾害救助资金预算绩效目标表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13062524P000017106624</w:t>
            </w:r>
          </w:p>
        </w:tc>
        <w:tc>
          <w:tcPr>
            <w:tcW w:w="2835" w:type="dxa"/>
            <w:vAlign w:val="center"/>
          </w:tcPr>
          <w:p>
            <w:pPr>
              <w:pStyle w:val="12"/>
            </w:pPr>
            <w:r>
              <w:t>项目名称</w:t>
            </w:r>
          </w:p>
        </w:tc>
        <w:tc>
          <w:tcPr>
            <w:tcW w:w="6095" w:type="dxa"/>
            <w:gridSpan w:val="3"/>
            <w:vAlign w:val="center"/>
          </w:tcPr>
          <w:p>
            <w:pPr>
              <w:pStyle w:val="14"/>
            </w:pPr>
            <w:r>
              <w:t>下达中央自然灾害救助资金预算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依照省市文件规定，现下达我区2024年中央自然灾害救灾资金8万元，资金用于洪涝灾害抢险救援相关工作。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1.通过项目实施确保我区汛期安全，有效减少洪涝灾害对我区人民生命财产安全造成的损失。</w:t>
            </w:r>
          </w:p>
          <w:p>
            <w:pPr>
              <w:pStyle w:val="14"/>
            </w:pPr>
            <w:r>
              <w:t>2.项目资金八万元，用于购置防汛物资一批。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防汛救灾工作覆盖乡镇数量</w:t>
            </w:r>
          </w:p>
        </w:tc>
        <w:tc>
          <w:tcPr>
            <w:tcW w:w="5386" w:type="dxa"/>
            <w:vAlign w:val="center"/>
          </w:tcPr>
          <w:p>
            <w:pPr>
              <w:pStyle w:val="14"/>
            </w:pPr>
            <w:r>
              <w:t>防汛救灾工作覆盖我区乡镇数量</w:t>
            </w:r>
          </w:p>
        </w:tc>
        <w:tc>
          <w:tcPr>
            <w:tcW w:w="2268" w:type="dxa"/>
            <w:vAlign w:val="center"/>
          </w:tcPr>
          <w:p>
            <w:pPr>
              <w:pStyle w:val="14"/>
            </w:pPr>
            <w:r>
              <w:t>15个</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购置物资合格率</w:t>
            </w:r>
          </w:p>
        </w:tc>
        <w:tc>
          <w:tcPr>
            <w:tcW w:w="5386" w:type="dxa"/>
            <w:vAlign w:val="center"/>
          </w:tcPr>
          <w:p>
            <w:pPr>
              <w:pStyle w:val="14"/>
            </w:pPr>
            <w:r>
              <w:t>反映购置防汛物资验收合格比例</w:t>
            </w:r>
          </w:p>
        </w:tc>
        <w:tc>
          <w:tcPr>
            <w:tcW w:w="2268" w:type="dxa"/>
            <w:vAlign w:val="center"/>
          </w:tcPr>
          <w:p>
            <w:pPr>
              <w:pStyle w:val="14"/>
            </w:pPr>
            <w:r>
              <w:t>100%</w:t>
            </w:r>
          </w:p>
        </w:tc>
        <w:tc>
          <w:tcPr>
            <w:tcW w:w="1276" w:type="dxa"/>
            <w:vAlign w:val="center"/>
          </w:tcPr>
          <w:p>
            <w:pPr>
              <w:pStyle w:val="14"/>
            </w:pPr>
            <w:r>
              <w:t>履约验收书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购置物资及时率</w:t>
            </w:r>
          </w:p>
        </w:tc>
        <w:tc>
          <w:tcPr>
            <w:tcW w:w="5386" w:type="dxa"/>
            <w:vAlign w:val="center"/>
          </w:tcPr>
          <w:p>
            <w:pPr>
              <w:pStyle w:val="14"/>
            </w:pPr>
            <w:r>
              <w:t>反映购置防汛物资及时率</w:t>
            </w:r>
          </w:p>
        </w:tc>
        <w:tc>
          <w:tcPr>
            <w:tcW w:w="2268" w:type="dxa"/>
            <w:vAlign w:val="center"/>
          </w:tcPr>
          <w:p>
            <w:pPr>
              <w:pStyle w:val="14"/>
            </w:pPr>
            <w:r>
              <w:t>≥95%</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购置物资总成本</w:t>
            </w:r>
          </w:p>
        </w:tc>
        <w:tc>
          <w:tcPr>
            <w:tcW w:w="5386" w:type="dxa"/>
            <w:vAlign w:val="center"/>
          </w:tcPr>
          <w:p>
            <w:pPr>
              <w:pStyle w:val="14"/>
            </w:pPr>
            <w:r>
              <w:t>购置防汛物资总成本控制在预算范围内</w:t>
            </w:r>
          </w:p>
        </w:tc>
        <w:tc>
          <w:tcPr>
            <w:tcW w:w="2268" w:type="dxa"/>
            <w:vAlign w:val="center"/>
          </w:tcPr>
          <w:p>
            <w:pPr>
              <w:pStyle w:val="14"/>
            </w:pPr>
            <w:r>
              <w:t>≤8万元</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全年应急救援任务有效完成率</w:t>
            </w:r>
          </w:p>
        </w:tc>
        <w:tc>
          <w:tcPr>
            <w:tcW w:w="2268" w:type="dxa"/>
            <w:vAlign w:val="center"/>
          </w:tcPr>
          <w:p>
            <w:pPr>
              <w:pStyle w:val="14"/>
            </w:pPr>
            <w:r>
              <w:t>≥90%</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受援群众投诉率(%)</w:t>
            </w:r>
          </w:p>
        </w:tc>
        <w:tc>
          <w:tcPr>
            <w:tcW w:w="5386" w:type="dxa"/>
            <w:vAlign w:val="center"/>
          </w:tcPr>
          <w:p>
            <w:pPr>
              <w:pStyle w:val="14"/>
            </w:pPr>
            <w:r>
              <w:t>受援群众投诉率(%)</w:t>
            </w:r>
          </w:p>
        </w:tc>
        <w:tc>
          <w:tcPr>
            <w:tcW w:w="2268" w:type="dxa"/>
            <w:vAlign w:val="center"/>
          </w:tcPr>
          <w:p>
            <w:pPr>
              <w:pStyle w:val="14"/>
            </w:pPr>
            <w:r>
              <w:t>&lt;1%</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14、应急综合管理工作经费绩效目标表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13062525P00002410116D</w:t>
            </w:r>
          </w:p>
        </w:tc>
        <w:tc>
          <w:tcPr>
            <w:tcW w:w="2835" w:type="dxa"/>
            <w:vAlign w:val="center"/>
          </w:tcPr>
          <w:p>
            <w:pPr>
              <w:pStyle w:val="12"/>
            </w:pPr>
            <w:r>
              <w:t>项目名称</w:t>
            </w:r>
          </w:p>
        </w:tc>
        <w:tc>
          <w:tcPr>
            <w:tcW w:w="6095" w:type="dxa"/>
            <w:gridSpan w:val="3"/>
            <w:vAlign w:val="center"/>
          </w:tcPr>
          <w:p>
            <w:pPr>
              <w:pStyle w:val="14"/>
            </w:pPr>
            <w:r>
              <w:t>应急综合管理工作经费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22.25</w:t>
            </w:r>
          </w:p>
        </w:tc>
        <w:tc>
          <w:tcPr>
            <w:tcW w:w="2835" w:type="dxa"/>
            <w:vAlign w:val="center"/>
          </w:tcPr>
          <w:p>
            <w:pPr>
              <w:pStyle w:val="12"/>
            </w:pPr>
            <w:r>
              <w:t>其中：财政    资金</w:t>
            </w:r>
          </w:p>
        </w:tc>
        <w:tc>
          <w:tcPr>
            <w:tcW w:w="2551" w:type="dxa"/>
            <w:vAlign w:val="center"/>
          </w:tcPr>
          <w:p>
            <w:pPr>
              <w:pStyle w:val="14"/>
            </w:pPr>
            <w:r>
              <w:t>22.25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用于单位负责的全区性工作经费支出。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1.通过项目开展，有力保障应急综合管理工作，将事故和灾害造成的人身、财产损失降到最低。</w:t>
            </w:r>
          </w:p>
          <w:p>
            <w:pPr>
              <w:pStyle w:val="14"/>
            </w:pPr>
            <w:r>
              <w:t>2.开展5次以上应急演练，以对应急预案进行查漏补缺，达到锻炼应急救援队伍，有效提升应急救援管理水平。</w:t>
            </w:r>
          </w:p>
          <w:p>
            <w:pPr>
              <w:pStyle w:val="14"/>
            </w:pPr>
            <w:r>
              <w:t>3.购置设备11台，提高单位办公能力及信息化水平，更好为全区应急管理工作服务。印刷应急救援、地震科普宣传材料20000册，做好全区应急管理宣传工作。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应急演练次数</w:t>
            </w:r>
          </w:p>
        </w:tc>
        <w:tc>
          <w:tcPr>
            <w:tcW w:w="5386" w:type="dxa"/>
            <w:vAlign w:val="center"/>
          </w:tcPr>
          <w:p>
            <w:pPr>
              <w:pStyle w:val="14"/>
            </w:pPr>
            <w:r>
              <w:t>应急救援、安全生产各项演练次数</w:t>
            </w:r>
          </w:p>
        </w:tc>
        <w:tc>
          <w:tcPr>
            <w:tcW w:w="2268" w:type="dxa"/>
            <w:vAlign w:val="center"/>
          </w:tcPr>
          <w:p>
            <w:pPr>
              <w:pStyle w:val="14"/>
            </w:pPr>
            <w:r>
              <w:t>≥5次</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应急管理各种设备购置数量</w:t>
            </w:r>
          </w:p>
        </w:tc>
        <w:tc>
          <w:tcPr>
            <w:tcW w:w="2268" w:type="dxa"/>
            <w:vAlign w:val="center"/>
          </w:tcPr>
          <w:p>
            <w:pPr>
              <w:pStyle w:val="14"/>
            </w:pPr>
            <w:r>
              <w:t>11台</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宣传品印刷数量</w:t>
            </w:r>
          </w:p>
        </w:tc>
        <w:tc>
          <w:tcPr>
            <w:tcW w:w="5386" w:type="dxa"/>
            <w:vAlign w:val="center"/>
          </w:tcPr>
          <w:p>
            <w:pPr>
              <w:pStyle w:val="14"/>
            </w:pPr>
            <w:r>
              <w:t>全年宣传品印刷数量</w:t>
            </w:r>
          </w:p>
        </w:tc>
        <w:tc>
          <w:tcPr>
            <w:tcW w:w="2268" w:type="dxa"/>
            <w:vAlign w:val="center"/>
          </w:tcPr>
          <w:p>
            <w:pPr>
              <w:pStyle w:val="14"/>
            </w:pPr>
            <w:r>
              <w:t>≥20000册</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5386" w:type="dxa"/>
            <w:vAlign w:val="center"/>
          </w:tcPr>
          <w:p>
            <w:pPr>
              <w:pStyle w:val="14"/>
            </w:pPr>
            <w:r>
              <w:t>购置各项设备合格率</w:t>
            </w:r>
          </w:p>
        </w:tc>
        <w:tc>
          <w:tcPr>
            <w:tcW w:w="2268" w:type="dxa"/>
            <w:vAlign w:val="center"/>
          </w:tcPr>
          <w:p>
            <w:pPr>
              <w:pStyle w:val="14"/>
            </w:pPr>
            <w:r>
              <w:t>100%</w:t>
            </w:r>
          </w:p>
        </w:tc>
        <w:tc>
          <w:tcPr>
            <w:tcW w:w="1276" w:type="dxa"/>
            <w:vAlign w:val="center"/>
          </w:tcPr>
          <w:p>
            <w:pPr>
              <w:pStyle w:val="14"/>
            </w:pPr>
            <w:r>
              <w:t>设备履约验收书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应急救援系统正常运行率</w:t>
            </w:r>
          </w:p>
        </w:tc>
        <w:tc>
          <w:tcPr>
            <w:tcW w:w="5386" w:type="dxa"/>
            <w:vAlign w:val="center"/>
          </w:tcPr>
          <w:p>
            <w:pPr>
              <w:pStyle w:val="14"/>
            </w:pPr>
            <w:r>
              <w:t>应急救援系统全年正常运行率</w:t>
            </w:r>
          </w:p>
        </w:tc>
        <w:tc>
          <w:tcPr>
            <w:tcW w:w="2268" w:type="dxa"/>
            <w:vAlign w:val="center"/>
          </w:tcPr>
          <w:p>
            <w:pPr>
              <w:pStyle w:val="14"/>
            </w:pPr>
            <w:r>
              <w:t>100%</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应急演练及时率</w:t>
            </w:r>
          </w:p>
        </w:tc>
        <w:tc>
          <w:tcPr>
            <w:tcW w:w="5386" w:type="dxa"/>
            <w:vAlign w:val="center"/>
          </w:tcPr>
          <w:p>
            <w:pPr>
              <w:pStyle w:val="14"/>
            </w:pPr>
            <w:r>
              <w:t>应急救援等各类应急演练及时率</w:t>
            </w:r>
          </w:p>
        </w:tc>
        <w:tc>
          <w:tcPr>
            <w:tcW w:w="2268" w:type="dxa"/>
            <w:vAlign w:val="center"/>
          </w:tcPr>
          <w:p>
            <w:pPr>
              <w:pStyle w:val="14"/>
            </w:pPr>
            <w:r>
              <w:t>100%</w:t>
            </w:r>
          </w:p>
        </w:tc>
        <w:tc>
          <w:tcPr>
            <w:tcW w:w="1276" w:type="dxa"/>
            <w:vAlign w:val="center"/>
          </w:tcPr>
          <w:p>
            <w:pPr>
              <w:pStyle w:val="14"/>
            </w:pPr>
            <w:r>
              <w:t>演练计划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w:t>
            </w:r>
          </w:p>
        </w:tc>
        <w:tc>
          <w:tcPr>
            <w:tcW w:w="5386" w:type="dxa"/>
            <w:vAlign w:val="center"/>
          </w:tcPr>
          <w:p>
            <w:pPr>
              <w:pStyle w:val="14"/>
            </w:pPr>
            <w:r>
              <w:t>项目支出控制在预算范围内</w:t>
            </w:r>
          </w:p>
        </w:tc>
        <w:tc>
          <w:tcPr>
            <w:tcW w:w="2268" w:type="dxa"/>
            <w:vAlign w:val="center"/>
          </w:tcPr>
          <w:p>
            <w:pPr>
              <w:pStyle w:val="14"/>
            </w:pPr>
            <w:r>
              <w:t>≤22.25万元</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全年应急救援任务有效完成率</w:t>
            </w:r>
          </w:p>
        </w:tc>
        <w:tc>
          <w:tcPr>
            <w:tcW w:w="2268" w:type="dxa"/>
            <w:vAlign w:val="center"/>
          </w:tcPr>
          <w:p>
            <w:pPr>
              <w:pStyle w:val="14"/>
            </w:pPr>
            <w:r>
              <w:t>≥95%</w:t>
            </w:r>
          </w:p>
        </w:tc>
        <w:tc>
          <w:tcPr>
            <w:tcW w:w="1276" w:type="dxa"/>
            <w:vAlign w:val="center"/>
          </w:tcPr>
          <w:p>
            <w:pPr>
              <w:pStyle w:val="14"/>
            </w:pPr>
            <w:r>
              <w:t>依据应急综合管理工作经费项目实施计划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426保定市徐水区应急管理局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79.40</w:t>
            </w:r>
          </w:p>
        </w:tc>
        <w:tc>
          <w:tcPr>
            <w:tcW w:w="964" w:type="dxa"/>
            <w:vAlign w:val="center"/>
          </w:tcPr>
          <w:p>
            <w:pPr>
              <w:pStyle w:val="17"/>
            </w:pPr>
            <w:r>
              <w:t>79.40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保定市徐水区应急管理局本级小计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79.40</w:t>
            </w:r>
          </w:p>
        </w:tc>
        <w:tc>
          <w:tcPr>
            <w:tcW w:w="964" w:type="dxa"/>
            <w:vAlign w:val="center"/>
          </w:tcPr>
          <w:p>
            <w:pPr>
              <w:pStyle w:val="17"/>
            </w:pPr>
            <w:r>
              <w:t>79.40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提前下达2025年自然灾害救助专项资金</w:t>
            </w:r>
          </w:p>
        </w:tc>
        <w:tc>
          <w:tcPr>
            <w:tcW w:w="964" w:type="dxa"/>
            <w:vAlign w:val="center"/>
          </w:tcPr>
          <w:p>
            <w:pPr>
              <w:pStyle w:val="13"/>
            </w:pPr>
            <w:r>
              <w:t>74.40</w:t>
            </w:r>
          </w:p>
        </w:tc>
        <w:tc>
          <w:tcPr>
            <w:tcW w:w="1134" w:type="dxa"/>
            <w:vAlign w:val="center"/>
          </w:tcPr>
          <w:p>
            <w:pPr>
              <w:pStyle w:val="14"/>
            </w:pPr>
            <w:r>
              <w:t>其他商业保险服务</w:t>
            </w:r>
          </w:p>
        </w:tc>
        <w:tc>
          <w:tcPr>
            <w:tcW w:w="1134" w:type="dxa"/>
            <w:vAlign w:val="center"/>
          </w:tcPr>
          <w:p>
            <w:pPr>
              <w:pStyle w:val="14"/>
            </w:pPr>
            <w:r>
              <w:t>C18040199</w:t>
            </w:r>
          </w:p>
        </w:tc>
        <w:tc>
          <w:tcPr>
            <w:tcW w:w="709" w:type="dxa"/>
            <w:vAlign w:val="center"/>
          </w:tcPr>
          <w:p>
            <w:pPr>
              <w:pStyle w:val="15"/>
            </w:pPr>
            <w:r>
              <w:t>户</w:t>
            </w:r>
          </w:p>
        </w:tc>
        <w:tc>
          <w:tcPr>
            <w:tcW w:w="850" w:type="dxa"/>
            <w:vAlign w:val="center"/>
          </w:tcPr>
          <w:p>
            <w:pPr>
              <w:pStyle w:val="13"/>
            </w:pPr>
            <w:r>
              <w:t>124000</w:t>
            </w:r>
          </w:p>
        </w:tc>
        <w:tc>
          <w:tcPr>
            <w:tcW w:w="850" w:type="dxa"/>
            <w:vAlign w:val="center"/>
          </w:tcPr>
          <w:p>
            <w:pPr>
              <w:pStyle w:val="13"/>
            </w:pPr>
            <w:r>
              <w:t>0.00</w:t>
            </w:r>
          </w:p>
        </w:tc>
        <w:tc>
          <w:tcPr>
            <w:tcW w:w="964" w:type="dxa"/>
            <w:vAlign w:val="center"/>
          </w:tcPr>
          <w:p>
            <w:pPr>
              <w:pStyle w:val="13"/>
            </w:pPr>
            <w:r>
              <w:t>74.40</w:t>
            </w:r>
          </w:p>
        </w:tc>
        <w:tc>
          <w:tcPr>
            <w:tcW w:w="964" w:type="dxa"/>
            <w:vAlign w:val="center"/>
          </w:tcPr>
          <w:p>
            <w:pPr>
              <w:pStyle w:val="13"/>
            </w:pPr>
            <w:r>
              <w:t>74.40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应急综合管理工作经费</w:t>
            </w:r>
          </w:p>
        </w:tc>
        <w:tc>
          <w:tcPr>
            <w:tcW w:w="964" w:type="dxa"/>
            <w:vAlign w:val="center"/>
          </w:tcPr>
          <w:p>
            <w:pPr>
              <w:pStyle w:val="13"/>
            </w:pPr>
            <w:r>
              <w:t>22.25</w:t>
            </w:r>
          </w:p>
        </w:tc>
        <w:tc>
          <w:tcPr>
            <w:tcW w:w="1134" w:type="dxa"/>
            <w:vAlign w:val="center"/>
          </w:tcPr>
          <w:p>
            <w:pPr>
              <w:pStyle w:val="14"/>
            </w:pPr>
            <w:r>
              <w:t>水下照明灯</w:t>
            </w:r>
          </w:p>
        </w:tc>
        <w:tc>
          <w:tcPr>
            <w:tcW w:w="1134" w:type="dxa"/>
            <w:vAlign w:val="center"/>
          </w:tcPr>
          <w:p>
            <w:pPr>
              <w:pStyle w:val="14"/>
            </w:pPr>
            <w:r>
              <w:t>A02061904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应急综合管理工作经费</w:t>
            </w:r>
          </w:p>
        </w:tc>
        <w:tc>
          <w:tcPr>
            <w:tcW w:w="964" w:type="dxa"/>
            <w:vAlign w:val="center"/>
          </w:tcPr>
          <w:p>
            <w:pPr>
              <w:pStyle w:val="13"/>
            </w:pPr>
            <w:r>
              <w:t>22.25</w:t>
            </w:r>
          </w:p>
        </w:tc>
        <w:tc>
          <w:tcPr>
            <w:tcW w:w="1134" w:type="dxa"/>
            <w:vAlign w:val="center"/>
          </w:tcPr>
          <w:p>
            <w:pPr>
              <w:pStyle w:val="14"/>
            </w:pPr>
            <w:r>
              <w:t>技术侦察取证设备</w:t>
            </w:r>
          </w:p>
        </w:tc>
        <w:tc>
          <w:tcPr>
            <w:tcW w:w="1134" w:type="dxa"/>
            <w:vAlign w:val="center"/>
          </w:tcPr>
          <w:p>
            <w:pPr>
              <w:pStyle w:val="14"/>
            </w:pPr>
            <w:r>
              <w:t>A02370600</w:t>
            </w:r>
          </w:p>
        </w:tc>
        <w:tc>
          <w:tcPr>
            <w:tcW w:w="709" w:type="dxa"/>
            <w:vAlign w:val="center"/>
          </w:tcPr>
          <w:p>
            <w:pPr>
              <w:pStyle w:val="15"/>
            </w:pPr>
            <w:r>
              <w:t>台</w:t>
            </w:r>
          </w:p>
        </w:tc>
        <w:tc>
          <w:tcPr>
            <w:tcW w:w="850" w:type="dxa"/>
            <w:vAlign w:val="center"/>
          </w:tcPr>
          <w:p>
            <w:pPr>
              <w:pStyle w:val="13"/>
            </w:pPr>
            <w:r>
              <w:t>10</w:t>
            </w:r>
          </w:p>
        </w:tc>
        <w:tc>
          <w:tcPr>
            <w:tcW w:w="850" w:type="dxa"/>
            <w:vAlign w:val="center"/>
          </w:tcPr>
          <w:p>
            <w:pPr>
              <w:pStyle w:val="13"/>
            </w:pPr>
            <w:r>
              <w:t>0.30</w:t>
            </w:r>
          </w:p>
        </w:tc>
        <w:tc>
          <w:tcPr>
            <w:tcW w:w="964" w:type="dxa"/>
            <w:vAlign w:val="center"/>
          </w:tcPr>
          <w:p>
            <w:pPr>
              <w:pStyle w:val="13"/>
            </w:pPr>
            <w:r>
              <w:t>3.00</w:t>
            </w:r>
          </w:p>
        </w:tc>
        <w:tc>
          <w:tcPr>
            <w:tcW w:w="964" w:type="dxa"/>
            <w:vAlign w:val="center"/>
          </w:tcPr>
          <w:p>
            <w:pPr>
              <w:pStyle w:val="13"/>
            </w:pPr>
            <w:r>
              <w:t>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保定市徐水区应急管理局（含所属单位）上年末固定资产金额为244.71万元（详见下表）。本年度拟购置固定资产总额为0.00万元，已按要求列入政府采购预算，详见政府采购预算表。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426保定市徐水区应急管理局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244.71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r>
              <w:t>1</w:t>
            </w:r>
          </w:p>
        </w:tc>
        <w:tc>
          <w:tcPr>
            <w:tcW w:w="2835" w:type="dxa"/>
            <w:vAlign w:val="center"/>
          </w:tcPr>
          <w:p>
            <w:pPr>
              <w:pStyle w:val="13"/>
            </w:pPr>
            <w:r>
              <w:t>19.67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r>
              <w:t>4</w:t>
            </w:r>
          </w:p>
        </w:tc>
        <w:tc>
          <w:tcPr>
            <w:tcW w:w="2835" w:type="dxa"/>
            <w:vAlign w:val="center"/>
          </w:tcPr>
          <w:p>
            <w:pPr>
              <w:pStyle w:val="13"/>
            </w:pPr>
            <w:r>
              <w:t>32.77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626</w:t>
            </w:r>
          </w:p>
        </w:tc>
        <w:tc>
          <w:tcPr>
            <w:tcW w:w="2835" w:type="dxa"/>
            <w:vAlign w:val="center"/>
          </w:tcPr>
          <w:p>
            <w:pPr>
              <w:pStyle w:val="13"/>
            </w:pPr>
            <w:r>
              <w:t>192.27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一、保定市徐水区应急管理局本级收支预算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899.03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951.56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899.03</w:t>
            </w:r>
          </w:p>
        </w:tc>
        <w:tc>
          <w:tcPr>
            <w:tcW w:w="4535" w:type="dxa"/>
            <w:vAlign w:val="center"/>
          </w:tcPr>
          <w:p>
            <w:pPr>
              <w:pStyle w:val="16"/>
            </w:pPr>
            <w:r>
              <w:t>本年支出合计</w:t>
            </w:r>
          </w:p>
        </w:tc>
        <w:tc>
          <w:tcPr>
            <w:tcW w:w="2126" w:type="dxa"/>
            <w:vAlign w:val="center"/>
          </w:tcPr>
          <w:p>
            <w:pPr>
              <w:pStyle w:val="17"/>
            </w:pPr>
            <w:r>
              <w:t>1056.86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157.83</w:t>
            </w:r>
          </w:p>
        </w:tc>
        <w:tc>
          <w:tcPr>
            <w:tcW w:w="4535" w:type="dxa"/>
            <w:vAlign w:val="center"/>
          </w:tcPr>
          <w:p>
            <w:pPr>
              <w:pStyle w:val="14"/>
            </w:pPr>
            <w:r>
              <w:t>年终结转结余</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1056.86</w:t>
            </w:r>
          </w:p>
        </w:tc>
        <w:tc>
          <w:tcPr>
            <w:tcW w:w="4535" w:type="dxa"/>
            <w:vAlign w:val="center"/>
          </w:tcPr>
          <w:p>
            <w:pPr>
              <w:pStyle w:val="16"/>
            </w:pPr>
            <w:r>
              <w:t>支出总计</w:t>
            </w:r>
          </w:p>
        </w:tc>
        <w:tc>
          <w:tcPr>
            <w:tcW w:w="2126" w:type="dxa"/>
            <w:vAlign w:val="center"/>
          </w:tcPr>
          <w:p>
            <w:pPr>
              <w:pStyle w:val="17"/>
            </w:pPr>
            <w:r>
              <w:t>1056.86</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1056.86</w:t>
            </w:r>
          </w:p>
        </w:tc>
        <w:tc>
          <w:tcPr>
            <w:tcW w:w="1134" w:type="dxa"/>
            <w:vAlign w:val="center"/>
          </w:tcPr>
          <w:p>
            <w:pPr>
              <w:pStyle w:val="17"/>
            </w:pPr>
            <w:r>
              <w:t>899.03</w:t>
            </w:r>
          </w:p>
        </w:tc>
        <w:tc>
          <w:tcPr>
            <w:tcW w:w="1134" w:type="dxa"/>
            <w:vAlign w:val="center"/>
          </w:tcPr>
          <w:p>
            <w:pPr>
              <w:pStyle w:val="17"/>
            </w:pPr>
            <w:r>
              <w:t>899.03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157.83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60.68</w:t>
            </w:r>
          </w:p>
        </w:tc>
        <w:tc>
          <w:tcPr>
            <w:tcW w:w="1134" w:type="dxa"/>
            <w:vAlign w:val="center"/>
          </w:tcPr>
          <w:p>
            <w:pPr>
              <w:pStyle w:val="13"/>
            </w:pPr>
            <w:r>
              <w:t>60.68</w:t>
            </w:r>
          </w:p>
        </w:tc>
        <w:tc>
          <w:tcPr>
            <w:tcW w:w="1134" w:type="dxa"/>
            <w:vAlign w:val="center"/>
          </w:tcPr>
          <w:p>
            <w:pPr>
              <w:pStyle w:val="13"/>
            </w:pPr>
            <w:r>
              <w:t>60.68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60.32</w:t>
            </w:r>
          </w:p>
        </w:tc>
        <w:tc>
          <w:tcPr>
            <w:tcW w:w="1134" w:type="dxa"/>
            <w:vAlign w:val="center"/>
          </w:tcPr>
          <w:p>
            <w:pPr>
              <w:pStyle w:val="13"/>
            </w:pPr>
            <w:r>
              <w:t>60.32</w:t>
            </w:r>
          </w:p>
        </w:tc>
        <w:tc>
          <w:tcPr>
            <w:tcW w:w="1134" w:type="dxa"/>
            <w:vAlign w:val="center"/>
          </w:tcPr>
          <w:p>
            <w:pPr>
              <w:pStyle w:val="13"/>
            </w:pPr>
            <w:r>
              <w:t>60.32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38.06</w:t>
            </w:r>
          </w:p>
        </w:tc>
        <w:tc>
          <w:tcPr>
            <w:tcW w:w="1134" w:type="dxa"/>
            <w:vAlign w:val="center"/>
          </w:tcPr>
          <w:p>
            <w:pPr>
              <w:pStyle w:val="13"/>
            </w:pPr>
            <w:r>
              <w:t>38.06</w:t>
            </w:r>
          </w:p>
        </w:tc>
        <w:tc>
          <w:tcPr>
            <w:tcW w:w="1134" w:type="dxa"/>
            <w:vAlign w:val="center"/>
          </w:tcPr>
          <w:p>
            <w:pPr>
              <w:pStyle w:val="13"/>
            </w:pPr>
            <w:r>
              <w:t>38.06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r>
              <w:t>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r>
              <w:t>13.31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r>
              <w:t>31.30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951.56</w:t>
            </w:r>
          </w:p>
        </w:tc>
        <w:tc>
          <w:tcPr>
            <w:tcW w:w="1134" w:type="dxa"/>
            <w:vAlign w:val="center"/>
          </w:tcPr>
          <w:p>
            <w:pPr>
              <w:pStyle w:val="13"/>
            </w:pPr>
            <w:r>
              <w:t>793.73</w:t>
            </w:r>
          </w:p>
        </w:tc>
        <w:tc>
          <w:tcPr>
            <w:tcW w:w="1134" w:type="dxa"/>
            <w:vAlign w:val="center"/>
          </w:tcPr>
          <w:p>
            <w:pPr>
              <w:pStyle w:val="13"/>
            </w:pPr>
            <w:r>
              <w:t>793.73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869.16</w:t>
            </w:r>
          </w:p>
        </w:tc>
        <w:tc>
          <w:tcPr>
            <w:tcW w:w="1134" w:type="dxa"/>
            <w:vAlign w:val="center"/>
          </w:tcPr>
          <w:p>
            <w:pPr>
              <w:pStyle w:val="13"/>
            </w:pPr>
            <w:r>
              <w:t>719.33</w:t>
            </w:r>
          </w:p>
        </w:tc>
        <w:tc>
          <w:tcPr>
            <w:tcW w:w="1134" w:type="dxa"/>
            <w:vAlign w:val="center"/>
          </w:tcPr>
          <w:p>
            <w:pPr>
              <w:pStyle w:val="13"/>
            </w:pPr>
            <w:r>
              <w:t>719.33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2240101</w:t>
            </w:r>
          </w:p>
        </w:tc>
        <w:tc>
          <w:tcPr>
            <w:tcW w:w="1559" w:type="dxa"/>
            <w:vAlign w:val="center"/>
          </w:tcPr>
          <w:p>
            <w:pPr>
              <w:pStyle w:val="14"/>
            </w:pPr>
            <w:r>
              <w:t>行政运行</w:t>
            </w:r>
          </w:p>
        </w:tc>
        <w:tc>
          <w:tcPr>
            <w:tcW w:w="1134" w:type="dxa"/>
            <w:vAlign w:val="center"/>
          </w:tcPr>
          <w:p>
            <w:pPr>
              <w:pStyle w:val="13"/>
            </w:pPr>
            <w:r>
              <w:t>329.01</w:t>
            </w:r>
          </w:p>
        </w:tc>
        <w:tc>
          <w:tcPr>
            <w:tcW w:w="1134" w:type="dxa"/>
            <w:vAlign w:val="center"/>
          </w:tcPr>
          <w:p>
            <w:pPr>
              <w:pStyle w:val="13"/>
            </w:pPr>
            <w:r>
              <w:t>329.01</w:t>
            </w:r>
          </w:p>
        </w:tc>
        <w:tc>
          <w:tcPr>
            <w:tcW w:w="1134" w:type="dxa"/>
            <w:vAlign w:val="center"/>
          </w:tcPr>
          <w:p>
            <w:pPr>
              <w:pStyle w:val="13"/>
            </w:pPr>
            <w:r>
              <w:t>329.01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311.39</w:t>
            </w:r>
          </w:p>
        </w:tc>
        <w:tc>
          <w:tcPr>
            <w:tcW w:w="1134" w:type="dxa"/>
            <w:vAlign w:val="center"/>
          </w:tcPr>
          <w:p>
            <w:pPr>
              <w:pStyle w:val="13"/>
            </w:pPr>
            <w:r>
              <w:t>311.39</w:t>
            </w:r>
          </w:p>
        </w:tc>
        <w:tc>
          <w:tcPr>
            <w:tcW w:w="1134" w:type="dxa"/>
            <w:vAlign w:val="center"/>
          </w:tcPr>
          <w:p>
            <w:pPr>
              <w:pStyle w:val="13"/>
            </w:pPr>
            <w:r>
              <w:t>311.39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149.83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27.56</w:t>
            </w:r>
          </w:p>
        </w:tc>
        <w:tc>
          <w:tcPr>
            <w:tcW w:w="1134" w:type="dxa"/>
            <w:vAlign w:val="center"/>
          </w:tcPr>
          <w:p>
            <w:pPr>
              <w:pStyle w:val="13"/>
            </w:pPr>
            <w:r>
              <w:t>27.56</w:t>
            </w:r>
          </w:p>
        </w:tc>
        <w:tc>
          <w:tcPr>
            <w:tcW w:w="1134" w:type="dxa"/>
            <w:vAlign w:val="center"/>
          </w:tcPr>
          <w:p>
            <w:pPr>
              <w:pStyle w:val="13"/>
            </w:pPr>
            <w:r>
              <w:t>27.56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2240150</w:t>
            </w:r>
          </w:p>
        </w:tc>
        <w:tc>
          <w:tcPr>
            <w:tcW w:w="1559" w:type="dxa"/>
            <w:vAlign w:val="center"/>
          </w:tcPr>
          <w:p>
            <w:pPr>
              <w:pStyle w:val="14"/>
            </w:pPr>
            <w:r>
              <w:t>事业运行</w:t>
            </w:r>
          </w:p>
        </w:tc>
        <w:tc>
          <w:tcPr>
            <w:tcW w:w="1134" w:type="dxa"/>
            <w:vAlign w:val="center"/>
          </w:tcPr>
          <w:p>
            <w:pPr>
              <w:pStyle w:val="13"/>
            </w:pPr>
            <w:r>
              <w:t>51.38</w:t>
            </w:r>
          </w:p>
        </w:tc>
        <w:tc>
          <w:tcPr>
            <w:tcW w:w="1134" w:type="dxa"/>
            <w:vAlign w:val="center"/>
          </w:tcPr>
          <w:p>
            <w:pPr>
              <w:pStyle w:val="13"/>
            </w:pPr>
            <w:r>
              <w:t>51.38</w:t>
            </w:r>
          </w:p>
        </w:tc>
        <w:tc>
          <w:tcPr>
            <w:tcW w:w="1134" w:type="dxa"/>
            <w:vAlign w:val="center"/>
          </w:tcPr>
          <w:p>
            <w:pPr>
              <w:pStyle w:val="13"/>
            </w:pPr>
            <w:r>
              <w:t>51.38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82.40</w:t>
            </w:r>
          </w:p>
        </w:tc>
        <w:tc>
          <w:tcPr>
            <w:tcW w:w="1134" w:type="dxa"/>
            <w:vAlign w:val="center"/>
          </w:tcPr>
          <w:p>
            <w:pPr>
              <w:pStyle w:val="13"/>
            </w:pPr>
            <w:r>
              <w:t>74.40</w:t>
            </w:r>
          </w:p>
        </w:tc>
        <w:tc>
          <w:tcPr>
            <w:tcW w:w="1134" w:type="dxa"/>
            <w:vAlign w:val="center"/>
          </w:tcPr>
          <w:p>
            <w:pPr>
              <w:pStyle w:val="13"/>
            </w:pPr>
            <w:r>
              <w:t>74.40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2240703</w:t>
            </w:r>
          </w:p>
        </w:tc>
        <w:tc>
          <w:tcPr>
            <w:tcW w:w="1559" w:type="dxa"/>
            <w:vAlign w:val="center"/>
          </w:tcPr>
          <w:p>
            <w:pPr>
              <w:pStyle w:val="14"/>
            </w:pPr>
            <w:r>
              <w:t>自然灾害救灾补助</w:t>
            </w:r>
          </w:p>
        </w:tc>
        <w:tc>
          <w:tcPr>
            <w:tcW w:w="1134" w:type="dxa"/>
            <w:vAlign w:val="center"/>
          </w:tcPr>
          <w:p>
            <w:pPr>
              <w:pStyle w:val="13"/>
            </w:pPr>
            <w:r>
              <w:t>82.40</w:t>
            </w:r>
          </w:p>
        </w:tc>
        <w:tc>
          <w:tcPr>
            <w:tcW w:w="1134" w:type="dxa"/>
            <w:vAlign w:val="center"/>
          </w:tcPr>
          <w:p>
            <w:pPr>
              <w:pStyle w:val="13"/>
            </w:pPr>
            <w:r>
              <w:t>74.40</w:t>
            </w:r>
          </w:p>
        </w:tc>
        <w:tc>
          <w:tcPr>
            <w:tcW w:w="1134" w:type="dxa"/>
            <w:vAlign w:val="center"/>
          </w:tcPr>
          <w:p>
            <w:pPr>
              <w:pStyle w:val="13"/>
            </w:pPr>
            <w:r>
              <w:t>74.40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1056.86</w:t>
            </w:r>
          </w:p>
        </w:tc>
        <w:tc>
          <w:tcPr>
            <w:tcW w:w="1361" w:type="dxa"/>
            <w:vAlign w:val="center"/>
          </w:tcPr>
          <w:p>
            <w:pPr>
              <w:pStyle w:val="17"/>
            </w:pPr>
            <w:r>
              <w:t>485.32</w:t>
            </w:r>
          </w:p>
        </w:tc>
        <w:tc>
          <w:tcPr>
            <w:tcW w:w="1361" w:type="dxa"/>
            <w:vAlign w:val="center"/>
          </w:tcPr>
          <w:p>
            <w:pPr>
              <w:pStyle w:val="17"/>
            </w:pPr>
            <w:r>
              <w:t>571.54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60.68</w:t>
            </w:r>
          </w:p>
        </w:tc>
        <w:tc>
          <w:tcPr>
            <w:tcW w:w="1361" w:type="dxa"/>
            <w:vAlign w:val="center"/>
          </w:tcPr>
          <w:p>
            <w:pPr>
              <w:pStyle w:val="13"/>
            </w:pPr>
            <w:r>
              <w:t>60.32</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60.32</w:t>
            </w:r>
          </w:p>
        </w:tc>
        <w:tc>
          <w:tcPr>
            <w:tcW w:w="1361" w:type="dxa"/>
            <w:vAlign w:val="center"/>
          </w:tcPr>
          <w:p>
            <w:pPr>
              <w:pStyle w:val="13"/>
            </w:pPr>
            <w:r>
              <w:t>60.32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22.26</w:t>
            </w:r>
          </w:p>
        </w:tc>
        <w:tc>
          <w:tcPr>
            <w:tcW w:w="1361" w:type="dxa"/>
            <w:vAlign w:val="center"/>
          </w:tcPr>
          <w:p>
            <w:pPr>
              <w:pStyle w:val="13"/>
            </w:pPr>
            <w:r>
              <w:t>22.26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38.06</w:t>
            </w:r>
          </w:p>
        </w:tc>
        <w:tc>
          <w:tcPr>
            <w:tcW w:w="1361" w:type="dxa"/>
            <w:vAlign w:val="center"/>
          </w:tcPr>
          <w:p>
            <w:pPr>
              <w:pStyle w:val="13"/>
            </w:pPr>
            <w:r>
              <w:t>38.06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r>
              <w:t>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13.31</w:t>
            </w:r>
          </w:p>
        </w:tc>
        <w:tc>
          <w:tcPr>
            <w:tcW w:w="1361" w:type="dxa"/>
            <w:vAlign w:val="center"/>
          </w:tcPr>
          <w:p>
            <w:pPr>
              <w:pStyle w:val="13"/>
            </w:pPr>
            <w:r>
              <w:t>13.31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31.30</w:t>
            </w:r>
          </w:p>
        </w:tc>
        <w:tc>
          <w:tcPr>
            <w:tcW w:w="1361" w:type="dxa"/>
            <w:vAlign w:val="center"/>
          </w:tcPr>
          <w:p>
            <w:pPr>
              <w:pStyle w:val="13"/>
            </w:pPr>
            <w:r>
              <w:t>31.30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951.56</w:t>
            </w:r>
          </w:p>
        </w:tc>
        <w:tc>
          <w:tcPr>
            <w:tcW w:w="1361" w:type="dxa"/>
            <w:vAlign w:val="center"/>
          </w:tcPr>
          <w:p>
            <w:pPr>
              <w:pStyle w:val="13"/>
            </w:pPr>
            <w:r>
              <w:t>380.38</w:t>
            </w:r>
          </w:p>
        </w:tc>
        <w:tc>
          <w:tcPr>
            <w:tcW w:w="1361" w:type="dxa"/>
            <w:vAlign w:val="center"/>
          </w:tcPr>
          <w:p>
            <w:pPr>
              <w:pStyle w:val="13"/>
            </w:pPr>
            <w:r>
              <w:t>571.18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869.16</w:t>
            </w:r>
          </w:p>
        </w:tc>
        <w:tc>
          <w:tcPr>
            <w:tcW w:w="1361" w:type="dxa"/>
            <w:vAlign w:val="center"/>
          </w:tcPr>
          <w:p>
            <w:pPr>
              <w:pStyle w:val="13"/>
            </w:pPr>
            <w:r>
              <w:t>380.38</w:t>
            </w:r>
          </w:p>
        </w:tc>
        <w:tc>
          <w:tcPr>
            <w:tcW w:w="1361" w:type="dxa"/>
            <w:vAlign w:val="center"/>
          </w:tcPr>
          <w:p>
            <w:pPr>
              <w:pStyle w:val="13"/>
            </w:pPr>
            <w:r>
              <w:t>488.78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2240101</w:t>
            </w:r>
          </w:p>
        </w:tc>
        <w:tc>
          <w:tcPr>
            <w:tcW w:w="4535" w:type="dxa"/>
            <w:vAlign w:val="center"/>
          </w:tcPr>
          <w:p>
            <w:pPr>
              <w:pStyle w:val="14"/>
            </w:pPr>
            <w:r>
              <w:t>行政运行</w:t>
            </w:r>
          </w:p>
        </w:tc>
        <w:tc>
          <w:tcPr>
            <w:tcW w:w="1361" w:type="dxa"/>
            <w:vAlign w:val="center"/>
          </w:tcPr>
          <w:p>
            <w:pPr>
              <w:pStyle w:val="13"/>
            </w:pPr>
            <w:r>
              <w:t>329.01</w:t>
            </w:r>
          </w:p>
        </w:tc>
        <w:tc>
          <w:tcPr>
            <w:tcW w:w="1361" w:type="dxa"/>
            <w:vAlign w:val="center"/>
          </w:tcPr>
          <w:p>
            <w:pPr>
              <w:pStyle w:val="13"/>
            </w:pPr>
            <w:r>
              <w:t>329.01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311.39</w:t>
            </w:r>
          </w:p>
        </w:tc>
        <w:tc>
          <w:tcPr>
            <w:tcW w:w="1361" w:type="dxa"/>
            <w:vAlign w:val="center"/>
          </w:tcPr>
          <w:p>
            <w:pPr>
              <w:pStyle w:val="13"/>
            </w:pPr>
          </w:p>
        </w:tc>
        <w:tc>
          <w:tcPr>
            <w:tcW w:w="1361" w:type="dxa"/>
            <w:vAlign w:val="center"/>
          </w:tcPr>
          <w:p>
            <w:pPr>
              <w:pStyle w:val="13"/>
            </w:pPr>
            <w:r>
              <w:t>311.39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149.83</w:t>
            </w:r>
          </w:p>
        </w:tc>
        <w:tc>
          <w:tcPr>
            <w:tcW w:w="1361" w:type="dxa"/>
            <w:vAlign w:val="center"/>
          </w:tcPr>
          <w:p>
            <w:pPr>
              <w:pStyle w:val="13"/>
            </w:pPr>
          </w:p>
        </w:tc>
        <w:tc>
          <w:tcPr>
            <w:tcW w:w="1361" w:type="dxa"/>
            <w:vAlign w:val="center"/>
          </w:tcPr>
          <w:p>
            <w:pPr>
              <w:pStyle w:val="13"/>
            </w:pPr>
            <w:r>
              <w:t>149.83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27.56</w:t>
            </w:r>
          </w:p>
        </w:tc>
        <w:tc>
          <w:tcPr>
            <w:tcW w:w="1361" w:type="dxa"/>
            <w:vAlign w:val="center"/>
          </w:tcPr>
          <w:p>
            <w:pPr>
              <w:pStyle w:val="13"/>
            </w:pPr>
          </w:p>
        </w:tc>
        <w:tc>
          <w:tcPr>
            <w:tcW w:w="1361" w:type="dxa"/>
            <w:vAlign w:val="center"/>
          </w:tcPr>
          <w:p>
            <w:pPr>
              <w:pStyle w:val="13"/>
            </w:pPr>
            <w:r>
              <w:t>27.56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2240150</w:t>
            </w:r>
          </w:p>
        </w:tc>
        <w:tc>
          <w:tcPr>
            <w:tcW w:w="4535" w:type="dxa"/>
            <w:vAlign w:val="center"/>
          </w:tcPr>
          <w:p>
            <w:pPr>
              <w:pStyle w:val="14"/>
            </w:pPr>
            <w:r>
              <w:t>事业运行</w:t>
            </w:r>
          </w:p>
        </w:tc>
        <w:tc>
          <w:tcPr>
            <w:tcW w:w="1361" w:type="dxa"/>
            <w:vAlign w:val="center"/>
          </w:tcPr>
          <w:p>
            <w:pPr>
              <w:pStyle w:val="13"/>
            </w:pPr>
            <w:r>
              <w:t>51.38</w:t>
            </w:r>
          </w:p>
        </w:tc>
        <w:tc>
          <w:tcPr>
            <w:tcW w:w="1361" w:type="dxa"/>
            <w:vAlign w:val="center"/>
          </w:tcPr>
          <w:p>
            <w:pPr>
              <w:pStyle w:val="13"/>
            </w:pPr>
            <w:r>
              <w:t>51.38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2240703</w:t>
            </w:r>
          </w:p>
        </w:tc>
        <w:tc>
          <w:tcPr>
            <w:tcW w:w="4535" w:type="dxa"/>
            <w:vAlign w:val="center"/>
          </w:tcPr>
          <w:p>
            <w:pPr>
              <w:pStyle w:val="14"/>
            </w:pPr>
            <w:r>
              <w:t>自然灾害救灾补助</w:t>
            </w: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r>
              <w:t>82.40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899.03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60.68</w:t>
            </w:r>
          </w:p>
        </w:tc>
        <w:tc>
          <w:tcPr>
            <w:tcW w:w="1474" w:type="dxa"/>
            <w:vAlign w:val="center"/>
          </w:tcPr>
          <w:p>
            <w:pPr>
              <w:pStyle w:val="13"/>
            </w:pPr>
            <w:r>
              <w:t>60.68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13.31</w:t>
            </w:r>
          </w:p>
        </w:tc>
        <w:tc>
          <w:tcPr>
            <w:tcW w:w="1474" w:type="dxa"/>
            <w:vAlign w:val="center"/>
          </w:tcPr>
          <w:p>
            <w:pPr>
              <w:pStyle w:val="13"/>
            </w:pPr>
            <w:r>
              <w:t>13.31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31.30</w:t>
            </w:r>
          </w:p>
        </w:tc>
        <w:tc>
          <w:tcPr>
            <w:tcW w:w="1474" w:type="dxa"/>
            <w:vAlign w:val="center"/>
          </w:tcPr>
          <w:p>
            <w:pPr>
              <w:pStyle w:val="13"/>
            </w:pPr>
            <w:r>
              <w:t>31.30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951.56</w:t>
            </w:r>
          </w:p>
        </w:tc>
        <w:tc>
          <w:tcPr>
            <w:tcW w:w="1474" w:type="dxa"/>
            <w:vAlign w:val="center"/>
          </w:tcPr>
          <w:p>
            <w:pPr>
              <w:pStyle w:val="13"/>
            </w:pPr>
            <w:r>
              <w:t>951.56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899.03</w:t>
            </w:r>
          </w:p>
        </w:tc>
        <w:tc>
          <w:tcPr>
            <w:tcW w:w="3402" w:type="dxa"/>
            <w:vAlign w:val="center"/>
          </w:tcPr>
          <w:p>
            <w:pPr>
              <w:pStyle w:val="16"/>
            </w:pPr>
            <w:r>
              <w:t>本年支出合计</w:t>
            </w:r>
          </w:p>
        </w:tc>
        <w:tc>
          <w:tcPr>
            <w:tcW w:w="1474" w:type="dxa"/>
            <w:vAlign w:val="center"/>
          </w:tcPr>
          <w:p>
            <w:pPr>
              <w:pStyle w:val="17"/>
            </w:pPr>
            <w:r>
              <w:t>1056.86</w:t>
            </w:r>
          </w:p>
        </w:tc>
        <w:tc>
          <w:tcPr>
            <w:tcW w:w="1474" w:type="dxa"/>
            <w:vAlign w:val="center"/>
          </w:tcPr>
          <w:p>
            <w:pPr>
              <w:pStyle w:val="17"/>
            </w:pPr>
            <w:r>
              <w:t>1056.86</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157.83</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157.83</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1056.86</w:t>
            </w:r>
          </w:p>
        </w:tc>
        <w:tc>
          <w:tcPr>
            <w:tcW w:w="3402" w:type="dxa"/>
            <w:vAlign w:val="center"/>
          </w:tcPr>
          <w:p>
            <w:pPr>
              <w:pStyle w:val="16"/>
            </w:pPr>
            <w:r>
              <w:t>支出总计</w:t>
            </w:r>
          </w:p>
        </w:tc>
        <w:tc>
          <w:tcPr>
            <w:tcW w:w="1474" w:type="dxa"/>
            <w:vAlign w:val="center"/>
          </w:tcPr>
          <w:p>
            <w:pPr>
              <w:pStyle w:val="17"/>
            </w:pPr>
            <w:r>
              <w:t>1056.86</w:t>
            </w:r>
          </w:p>
        </w:tc>
        <w:tc>
          <w:tcPr>
            <w:tcW w:w="1474" w:type="dxa"/>
            <w:vAlign w:val="center"/>
          </w:tcPr>
          <w:p>
            <w:pPr>
              <w:pStyle w:val="17"/>
            </w:pPr>
            <w:r>
              <w:t>1056.86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1056.86</w:t>
            </w:r>
          </w:p>
        </w:tc>
        <w:tc>
          <w:tcPr>
            <w:tcW w:w="2551" w:type="dxa"/>
            <w:vAlign w:val="center"/>
          </w:tcPr>
          <w:p>
            <w:pPr>
              <w:pStyle w:val="17"/>
            </w:pPr>
            <w:r>
              <w:t>485.32</w:t>
            </w:r>
          </w:p>
        </w:tc>
        <w:tc>
          <w:tcPr>
            <w:tcW w:w="2551" w:type="dxa"/>
            <w:vAlign w:val="center"/>
          </w:tcPr>
          <w:p>
            <w:pPr>
              <w:pStyle w:val="17"/>
            </w:pPr>
            <w:r>
              <w:t>571.54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60.68</w:t>
            </w:r>
          </w:p>
        </w:tc>
        <w:tc>
          <w:tcPr>
            <w:tcW w:w="2551" w:type="dxa"/>
            <w:vAlign w:val="center"/>
          </w:tcPr>
          <w:p>
            <w:pPr>
              <w:pStyle w:val="13"/>
            </w:pPr>
            <w:r>
              <w:t>60.32</w:t>
            </w: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60.32</w:t>
            </w:r>
          </w:p>
        </w:tc>
        <w:tc>
          <w:tcPr>
            <w:tcW w:w="2551" w:type="dxa"/>
            <w:vAlign w:val="center"/>
          </w:tcPr>
          <w:p>
            <w:pPr>
              <w:pStyle w:val="13"/>
            </w:pPr>
            <w:r>
              <w:t>60.32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22.26</w:t>
            </w:r>
          </w:p>
        </w:tc>
        <w:tc>
          <w:tcPr>
            <w:tcW w:w="2551" w:type="dxa"/>
            <w:vAlign w:val="center"/>
          </w:tcPr>
          <w:p>
            <w:pPr>
              <w:pStyle w:val="13"/>
            </w:pPr>
            <w:r>
              <w:t>22.26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38.06</w:t>
            </w:r>
          </w:p>
        </w:tc>
        <w:tc>
          <w:tcPr>
            <w:tcW w:w="2551" w:type="dxa"/>
            <w:vAlign w:val="center"/>
          </w:tcPr>
          <w:p>
            <w:pPr>
              <w:pStyle w:val="13"/>
            </w:pPr>
            <w:r>
              <w:t>38.06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951.56</w:t>
            </w:r>
          </w:p>
        </w:tc>
        <w:tc>
          <w:tcPr>
            <w:tcW w:w="2551" w:type="dxa"/>
            <w:vAlign w:val="center"/>
          </w:tcPr>
          <w:p>
            <w:pPr>
              <w:pStyle w:val="13"/>
            </w:pPr>
            <w:r>
              <w:t>380.38</w:t>
            </w:r>
          </w:p>
        </w:tc>
        <w:tc>
          <w:tcPr>
            <w:tcW w:w="2551" w:type="dxa"/>
            <w:vAlign w:val="center"/>
          </w:tcPr>
          <w:p>
            <w:pPr>
              <w:pStyle w:val="13"/>
            </w:pPr>
            <w:r>
              <w:t>571.18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869.16</w:t>
            </w:r>
          </w:p>
        </w:tc>
        <w:tc>
          <w:tcPr>
            <w:tcW w:w="2551" w:type="dxa"/>
            <w:vAlign w:val="center"/>
          </w:tcPr>
          <w:p>
            <w:pPr>
              <w:pStyle w:val="13"/>
            </w:pPr>
            <w:r>
              <w:t>380.38</w:t>
            </w:r>
          </w:p>
        </w:tc>
        <w:tc>
          <w:tcPr>
            <w:tcW w:w="2551" w:type="dxa"/>
            <w:vAlign w:val="center"/>
          </w:tcPr>
          <w:p>
            <w:pPr>
              <w:pStyle w:val="13"/>
            </w:pPr>
            <w:r>
              <w:t>488.78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2240101</w:t>
            </w:r>
          </w:p>
        </w:tc>
        <w:tc>
          <w:tcPr>
            <w:tcW w:w="4535" w:type="dxa"/>
            <w:vAlign w:val="center"/>
          </w:tcPr>
          <w:p>
            <w:pPr>
              <w:pStyle w:val="14"/>
            </w:pPr>
            <w:r>
              <w:t>行政运行</w:t>
            </w:r>
          </w:p>
        </w:tc>
        <w:tc>
          <w:tcPr>
            <w:tcW w:w="2551" w:type="dxa"/>
            <w:vAlign w:val="center"/>
          </w:tcPr>
          <w:p>
            <w:pPr>
              <w:pStyle w:val="13"/>
            </w:pPr>
            <w:r>
              <w:t>329.01</w:t>
            </w:r>
          </w:p>
        </w:tc>
        <w:tc>
          <w:tcPr>
            <w:tcW w:w="2551" w:type="dxa"/>
            <w:vAlign w:val="center"/>
          </w:tcPr>
          <w:p>
            <w:pPr>
              <w:pStyle w:val="13"/>
            </w:pPr>
            <w:r>
              <w:t>329.01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311.39</w:t>
            </w:r>
          </w:p>
        </w:tc>
        <w:tc>
          <w:tcPr>
            <w:tcW w:w="2551" w:type="dxa"/>
            <w:vAlign w:val="center"/>
          </w:tcPr>
          <w:p>
            <w:pPr>
              <w:pStyle w:val="13"/>
            </w:pPr>
          </w:p>
        </w:tc>
        <w:tc>
          <w:tcPr>
            <w:tcW w:w="2551" w:type="dxa"/>
            <w:vAlign w:val="center"/>
          </w:tcPr>
          <w:p>
            <w:pPr>
              <w:pStyle w:val="13"/>
            </w:pPr>
            <w:r>
              <w:t>311.39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149.83</w:t>
            </w:r>
          </w:p>
        </w:tc>
        <w:tc>
          <w:tcPr>
            <w:tcW w:w="2551" w:type="dxa"/>
            <w:vAlign w:val="center"/>
          </w:tcPr>
          <w:p>
            <w:pPr>
              <w:pStyle w:val="13"/>
            </w:pPr>
          </w:p>
        </w:tc>
        <w:tc>
          <w:tcPr>
            <w:tcW w:w="2551" w:type="dxa"/>
            <w:vAlign w:val="center"/>
          </w:tcPr>
          <w:p>
            <w:pPr>
              <w:pStyle w:val="13"/>
            </w:pPr>
            <w:r>
              <w:t>149.83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27.56</w:t>
            </w:r>
          </w:p>
        </w:tc>
        <w:tc>
          <w:tcPr>
            <w:tcW w:w="2551" w:type="dxa"/>
            <w:vAlign w:val="center"/>
          </w:tcPr>
          <w:p>
            <w:pPr>
              <w:pStyle w:val="13"/>
            </w:pPr>
          </w:p>
        </w:tc>
        <w:tc>
          <w:tcPr>
            <w:tcW w:w="2551" w:type="dxa"/>
            <w:vAlign w:val="center"/>
          </w:tcPr>
          <w:p>
            <w:pPr>
              <w:pStyle w:val="13"/>
            </w:pPr>
            <w:r>
              <w:t>27.56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2240150</w:t>
            </w:r>
          </w:p>
        </w:tc>
        <w:tc>
          <w:tcPr>
            <w:tcW w:w="4535" w:type="dxa"/>
            <w:vAlign w:val="center"/>
          </w:tcPr>
          <w:p>
            <w:pPr>
              <w:pStyle w:val="14"/>
            </w:pPr>
            <w:r>
              <w:t>事业运行</w:t>
            </w:r>
          </w:p>
        </w:tc>
        <w:tc>
          <w:tcPr>
            <w:tcW w:w="2551" w:type="dxa"/>
            <w:vAlign w:val="center"/>
          </w:tcPr>
          <w:p>
            <w:pPr>
              <w:pStyle w:val="13"/>
            </w:pPr>
            <w:r>
              <w:t>51.38</w:t>
            </w:r>
          </w:p>
        </w:tc>
        <w:tc>
          <w:tcPr>
            <w:tcW w:w="2551" w:type="dxa"/>
            <w:vAlign w:val="center"/>
          </w:tcPr>
          <w:p>
            <w:pPr>
              <w:pStyle w:val="13"/>
            </w:pPr>
            <w:r>
              <w:t>51.38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82.40</w:t>
            </w:r>
          </w:p>
        </w:tc>
        <w:tc>
          <w:tcPr>
            <w:tcW w:w="2551" w:type="dxa"/>
            <w:vAlign w:val="center"/>
          </w:tcPr>
          <w:p>
            <w:pPr>
              <w:pStyle w:val="13"/>
            </w:pPr>
          </w:p>
        </w:tc>
        <w:tc>
          <w:tcPr>
            <w:tcW w:w="2551" w:type="dxa"/>
            <w:vAlign w:val="center"/>
          </w:tcPr>
          <w:p>
            <w:pPr>
              <w:pStyle w:val="13"/>
            </w:pPr>
            <w:r>
              <w:t>82.40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2240703</w:t>
            </w:r>
          </w:p>
        </w:tc>
        <w:tc>
          <w:tcPr>
            <w:tcW w:w="4535" w:type="dxa"/>
            <w:vAlign w:val="center"/>
          </w:tcPr>
          <w:p>
            <w:pPr>
              <w:pStyle w:val="14"/>
            </w:pPr>
            <w:r>
              <w:t>自然灾害救灾补助</w:t>
            </w:r>
          </w:p>
        </w:tc>
        <w:tc>
          <w:tcPr>
            <w:tcW w:w="2551" w:type="dxa"/>
            <w:vAlign w:val="center"/>
          </w:tcPr>
          <w:p>
            <w:pPr>
              <w:pStyle w:val="13"/>
            </w:pPr>
            <w:r>
              <w:t>82.40</w:t>
            </w:r>
          </w:p>
        </w:tc>
        <w:tc>
          <w:tcPr>
            <w:tcW w:w="2551" w:type="dxa"/>
            <w:vAlign w:val="center"/>
          </w:tcPr>
          <w:p>
            <w:pPr>
              <w:pStyle w:val="13"/>
            </w:pPr>
          </w:p>
        </w:tc>
        <w:tc>
          <w:tcPr>
            <w:tcW w:w="2551" w:type="dxa"/>
            <w:vAlign w:val="center"/>
          </w:tcPr>
          <w:p>
            <w:pPr>
              <w:pStyle w:val="13"/>
            </w:pPr>
            <w:r>
              <w:t>82.40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485.32</w:t>
            </w:r>
          </w:p>
        </w:tc>
        <w:tc>
          <w:tcPr>
            <w:tcW w:w="2551" w:type="dxa"/>
            <w:vAlign w:val="center"/>
          </w:tcPr>
          <w:p>
            <w:pPr>
              <w:pStyle w:val="17"/>
            </w:pPr>
            <w:r>
              <w:t>436.90</w:t>
            </w:r>
          </w:p>
        </w:tc>
        <w:tc>
          <w:tcPr>
            <w:tcW w:w="2551" w:type="dxa"/>
            <w:vAlign w:val="center"/>
          </w:tcPr>
          <w:p>
            <w:pPr>
              <w:pStyle w:val="17"/>
            </w:pPr>
            <w:r>
              <w:t>48.41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413.37</w:t>
            </w:r>
          </w:p>
        </w:tc>
        <w:tc>
          <w:tcPr>
            <w:tcW w:w="2551" w:type="dxa"/>
            <w:vAlign w:val="center"/>
          </w:tcPr>
          <w:p>
            <w:pPr>
              <w:pStyle w:val="13"/>
            </w:pPr>
            <w:r>
              <w:t>413.37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139.60</w:t>
            </w:r>
          </w:p>
        </w:tc>
        <w:tc>
          <w:tcPr>
            <w:tcW w:w="2551" w:type="dxa"/>
            <w:vAlign w:val="center"/>
          </w:tcPr>
          <w:p>
            <w:pPr>
              <w:pStyle w:val="13"/>
            </w:pPr>
            <w:r>
              <w:t>139.60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96.95</w:t>
            </w:r>
          </w:p>
        </w:tc>
        <w:tc>
          <w:tcPr>
            <w:tcW w:w="2551" w:type="dxa"/>
            <w:vAlign w:val="center"/>
          </w:tcPr>
          <w:p>
            <w:pPr>
              <w:pStyle w:val="13"/>
            </w:pPr>
            <w:r>
              <w:t>96.95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64.26</w:t>
            </w:r>
          </w:p>
        </w:tc>
        <w:tc>
          <w:tcPr>
            <w:tcW w:w="2551" w:type="dxa"/>
            <w:vAlign w:val="center"/>
          </w:tcPr>
          <w:p>
            <w:pPr>
              <w:pStyle w:val="13"/>
            </w:pPr>
            <w:r>
              <w:t>64.26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28.68</w:t>
            </w:r>
          </w:p>
        </w:tc>
        <w:tc>
          <w:tcPr>
            <w:tcW w:w="2551" w:type="dxa"/>
            <w:vAlign w:val="center"/>
          </w:tcPr>
          <w:p>
            <w:pPr>
              <w:pStyle w:val="13"/>
            </w:pPr>
            <w:r>
              <w:t>28.68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38.06</w:t>
            </w:r>
          </w:p>
        </w:tc>
        <w:tc>
          <w:tcPr>
            <w:tcW w:w="2551" w:type="dxa"/>
            <w:vAlign w:val="center"/>
          </w:tcPr>
          <w:p>
            <w:pPr>
              <w:pStyle w:val="13"/>
            </w:pPr>
            <w:r>
              <w:t>38.06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13.31</w:t>
            </w:r>
          </w:p>
        </w:tc>
        <w:tc>
          <w:tcPr>
            <w:tcW w:w="2551" w:type="dxa"/>
            <w:vAlign w:val="center"/>
          </w:tcPr>
          <w:p>
            <w:pPr>
              <w:pStyle w:val="13"/>
            </w:pPr>
            <w:r>
              <w:t>13.31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31.30</w:t>
            </w:r>
          </w:p>
        </w:tc>
        <w:tc>
          <w:tcPr>
            <w:tcW w:w="2551" w:type="dxa"/>
            <w:vAlign w:val="center"/>
          </w:tcPr>
          <w:p>
            <w:pPr>
              <w:pStyle w:val="13"/>
            </w:pPr>
            <w:r>
              <w:t>31.30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48.41</w:t>
            </w:r>
          </w:p>
        </w:tc>
        <w:tc>
          <w:tcPr>
            <w:tcW w:w="2551" w:type="dxa"/>
            <w:vAlign w:val="center"/>
          </w:tcPr>
          <w:p>
            <w:pPr>
              <w:pStyle w:val="13"/>
            </w:pPr>
          </w:p>
        </w:tc>
        <w:tc>
          <w:tcPr>
            <w:tcW w:w="2551" w:type="dxa"/>
            <w:vAlign w:val="center"/>
          </w:tcPr>
          <w:p>
            <w:pPr>
              <w:pStyle w:val="13"/>
            </w:pPr>
            <w:r>
              <w:t>48.41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5.74</w:t>
            </w:r>
          </w:p>
        </w:tc>
        <w:tc>
          <w:tcPr>
            <w:tcW w:w="2551" w:type="dxa"/>
            <w:vAlign w:val="center"/>
          </w:tcPr>
          <w:p>
            <w:pPr>
              <w:pStyle w:val="13"/>
            </w:pPr>
          </w:p>
        </w:tc>
        <w:tc>
          <w:tcPr>
            <w:tcW w:w="2551" w:type="dxa"/>
            <w:vAlign w:val="center"/>
          </w:tcPr>
          <w:p>
            <w:pPr>
              <w:pStyle w:val="13"/>
            </w:pPr>
            <w:r>
              <w:t>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7.98</w:t>
            </w:r>
          </w:p>
        </w:tc>
        <w:tc>
          <w:tcPr>
            <w:tcW w:w="2551" w:type="dxa"/>
            <w:vAlign w:val="center"/>
          </w:tcPr>
          <w:p>
            <w:pPr>
              <w:pStyle w:val="13"/>
            </w:pPr>
          </w:p>
        </w:tc>
        <w:tc>
          <w:tcPr>
            <w:tcW w:w="2551" w:type="dxa"/>
            <w:vAlign w:val="center"/>
          </w:tcPr>
          <w:p>
            <w:pPr>
              <w:pStyle w:val="13"/>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1.07</w:t>
            </w:r>
          </w:p>
        </w:tc>
        <w:tc>
          <w:tcPr>
            <w:tcW w:w="2551" w:type="dxa"/>
            <w:vAlign w:val="center"/>
          </w:tcPr>
          <w:p>
            <w:pPr>
              <w:pStyle w:val="13"/>
            </w:pPr>
          </w:p>
        </w:tc>
        <w:tc>
          <w:tcPr>
            <w:tcW w:w="2551" w:type="dxa"/>
            <w:vAlign w:val="center"/>
          </w:tcPr>
          <w:p>
            <w:pPr>
              <w:pStyle w:val="13"/>
            </w:pPr>
            <w:r>
              <w:t>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3.84</w:t>
            </w:r>
          </w:p>
        </w:tc>
        <w:tc>
          <w:tcPr>
            <w:tcW w:w="2551" w:type="dxa"/>
            <w:vAlign w:val="center"/>
          </w:tcPr>
          <w:p>
            <w:pPr>
              <w:pStyle w:val="13"/>
            </w:pPr>
          </w:p>
        </w:tc>
        <w:tc>
          <w:tcPr>
            <w:tcW w:w="2551" w:type="dxa"/>
            <w:vAlign w:val="center"/>
          </w:tcPr>
          <w:p>
            <w:pPr>
              <w:pStyle w:val="13"/>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3.31</w:t>
            </w:r>
          </w:p>
        </w:tc>
        <w:tc>
          <w:tcPr>
            <w:tcW w:w="2551" w:type="dxa"/>
            <w:vAlign w:val="center"/>
          </w:tcPr>
          <w:p>
            <w:pPr>
              <w:pStyle w:val="13"/>
            </w:pPr>
          </w:p>
        </w:tc>
        <w:tc>
          <w:tcPr>
            <w:tcW w:w="2551" w:type="dxa"/>
            <w:vAlign w:val="center"/>
          </w:tcPr>
          <w:p>
            <w:pPr>
              <w:pStyle w:val="13"/>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9.72</w:t>
            </w:r>
          </w:p>
        </w:tc>
        <w:tc>
          <w:tcPr>
            <w:tcW w:w="2551" w:type="dxa"/>
            <w:vAlign w:val="center"/>
          </w:tcPr>
          <w:p>
            <w:pPr>
              <w:pStyle w:val="13"/>
            </w:pPr>
          </w:p>
        </w:tc>
        <w:tc>
          <w:tcPr>
            <w:tcW w:w="2551" w:type="dxa"/>
            <w:vAlign w:val="center"/>
          </w:tcPr>
          <w:p>
            <w:pPr>
              <w:pStyle w:val="13"/>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12.90</w:t>
            </w:r>
          </w:p>
        </w:tc>
        <w:tc>
          <w:tcPr>
            <w:tcW w:w="2551" w:type="dxa"/>
            <w:vAlign w:val="center"/>
          </w:tcPr>
          <w:p>
            <w:pPr>
              <w:pStyle w:val="13"/>
            </w:pPr>
          </w:p>
        </w:tc>
        <w:tc>
          <w:tcPr>
            <w:tcW w:w="2551" w:type="dxa"/>
            <w:vAlign w:val="center"/>
          </w:tcPr>
          <w:p>
            <w:pPr>
              <w:pStyle w:val="13"/>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3.65</w:t>
            </w:r>
          </w:p>
        </w:tc>
        <w:tc>
          <w:tcPr>
            <w:tcW w:w="2551" w:type="dxa"/>
            <w:vAlign w:val="center"/>
          </w:tcPr>
          <w:p>
            <w:pPr>
              <w:pStyle w:val="13"/>
            </w:pPr>
          </w:p>
        </w:tc>
        <w:tc>
          <w:tcPr>
            <w:tcW w:w="2551" w:type="dxa"/>
            <w:vAlign w:val="center"/>
          </w:tcPr>
          <w:p>
            <w:pPr>
              <w:pStyle w:val="13"/>
            </w:pPr>
            <w:r>
              <w:t>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23.54</w:t>
            </w:r>
          </w:p>
        </w:tc>
        <w:tc>
          <w:tcPr>
            <w:tcW w:w="2551" w:type="dxa"/>
            <w:vAlign w:val="center"/>
          </w:tcPr>
          <w:p>
            <w:pPr>
              <w:pStyle w:val="13"/>
            </w:pPr>
            <w:r>
              <w:t>23.54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21.72</w:t>
            </w:r>
          </w:p>
        </w:tc>
        <w:tc>
          <w:tcPr>
            <w:tcW w:w="2551" w:type="dxa"/>
            <w:vAlign w:val="center"/>
          </w:tcPr>
          <w:p>
            <w:pPr>
              <w:pStyle w:val="13"/>
            </w:pPr>
            <w:r>
              <w:t>21.72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1.82</w:t>
            </w:r>
          </w:p>
        </w:tc>
        <w:tc>
          <w:tcPr>
            <w:tcW w:w="2551" w:type="dxa"/>
            <w:vAlign w:val="center"/>
          </w:tcPr>
          <w:p>
            <w:pPr>
              <w:pStyle w:val="13"/>
            </w:pPr>
            <w:r>
              <w:t>1.82</w:t>
            </w:r>
          </w:p>
        </w:tc>
        <w:tc>
          <w:tcPr>
            <w:tcW w:w="2551" w:type="dxa"/>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9.72</w:t>
            </w:r>
          </w:p>
        </w:tc>
        <w:tc>
          <w:tcPr>
            <w:tcW w:w="2381" w:type="dxa"/>
            <w:vAlign w:val="center"/>
          </w:tcPr>
          <w:p>
            <w:pPr>
              <w:pStyle w:val="17"/>
            </w:pPr>
            <w:r>
              <w:t>9.72</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9.72</w:t>
            </w:r>
          </w:p>
        </w:tc>
        <w:tc>
          <w:tcPr>
            <w:tcW w:w="2381" w:type="dxa"/>
            <w:vAlign w:val="center"/>
          </w:tcPr>
          <w:p>
            <w:pPr>
              <w:pStyle w:val="13"/>
            </w:pPr>
            <w:r>
              <w:t>9.72</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保定市徐水区应急管理局本级2025年单位预算信息公开情况说明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按照《中华人民共和国预算法》、《地方预决算公开操作规程》和《关于进一步推进预算公开工作的实施意见》规定，现将保定市徐水区应急管理局本级2025年单位预算公开如下：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（一）负责应急管理工作，指导各级各部门应对安全生产类、自然灾害类等突发事件和综合防灾减灾救灾工作。负责安全生产综合监督管理和工矿商贸行业安全生产监督管理工作。</w:t>
      </w:r>
    </w:p>
    <w:p>
      <w:pPr>
        <w:pStyle w:val="27"/>
      </w:pPr>
      <w:r>
        <w:t>（二）落实应急管理、安全生产等方针政策，组织落实区应急体系建设、安全生产和综合防灾减灾规划以及地方性法规和政府规章草案，组织实施相关规程和标准并监督实施。</w:t>
      </w:r>
    </w:p>
    <w:p>
      <w:pPr>
        <w:pStyle w:val="27"/>
      </w:pPr>
      <w:r>
        <w:t>（三）指导应急预案体系建设，建立完善事故灾难和自然灾害分级应对制度，组织编制区总体应急预案和安全生产类、自然灾害类专项预案，综合协调应急预案衔接工作，组织开展各类预案演练，推动应急避难设施建设。</w:t>
      </w:r>
    </w:p>
    <w:p>
      <w:pPr>
        <w:pStyle w:val="27"/>
      </w:pPr>
      <w:r>
        <w:t>（四）牵头建立统一的全区应急管理信息系统，负责信息传输渠道的规划和布局，建立监测预警和灾情报告制度，健全自然灾害信息资源获取和共享机制，依法统一发布灾情。</w:t>
      </w:r>
    </w:p>
    <w:p>
      <w:pPr>
        <w:pStyle w:val="27"/>
      </w:pPr>
      <w:r>
        <w:t>（五）组织指导协调安全生产类、自然灾害类等突发事件应急救援，承担区应对特别重大灾害指挥部工作，综合研判突发事件发展态势并提出应对建议，协助区委、区政府指定的负责同志组织特别重大灾害应急处置工作。</w:t>
      </w:r>
    </w:p>
    <w:p>
      <w:pPr>
        <w:pStyle w:val="27"/>
      </w:pPr>
      <w:r>
        <w:t>（六）统一协调指挥各类应急专业队伍，建立应急协调联动机制，推进指挥平台对接。</w:t>
      </w:r>
    </w:p>
    <w:p>
      <w:pPr>
        <w:pStyle w:val="27"/>
      </w:pPr>
      <w:r>
        <w:t>（七）统筹应急救援力量建设，负责消防、森林和草原火灾扑救、抗洪抢险、地震和地质灾害救援、生产安全事故救援等专业应急救援力量建设，管理区综合性应急救援队伍，指导各级及各社会应急救援力量建设。</w:t>
      </w:r>
    </w:p>
    <w:p>
      <w:pPr>
        <w:pStyle w:val="27"/>
      </w:pPr>
      <w:r>
        <w:t>（八）负责消防工作，指导各级消防监督、火灾预防、火灾扑救等工作。</w:t>
      </w:r>
    </w:p>
    <w:p>
      <w:pPr>
        <w:pStyle w:val="27"/>
      </w:pPr>
      <w:r>
        <w:t>（九）指导协调森林和草原火灾、水旱灾害、地震和地质灾害等防治工作，负责自然灾害综合监测预警工作，指导开展自然灾害综合风险评估工作。</w:t>
      </w:r>
    </w:p>
    <w:p>
      <w:pPr>
        <w:pStyle w:val="27"/>
      </w:pPr>
      <w:r>
        <w:t>（十）组织协调灾害救助工作，组织指导灾情核查、损失评估、救灾捐赠工作，管理、分配区救灾款物并监督使用。</w:t>
      </w:r>
    </w:p>
    <w:p>
      <w:pPr>
        <w:pStyle w:val="27"/>
      </w:pPr>
      <w:r>
        <w:t>（十一）依法行使区安全生产综合监督管理职权，指导协调、监督检查区直有关部门和各乡镇、开发区管委会安全生产工作，组织开展安全生产巡查、考核工作。</w:t>
      </w:r>
    </w:p>
    <w:p>
      <w:pPr>
        <w:pStyle w:val="27"/>
      </w:pPr>
      <w: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pStyle w:val="27"/>
      </w:pPr>
      <w:r>
        <w:t>（十三）依法组织指导生产安全事故调查处理，监督事故查处和责任追究落实情况；组织开展自然灾害类突发事件的调查评估工作。</w:t>
      </w:r>
    </w:p>
    <w:p>
      <w:pPr>
        <w:pStyle w:val="27"/>
      </w:pPr>
      <w:r>
        <w:t>（十四）制定应急物资储备和应急救援装备规划并组织实施，会同区粮食和物资储备等部门建立健全应急物资信息平台和调拨制度，在救灾时统一调度。</w:t>
      </w:r>
    </w:p>
    <w:p>
      <w:pPr>
        <w:pStyle w:val="27"/>
      </w:pPr>
      <w:r>
        <w:t>（十五）负责应急管理、安全生产宣传教育和培训工作，组织指导应急管理、安全生产的科学技术研究、推广应用和信息化建设工作。</w:t>
      </w:r>
    </w:p>
    <w:p>
      <w:pPr>
        <w:pStyle w:val="27"/>
      </w:pPr>
      <w:r>
        <w:t>（十六）负责组织指导协调和监督全区安全生产行政执法检查工作，组织开展对安全生产重点企业的执法检查。</w:t>
      </w:r>
    </w:p>
    <w:p>
      <w:pPr>
        <w:pStyle w:val="27"/>
      </w:pPr>
      <w:r>
        <w:t>（十七）负责地震监测、震灾防御和震灾救援指挥工作。</w:t>
      </w:r>
    </w:p>
    <w:p>
      <w:pPr>
        <w:pStyle w:val="27"/>
      </w:pPr>
      <w:r>
        <w:t>（十八）完成区委、区政府交办的其他任务。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保定市徐水区应急管理局本级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1056.86万元，其中：一般公共预算收入899.03万元，基金预算收入0.00万元，国有资本经营预算收入0.00万元，财政专户核拨收入0.00万元，单位资金收入0.00万元，上年结转结余157.83万元。</w:t>
      </w:r>
    </w:p>
    <w:p>
      <w:pPr>
        <w:pStyle w:val="28"/>
      </w:pPr>
      <w:r>
        <w:t>2、支出说明</w:t>
      </w:r>
    </w:p>
    <w:p>
      <w:pPr>
        <w:pStyle w:val="28"/>
      </w:pPr>
      <w:r>
        <w:t>收支预算总表支出栏、基本支出表、项目支出表按经济分类和支出功能分类科目编制，反映保定市徐水区应急管理局本级年度单位预算中支出预算的总体情况。2025年支出预算1056.86万元，其中基本支出485.32万元，包括人员经费436.90万元和日常公用经费48.41万元；项目支出571.54万元，主要为公用经费支出（特定目标类）项目所需总经费27.56万元，其中安全生产专家经费6.56万元，安全生产专项经费21万元；消防业务经费253.47万元，其中用于支付森林草原消防大队基本运转经费7.42万元，用于支付森林草原消防专业队伍建设经费246.05</w:t>
      </w:r>
      <w:bookmarkStart w:id="21" w:name="_GoBack"/>
      <w:bookmarkEnd w:id="21"/>
      <w:r>
        <w:t>万元；网络视频系统服务费0.96万元；应急综合管理工作经费22.25万元；解决历史遗留等问题经费0.36万元；其他个人部分支出34.71万元；自然灾害救助项目（含农房保险、物资储备等）所需经费74.4万元；2024年上级转移支付项目64.13万元，其中河北省自然灾害应急能力提升工程预警指挥项目国债项目省级配套所需经费3.9万元，河北省自然灾害应急能力提升工程预警指挥项目国债项目中央资金60.23万元；2024年一般公共预算本级项目85.7万元，其中河北省保定市基层防灾工程国债项目县级配套所需经费74.54万元，河北省自然灾害应急能力提升工程预警指挥项目国债项目县级配套所需经费11.16万元；下达中央自然灾害救助资金预算项目所需资金8万元，用于购置防汛物资一批。</w:t>
      </w:r>
    </w:p>
    <w:p>
      <w:pPr>
        <w:pStyle w:val="28"/>
      </w:pPr>
      <w:r>
        <w:t>3、比上年增减情况</w:t>
      </w:r>
    </w:p>
    <w:p>
      <w:pPr>
        <w:pStyle w:val="28"/>
      </w:pPr>
      <w:r>
        <w:t>2025年预算收支安排1056.86万元，较2024年预算增加218.84万元，其中：基本支出增加55.94万元，主要为2025年公务员工资调标且增加人员3名，致使基本支出增加。项目支出增加162.90万元，主要为增加了河北省保定市基层防灾工程国债项目县级配套、河北省自然灾害应急能力提升工程预警指挥项目国债项目中央资金、河北省自然灾害应急能力提升工程预警指挥项目国债项目县级配套等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9.72万元，其中因公出国（境）费0.00万元；公务用车购置及运维费9.72万元（其中：公务用车购置费为0.00万元，公务用车运维费9.72万元)；公务接待费0.00万元。与2024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1、安全生产专家经费绩效目标表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13062525P00023410041C</w:t>
            </w:r>
          </w:p>
        </w:tc>
        <w:tc>
          <w:tcPr>
            <w:tcW w:w="2835" w:type="dxa"/>
            <w:vAlign w:val="center"/>
          </w:tcPr>
          <w:p>
            <w:pPr>
              <w:pStyle w:val="12"/>
            </w:pPr>
            <w:r>
              <w:t>项目名称</w:t>
            </w:r>
          </w:p>
        </w:tc>
        <w:tc>
          <w:tcPr>
            <w:tcW w:w="6095" w:type="dxa"/>
            <w:gridSpan w:val="3"/>
            <w:vAlign w:val="center"/>
          </w:tcPr>
          <w:p>
            <w:pPr>
              <w:pStyle w:val="14"/>
            </w:pPr>
            <w:r>
              <w:t>安全生产专家经费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6.56</w:t>
            </w:r>
          </w:p>
        </w:tc>
        <w:tc>
          <w:tcPr>
            <w:tcW w:w="2835" w:type="dxa"/>
            <w:vAlign w:val="center"/>
          </w:tcPr>
          <w:p>
            <w:pPr>
              <w:pStyle w:val="12"/>
            </w:pPr>
            <w:r>
              <w:t>其中：财政    资金</w:t>
            </w:r>
          </w:p>
        </w:tc>
        <w:tc>
          <w:tcPr>
            <w:tcW w:w="2551" w:type="dxa"/>
            <w:vAlign w:val="center"/>
          </w:tcPr>
          <w:p>
            <w:pPr>
              <w:pStyle w:val="14"/>
            </w:pPr>
            <w:r>
              <w:t>6.56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用于支付安全生产专家、法律专家安全生产技术服务等劳务费。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1.进一步强化安全生产工作，防止和减少生产安全事故的发生，确保“十四五”期间安全生产形势的持续稳定。    </w:t>
            </w:r>
          </w:p>
          <w:p>
            <w:pPr>
              <w:pStyle w:val="14"/>
            </w:pPr>
            <w:r>
              <w:t>2.全年聘请安全生产专家144人次以上对企业进行安全生产检查、培训等技术服务。聘法律专家1人，负责执法卷宗的法律审查及单位涉诉问题。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使用专家人次</w:t>
            </w:r>
          </w:p>
        </w:tc>
        <w:tc>
          <w:tcPr>
            <w:tcW w:w="5386" w:type="dxa"/>
            <w:vAlign w:val="center"/>
          </w:tcPr>
          <w:p>
            <w:pPr>
              <w:pStyle w:val="14"/>
            </w:pPr>
            <w:r>
              <w:t>全年使用安全生产专家人次</w:t>
            </w:r>
          </w:p>
        </w:tc>
        <w:tc>
          <w:tcPr>
            <w:tcW w:w="2268" w:type="dxa"/>
            <w:vAlign w:val="center"/>
          </w:tcPr>
          <w:p>
            <w:pPr>
              <w:pStyle w:val="14"/>
            </w:pPr>
            <w:r>
              <w:t>144人次</w:t>
            </w:r>
          </w:p>
        </w:tc>
        <w:tc>
          <w:tcPr>
            <w:tcW w:w="1276" w:type="dxa"/>
            <w:vAlign w:val="center"/>
          </w:tcPr>
          <w:p>
            <w:pPr>
              <w:pStyle w:val="14"/>
            </w:pPr>
            <w:r>
              <w:t>依据（徐政办【2014】18号文件）专家组使用规定、安全生产专家经费项目实施计划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法律专家人数</w:t>
            </w:r>
          </w:p>
        </w:tc>
        <w:tc>
          <w:tcPr>
            <w:tcW w:w="5386" w:type="dxa"/>
            <w:vAlign w:val="center"/>
          </w:tcPr>
          <w:p>
            <w:pPr>
              <w:pStyle w:val="14"/>
            </w:pPr>
            <w:r>
              <w:t>每年聘请法律专家人数</w:t>
            </w:r>
          </w:p>
        </w:tc>
        <w:tc>
          <w:tcPr>
            <w:tcW w:w="2268" w:type="dxa"/>
            <w:vAlign w:val="center"/>
          </w:tcPr>
          <w:p>
            <w:pPr>
              <w:pStyle w:val="14"/>
            </w:pPr>
            <w:r>
              <w:t>1人</w:t>
            </w:r>
          </w:p>
        </w:tc>
        <w:tc>
          <w:tcPr>
            <w:tcW w:w="1276" w:type="dxa"/>
            <w:vAlign w:val="center"/>
          </w:tcPr>
          <w:p>
            <w:pPr>
              <w:pStyle w:val="14"/>
            </w:pPr>
            <w:r>
              <w:t>安全生产专家经费项目实施计划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劳务费发放到位率</w:t>
            </w:r>
          </w:p>
        </w:tc>
        <w:tc>
          <w:tcPr>
            <w:tcW w:w="5386" w:type="dxa"/>
            <w:vAlign w:val="center"/>
          </w:tcPr>
          <w:p>
            <w:pPr>
              <w:pStyle w:val="14"/>
            </w:pPr>
            <w:r>
              <w:t>安全生产专家劳务费发放到位率</w:t>
            </w:r>
          </w:p>
        </w:tc>
        <w:tc>
          <w:tcPr>
            <w:tcW w:w="2268" w:type="dxa"/>
            <w:vAlign w:val="center"/>
          </w:tcPr>
          <w:p>
            <w:pPr>
              <w:pStyle w:val="14"/>
            </w:pPr>
            <w:r>
              <w:t>≥90%</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劳务费支付及时率</w:t>
            </w:r>
          </w:p>
        </w:tc>
        <w:tc>
          <w:tcPr>
            <w:tcW w:w="5386" w:type="dxa"/>
            <w:vAlign w:val="center"/>
          </w:tcPr>
          <w:p>
            <w:pPr>
              <w:pStyle w:val="14"/>
            </w:pPr>
            <w:r>
              <w:t>安全生产专家劳务费支付及时率</w:t>
            </w:r>
          </w:p>
        </w:tc>
        <w:tc>
          <w:tcPr>
            <w:tcW w:w="2268" w:type="dxa"/>
            <w:vAlign w:val="center"/>
          </w:tcPr>
          <w:p>
            <w:pPr>
              <w:pStyle w:val="14"/>
            </w:pPr>
            <w:r>
              <w:t>≥90%</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≤65600元</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全年发生较大以上安全生产事故发生数</w:t>
            </w:r>
          </w:p>
        </w:tc>
        <w:tc>
          <w:tcPr>
            <w:tcW w:w="2268" w:type="dxa"/>
            <w:vAlign w:val="center"/>
          </w:tcPr>
          <w:p>
            <w:pPr>
              <w:pStyle w:val="14"/>
            </w:pPr>
            <w:r>
              <w:t>0次</w:t>
            </w:r>
          </w:p>
        </w:tc>
        <w:tc>
          <w:tcPr>
            <w:tcW w:w="1276" w:type="dxa"/>
            <w:vAlign w:val="center"/>
          </w:tcPr>
          <w:p>
            <w:pPr>
              <w:pStyle w:val="14"/>
            </w:pPr>
            <w:r>
              <w:t>安全生产专家经费项目实施计划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服务企业满意度指标</w:t>
            </w:r>
          </w:p>
        </w:tc>
        <w:tc>
          <w:tcPr>
            <w:tcW w:w="5386" w:type="dxa"/>
            <w:vAlign w:val="center"/>
          </w:tcPr>
          <w:p>
            <w:pPr>
              <w:pStyle w:val="14"/>
            </w:pPr>
            <w:r>
              <w:t>安全生产专家服务企业满意度指标</w:t>
            </w:r>
          </w:p>
        </w:tc>
        <w:tc>
          <w:tcPr>
            <w:tcW w:w="2268" w:type="dxa"/>
            <w:vAlign w:val="center"/>
          </w:tcPr>
          <w:p>
            <w:pPr>
              <w:pStyle w:val="14"/>
            </w:pPr>
            <w:r>
              <w:t>≥90%</w:t>
            </w:r>
          </w:p>
        </w:tc>
        <w:tc>
          <w:tcPr>
            <w:tcW w:w="1276" w:type="dxa"/>
            <w:vAlign w:val="center"/>
          </w:tcPr>
          <w:p>
            <w:pPr>
              <w:pStyle w:val="14"/>
            </w:pPr>
            <w:r>
              <w:t>服务企业满意度调查问卷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13062525P00023410040Q</w:t>
            </w:r>
          </w:p>
        </w:tc>
        <w:tc>
          <w:tcPr>
            <w:tcW w:w="2835" w:type="dxa"/>
            <w:vAlign w:val="center"/>
          </w:tcPr>
          <w:p>
            <w:pPr>
              <w:pStyle w:val="12"/>
            </w:pPr>
            <w:r>
              <w:t>项目名称</w:t>
            </w:r>
          </w:p>
        </w:tc>
        <w:tc>
          <w:tcPr>
            <w:tcW w:w="6095" w:type="dxa"/>
            <w:gridSpan w:val="3"/>
            <w:vAlign w:val="center"/>
          </w:tcPr>
          <w:p>
            <w:pPr>
              <w:pStyle w:val="14"/>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用于补助执法必需的经费、安全生产材料法律法规材料印刷费。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1.进一步强化安全生产工作，防止和减少生产安全事故的发生，确保“十四五”期间安全生产形势的持续稳定。</w:t>
            </w:r>
          </w:p>
          <w:p>
            <w:pPr>
              <w:pStyle w:val="14"/>
            </w:pPr>
            <w:r>
              <w:t>2.项目资金21万元，用于保障监管执法必需的人员、经费和车辆等支出，印刷安全生产宣传材料、法律法规材料40000册。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资料印刷数量</w:t>
            </w:r>
          </w:p>
        </w:tc>
        <w:tc>
          <w:tcPr>
            <w:tcW w:w="5386" w:type="dxa"/>
            <w:vAlign w:val="center"/>
          </w:tcPr>
          <w:p>
            <w:pPr>
              <w:pStyle w:val="14"/>
            </w:pPr>
            <w:r>
              <w:t>安全生产宣传材料、法律法规材料印刷数量</w:t>
            </w:r>
          </w:p>
        </w:tc>
        <w:tc>
          <w:tcPr>
            <w:tcW w:w="2268" w:type="dxa"/>
            <w:vAlign w:val="center"/>
          </w:tcPr>
          <w:p>
            <w:pPr>
              <w:pStyle w:val="14"/>
            </w:pPr>
            <w:r>
              <w:t>≥40000册</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材料验收合格率</w:t>
            </w:r>
          </w:p>
        </w:tc>
        <w:tc>
          <w:tcPr>
            <w:tcW w:w="5386" w:type="dxa"/>
            <w:vAlign w:val="center"/>
          </w:tcPr>
          <w:p>
            <w:pPr>
              <w:pStyle w:val="14"/>
            </w:pPr>
            <w:r>
              <w:t>印刷安全生产宣传材料、法律法规材料验收合格率</w:t>
            </w:r>
          </w:p>
        </w:tc>
        <w:tc>
          <w:tcPr>
            <w:tcW w:w="2268" w:type="dxa"/>
            <w:vAlign w:val="center"/>
          </w:tcPr>
          <w:p>
            <w:pPr>
              <w:pStyle w:val="14"/>
            </w:pPr>
            <w:r>
              <w:t>≥95%</w:t>
            </w:r>
          </w:p>
        </w:tc>
        <w:tc>
          <w:tcPr>
            <w:tcW w:w="1276" w:type="dxa"/>
            <w:vAlign w:val="center"/>
          </w:tcPr>
          <w:p>
            <w:pPr>
              <w:pStyle w:val="14"/>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材料印刷及时率</w:t>
            </w:r>
          </w:p>
        </w:tc>
        <w:tc>
          <w:tcPr>
            <w:tcW w:w="5386" w:type="dxa"/>
            <w:vAlign w:val="center"/>
          </w:tcPr>
          <w:p>
            <w:pPr>
              <w:pStyle w:val="14"/>
            </w:pPr>
            <w:r>
              <w:t>印刷安全生产宣传材料、法律法规材料印刷及时率</w:t>
            </w:r>
          </w:p>
        </w:tc>
        <w:tc>
          <w:tcPr>
            <w:tcW w:w="2268" w:type="dxa"/>
            <w:vAlign w:val="center"/>
          </w:tcPr>
          <w:p>
            <w:pPr>
              <w:pStyle w:val="14"/>
            </w:pPr>
            <w:r>
              <w:t>≥95%</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项目支出控制在预算范围内</w:t>
            </w:r>
          </w:p>
        </w:tc>
        <w:tc>
          <w:tcPr>
            <w:tcW w:w="2268" w:type="dxa"/>
            <w:vAlign w:val="center"/>
          </w:tcPr>
          <w:p>
            <w:pPr>
              <w:pStyle w:val="14"/>
            </w:pPr>
            <w:r>
              <w:t>≤21万元</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发生重大安全事故次数</w:t>
            </w:r>
          </w:p>
        </w:tc>
        <w:tc>
          <w:tcPr>
            <w:tcW w:w="5386" w:type="dxa"/>
            <w:vAlign w:val="center"/>
          </w:tcPr>
          <w:p>
            <w:pPr>
              <w:pStyle w:val="14"/>
            </w:pPr>
            <w:r>
              <w:t>年发生重大安全事故次数</w:t>
            </w:r>
          </w:p>
        </w:tc>
        <w:tc>
          <w:tcPr>
            <w:tcW w:w="2268" w:type="dxa"/>
            <w:vAlign w:val="center"/>
          </w:tcPr>
          <w:p>
            <w:pPr>
              <w:pStyle w:val="14"/>
            </w:pPr>
            <w:r>
              <w:t>0次</w:t>
            </w:r>
          </w:p>
        </w:tc>
        <w:tc>
          <w:tcPr>
            <w:tcW w:w="1276" w:type="dxa"/>
            <w:vAlign w:val="center"/>
          </w:tcPr>
          <w:p>
            <w:pPr>
              <w:pStyle w:val="14"/>
            </w:pPr>
            <w:r>
              <w:t>依据安全生产专项经费项目实施计划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执法工作人员满意度</w:t>
            </w:r>
          </w:p>
        </w:tc>
        <w:tc>
          <w:tcPr>
            <w:tcW w:w="5386" w:type="dxa"/>
            <w:vAlign w:val="center"/>
          </w:tcPr>
          <w:p>
            <w:pPr>
              <w:pStyle w:val="14"/>
            </w:pPr>
            <w:r>
              <w:t>单位执法工作人员对执法保障情况满意度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3、河北省保定市基层防灾工程国债项目县级配套绩效目标表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13062524P00001511162D</w:t>
            </w:r>
          </w:p>
        </w:tc>
        <w:tc>
          <w:tcPr>
            <w:tcW w:w="2835" w:type="dxa"/>
            <w:vAlign w:val="center"/>
          </w:tcPr>
          <w:p>
            <w:pPr>
              <w:pStyle w:val="12"/>
            </w:pPr>
            <w:r>
              <w:t>项目名称</w:t>
            </w:r>
          </w:p>
        </w:tc>
        <w:tc>
          <w:tcPr>
            <w:tcW w:w="6095" w:type="dxa"/>
            <w:gridSpan w:val="3"/>
            <w:vAlign w:val="center"/>
          </w:tcPr>
          <w:p>
            <w:pPr>
              <w:pStyle w:val="14"/>
            </w:pPr>
            <w:r>
              <w:t>河北省保定市基层防灾工程国债项目县级配套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74.54</w:t>
            </w:r>
          </w:p>
        </w:tc>
        <w:tc>
          <w:tcPr>
            <w:tcW w:w="2835" w:type="dxa"/>
            <w:vAlign w:val="center"/>
          </w:tcPr>
          <w:p>
            <w:pPr>
              <w:pStyle w:val="12"/>
            </w:pPr>
            <w:r>
              <w:t>其中：财政    资金</w:t>
            </w:r>
          </w:p>
        </w:tc>
        <w:tc>
          <w:tcPr>
            <w:tcW w:w="2551" w:type="dxa"/>
            <w:vAlign w:val="center"/>
          </w:tcPr>
          <w:p>
            <w:pPr>
              <w:pStyle w:val="14"/>
            </w:pPr>
            <w:r>
              <w:t>74.54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用于支付基层防灾工程项目购置设备所需资金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1.支持灾后恢复重建和防灾减灾救灾能力提升，提高我区基层自然灾害防御水平。</w:t>
            </w:r>
          </w:p>
          <w:p>
            <w:pPr>
              <w:pStyle w:val="14"/>
            </w:pPr>
            <w:r>
              <w:t>2.项目资金188.92万元，为我区16支应急救援队伍配备快速投送、抢险救援、通信指挥等专业救援装备。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设备配备队伍数量</w:t>
            </w:r>
          </w:p>
        </w:tc>
        <w:tc>
          <w:tcPr>
            <w:tcW w:w="5386" w:type="dxa"/>
            <w:vAlign w:val="center"/>
          </w:tcPr>
          <w:p>
            <w:pPr>
              <w:pStyle w:val="14"/>
            </w:pPr>
            <w:r>
              <w:t>购置专业设备配备队伍数量</w:t>
            </w:r>
          </w:p>
        </w:tc>
        <w:tc>
          <w:tcPr>
            <w:tcW w:w="2268" w:type="dxa"/>
            <w:vAlign w:val="center"/>
          </w:tcPr>
          <w:p>
            <w:pPr>
              <w:pStyle w:val="14"/>
            </w:pPr>
            <w:r>
              <w:t>16个</w:t>
            </w:r>
          </w:p>
        </w:tc>
        <w:tc>
          <w:tcPr>
            <w:tcW w:w="1276" w:type="dxa"/>
            <w:vAlign w:val="center"/>
          </w:tcPr>
          <w:p>
            <w:pPr>
              <w:pStyle w:val="14"/>
            </w:pPr>
            <w:r>
              <w:t>请示文件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购置设备验收率</w:t>
            </w:r>
          </w:p>
        </w:tc>
        <w:tc>
          <w:tcPr>
            <w:tcW w:w="5386" w:type="dxa"/>
            <w:vAlign w:val="center"/>
          </w:tcPr>
          <w:p>
            <w:pPr>
              <w:pStyle w:val="14"/>
            </w:pPr>
            <w:r>
              <w:t>购置设备验收率</w:t>
            </w:r>
          </w:p>
        </w:tc>
        <w:tc>
          <w:tcPr>
            <w:tcW w:w="2268" w:type="dxa"/>
            <w:vAlign w:val="center"/>
          </w:tcPr>
          <w:p>
            <w:pPr>
              <w:pStyle w:val="14"/>
            </w:pPr>
            <w:r>
              <w:t>100%</w:t>
            </w:r>
          </w:p>
        </w:tc>
        <w:tc>
          <w:tcPr>
            <w:tcW w:w="1276" w:type="dxa"/>
            <w:vAlign w:val="center"/>
          </w:tcPr>
          <w:p>
            <w:pPr>
              <w:pStyle w:val="14"/>
            </w:pPr>
            <w:r>
              <w:t>设备验收记录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设备维修及时率</w:t>
            </w:r>
          </w:p>
        </w:tc>
        <w:tc>
          <w:tcPr>
            <w:tcW w:w="5386" w:type="dxa"/>
            <w:vAlign w:val="center"/>
          </w:tcPr>
          <w:p>
            <w:pPr>
              <w:pStyle w:val="14"/>
            </w:pPr>
            <w:r>
              <w:t>设备维修及时率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≤188.92万元</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应急救援任务有效完成率</w:t>
            </w:r>
          </w:p>
        </w:tc>
        <w:tc>
          <w:tcPr>
            <w:tcW w:w="2268" w:type="dxa"/>
            <w:vAlign w:val="center"/>
          </w:tcPr>
          <w:p>
            <w:pPr>
              <w:pStyle w:val="14"/>
            </w:pPr>
            <w:r>
              <w:t>100%</w:t>
            </w:r>
          </w:p>
        </w:tc>
        <w:tc>
          <w:tcPr>
            <w:tcW w:w="1276" w:type="dxa"/>
            <w:vAlign w:val="center"/>
          </w:tcPr>
          <w:p>
            <w:pPr>
              <w:pStyle w:val="14"/>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4、河北省自然灾害应急能力提升工程预警指挥项目国债项目省级配套绩效目标表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13062524P000017102769</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w:t>
            </w:r>
          </w:p>
        </w:tc>
        <w:tc>
          <w:tcPr>
            <w:tcW w:w="2835" w:type="dxa"/>
            <w:vAlign w:val="center"/>
          </w:tcPr>
          <w:p>
            <w:pPr>
              <w:pStyle w:val="12"/>
            </w:pPr>
            <w:r>
              <w:t>其中：财政    资金</w:t>
            </w:r>
          </w:p>
        </w:tc>
        <w:tc>
          <w:tcPr>
            <w:tcW w:w="2551" w:type="dxa"/>
            <w:vAlign w:val="center"/>
          </w:tcPr>
          <w:p>
            <w:pPr>
              <w:pStyle w:val="14"/>
            </w:pPr>
            <w:r>
              <w:t>3.90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用于支付自然灾害应急能力提升工程资金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2.为我区建设预警指挥项目，项目配套资金3.895845万元，购置值班室调度显示设备1台2万元，指挥中心音视频改造100万元，指挥中心音视频改造集成费2.5万元，370MHZ多模终端10台4.5万元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≥11台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项目预算资金总额</w:t>
            </w:r>
          </w:p>
        </w:tc>
        <w:tc>
          <w:tcPr>
            <w:tcW w:w="5386" w:type="dxa"/>
            <w:vAlign w:val="center"/>
          </w:tcPr>
          <w:p>
            <w:pPr>
              <w:pStyle w:val="14"/>
            </w:pPr>
            <w:r>
              <w:t>项目资金总额支出数控制在预算范围内</w:t>
            </w:r>
          </w:p>
        </w:tc>
        <w:tc>
          <w:tcPr>
            <w:tcW w:w="2268" w:type="dxa"/>
            <w:vAlign w:val="center"/>
          </w:tcPr>
          <w:p>
            <w:pPr>
              <w:pStyle w:val="14"/>
            </w:pPr>
            <w:r>
              <w:t>≤38958.45元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应急救援任务有效完成数占全部任务数比例</w:t>
            </w:r>
          </w:p>
        </w:tc>
        <w:tc>
          <w:tcPr>
            <w:tcW w:w="2268" w:type="dxa"/>
            <w:vAlign w:val="center"/>
          </w:tcPr>
          <w:p>
            <w:pPr>
              <w:pStyle w:val="14"/>
            </w:pPr>
            <w:r>
              <w:t>100%</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设备可持续使用时间</w:t>
            </w:r>
          </w:p>
        </w:tc>
        <w:tc>
          <w:tcPr>
            <w:tcW w:w="5386" w:type="dxa"/>
            <w:vAlign w:val="center"/>
          </w:tcPr>
          <w:p>
            <w:pPr>
              <w:pStyle w:val="14"/>
            </w:pPr>
            <w:r>
              <w:t>设备正常使用年限</w:t>
            </w:r>
          </w:p>
        </w:tc>
        <w:tc>
          <w:tcPr>
            <w:tcW w:w="2268" w:type="dxa"/>
            <w:vAlign w:val="center"/>
          </w:tcPr>
          <w:p>
            <w:pPr>
              <w:pStyle w:val="14"/>
            </w:pPr>
            <w:r>
              <w:t>≥10年</w:t>
            </w:r>
          </w:p>
        </w:tc>
        <w:tc>
          <w:tcPr>
            <w:tcW w:w="1276" w:type="dxa"/>
            <w:vAlign w:val="center"/>
          </w:tcPr>
          <w:p>
            <w:pPr>
              <w:pStyle w:val="14"/>
            </w:pPr>
            <w:r>
              <w:t>固定资产相关财务制度规定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反映通过问卷调查受益群体满意情况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5、河北省自然灾害应急能力提升工程预警指挥项目国债项目县级配套绩效目标表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13062524P00001511161R</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11.16</w:t>
            </w:r>
          </w:p>
        </w:tc>
        <w:tc>
          <w:tcPr>
            <w:tcW w:w="2835" w:type="dxa"/>
            <w:vAlign w:val="center"/>
          </w:tcPr>
          <w:p>
            <w:pPr>
              <w:pStyle w:val="12"/>
            </w:pPr>
            <w:r>
              <w:t>其中：财政    资金</w:t>
            </w:r>
          </w:p>
        </w:tc>
        <w:tc>
          <w:tcPr>
            <w:tcW w:w="2551" w:type="dxa"/>
            <w:vAlign w:val="center"/>
          </w:tcPr>
          <w:p>
            <w:pPr>
              <w:pStyle w:val="14"/>
            </w:pPr>
            <w:r>
              <w:t>11.16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用于支付自然灾害应急能力提升工程资金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2.为我区建设预警指挥项目，项目资金14.533万元，购置值班室调度显示设备1台2万元，指挥中心音视频改造100万元，指挥中心音视频改造集成费2.5万元，370MHZ多模终端10台4.5万元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≥10台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≤14.54万元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应急救援任务有效完成率</w:t>
            </w:r>
          </w:p>
        </w:tc>
        <w:tc>
          <w:tcPr>
            <w:tcW w:w="2268" w:type="dxa"/>
            <w:vAlign w:val="center"/>
          </w:tcPr>
          <w:p>
            <w:pPr>
              <w:pStyle w:val="14"/>
            </w:pPr>
            <w:r>
              <w:t>100%</w:t>
            </w:r>
          </w:p>
        </w:tc>
        <w:tc>
          <w:tcPr>
            <w:tcW w:w="1276" w:type="dxa"/>
            <w:vAlign w:val="center"/>
          </w:tcPr>
          <w:p>
            <w:pPr>
              <w:pStyle w:val="14"/>
            </w:pPr>
            <w:r>
              <w:t>上级文件规定</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6、河北省自然灾害应急能力提升工程预警指挥项目国债项目中央资金绩效目标表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13062524P00001710275M</w:t>
            </w:r>
          </w:p>
        </w:tc>
        <w:tc>
          <w:tcPr>
            <w:tcW w:w="2835" w:type="dxa"/>
            <w:vAlign w:val="center"/>
          </w:tcPr>
          <w:p>
            <w:pPr>
              <w:pStyle w:val="12"/>
            </w:pPr>
            <w:r>
              <w:t>项目名称</w:t>
            </w:r>
          </w:p>
        </w:tc>
        <w:tc>
          <w:tcPr>
            <w:tcW w:w="6095" w:type="dxa"/>
            <w:gridSpan w:val="3"/>
            <w:vAlign w:val="center"/>
          </w:tcPr>
          <w:p>
            <w:pPr>
              <w:pStyle w:val="14"/>
            </w:pPr>
            <w:r>
              <w:t>河北省自然灾害应急能力提升工程预警指挥项目国债项目中央资金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60.23</w:t>
            </w:r>
          </w:p>
        </w:tc>
        <w:tc>
          <w:tcPr>
            <w:tcW w:w="2835" w:type="dxa"/>
            <w:vAlign w:val="center"/>
          </w:tcPr>
          <w:p>
            <w:pPr>
              <w:pStyle w:val="12"/>
            </w:pPr>
            <w:r>
              <w:t>其中：财政    资金</w:t>
            </w:r>
          </w:p>
        </w:tc>
        <w:tc>
          <w:tcPr>
            <w:tcW w:w="2551" w:type="dxa"/>
            <w:vAlign w:val="center"/>
          </w:tcPr>
          <w:p>
            <w:pPr>
              <w:pStyle w:val="14"/>
            </w:pPr>
            <w:r>
              <w:t>60.23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用于支付自然支行应急能力提升工程项目资金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1.提升我省灾害综合监测、预警响应、指挥调度和纵向贯通、横向互联的协同联动能力。</w:t>
            </w:r>
          </w:p>
          <w:p>
            <w:pPr>
              <w:pStyle w:val="14"/>
            </w:pPr>
            <w:r>
              <w:t>2.为我区建设预警指挥项目，项目配套资金60.63076万元，购置值班室调度显示设备1台2万元，指挥中心音视频改造100万元，指挥中心音视频改造集成费2.5万元，370MHZ多模终端10台4.5万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依据能力提升设备购置数量</w:t>
            </w:r>
          </w:p>
        </w:tc>
        <w:tc>
          <w:tcPr>
            <w:tcW w:w="2268" w:type="dxa"/>
            <w:vAlign w:val="center"/>
          </w:tcPr>
          <w:p>
            <w:pPr>
              <w:pStyle w:val="14"/>
            </w:pPr>
            <w:r>
              <w:t>≥11台</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设备、设施验收通过率（%）</w:t>
            </w:r>
          </w:p>
        </w:tc>
        <w:tc>
          <w:tcPr>
            <w:tcW w:w="5386" w:type="dxa"/>
            <w:vAlign w:val="center"/>
          </w:tcPr>
          <w:p>
            <w:pPr>
              <w:pStyle w:val="14"/>
            </w:pPr>
            <w:r>
              <w:t>设备、设施验收通过率（%）</w:t>
            </w:r>
          </w:p>
        </w:tc>
        <w:tc>
          <w:tcPr>
            <w:tcW w:w="2268" w:type="dxa"/>
            <w:vAlign w:val="center"/>
          </w:tcPr>
          <w:p>
            <w:pPr>
              <w:pStyle w:val="14"/>
            </w:pPr>
            <w:r>
              <w:t>100%</w:t>
            </w:r>
          </w:p>
        </w:tc>
        <w:tc>
          <w:tcPr>
            <w:tcW w:w="1276" w:type="dxa"/>
            <w:vAlign w:val="center"/>
          </w:tcPr>
          <w:p>
            <w:pPr>
              <w:pStyle w:val="14"/>
            </w:pPr>
            <w:r>
              <w:t>设备验收单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根据预算及工作需要及时支付</w:t>
            </w:r>
          </w:p>
        </w:tc>
        <w:tc>
          <w:tcPr>
            <w:tcW w:w="2268" w:type="dxa"/>
            <w:vAlign w:val="center"/>
          </w:tcPr>
          <w:p>
            <w:pPr>
              <w:pStyle w:val="14"/>
            </w:pPr>
            <w:r>
              <w:t>≥90%</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项目预算资金总额</w:t>
            </w:r>
          </w:p>
        </w:tc>
        <w:tc>
          <w:tcPr>
            <w:tcW w:w="5386" w:type="dxa"/>
            <w:vAlign w:val="center"/>
          </w:tcPr>
          <w:p>
            <w:pPr>
              <w:pStyle w:val="14"/>
            </w:pPr>
            <w:r>
              <w:t>项目资金总额支出数控制在预算范围内</w:t>
            </w:r>
          </w:p>
        </w:tc>
        <w:tc>
          <w:tcPr>
            <w:tcW w:w="2268" w:type="dxa"/>
            <w:vAlign w:val="center"/>
          </w:tcPr>
          <w:p>
            <w:pPr>
              <w:pStyle w:val="14"/>
            </w:pPr>
            <w:r>
              <w:t>≤606307.6元</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应急救援任务有效完成数占全部任务数比例</w:t>
            </w:r>
          </w:p>
        </w:tc>
        <w:tc>
          <w:tcPr>
            <w:tcW w:w="2268" w:type="dxa"/>
            <w:vAlign w:val="center"/>
          </w:tcPr>
          <w:p>
            <w:pPr>
              <w:pStyle w:val="14"/>
            </w:pPr>
            <w:r>
              <w:t>100%</w:t>
            </w:r>
          </w:p>
        </w:tc>
        <w:tc>
          <w:tcPr>
            <w:tcW w:w="1276" w:type="dxa"/>
            <w:vAlign w:val="center"/>
          </w:tcPr>
          <w:p>
            <w:pPr>
              <w:pStyle w:val="14"/>
            </w:pPr>
            <w:r>
              <w:t>上级文件规定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设备可持续使用时间</w:t>
            </w:r>
          </w:p>
        </w:tc>
        <w:tc>
          <w:tcPr>
            <w:tcW w:w="5386" w:type="dxa"/>
            <w:vAlign w:val="center"/>
          </w:tcPr>
          <w:p>
            <w:pPr>
              <w:pStyle w:val="14"/>
            </w:pPr>
            <w:r>
              <w:t>设备正常使用年限</w:t>
            </w:r>
          </w:p>
        </w:tc>
        <w:tc>
          <w:tcPr>
            <w:tcW w:w="2268" w:type="dxa"/>
            <w:vAlign w:val="center"/>
          </w:tcPr>
          <w:p>
            <w:pPr>
              <w:pStyle w:val="14"/>
            </w:pPr>
            <w:r>
              <w:t>≥10年</w:t>
            </w:r>
          </w:p>
        </w:tc>
        <w:tc>
          <w:tcPr>
            <w:tcW w:w="1276" w:type="dxa"/>
            <w:vAlign w:val="center"/>
          </w:tcPr>
          <w:p>
            <w:pPr>
              <w:pStyle w:val="14"/>
            </w:pPr>
            <w:r>
              <w:t>固定资产相关财务制度规定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反映通过问卷调查受益群体满意情况</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7、机关劳务派遣人员工资保险绩效目标表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13062525P000232100947</w:t>
            </w:r>
          </w:p>
        </w:tc>
        <w:tc>
          <w:tcPr>
            <w:tcW w:w="2835" w:type="dxa"/>
            <w:vAlign w:val="center"/>
          </w:tcPr>
          <w:p>
            <w:pPr>
              <w:pStyle w:val="12"/>
            </w:pPr>
            <w:r>
              <w:t>项目名称</w:t>
            </w:r>
          </w:p>
        </w:tc>
        <w:tc>
          <w:tcPr>
            <w:tcW w:w="6095" w:type="dxa"/>
            <w:gridSpan w:val="3"/>
            <w:vAlign w:val="center"/>
          </w:tcPr>
          <w:p>
            <w:pPr>
              <w:pStyle w:val="14"/>
            </w:pPr>
            <w:r>
              <w:t>机关劳务派遣人员工资保险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34.71</w:t>
            </w:r>
          </w:p>
        </w:tc>
        <w:tc>
          <w:tcPr>
            <w:tcW w:w="2835" w:type="dxa"/>
            <w:vAlign w:val="center"/>
          </w:tcPr>
          <w:p>
            <w:pPr>
              <w:pStyle w:val="12"/>
            </w:pPr>
            <w:r>
              <w:t>其中：财政    资金</w:t>
            </w:r>
          </w:p>
        </w:tc>
        <w:tc>
          <w:tcPr>
            <w:tcW w:w="2551" w:type="dxa"/>
            <w:vAlign w:val="center"/>
          </w:tcPr>
          <w:p>
            <w:pPr>
              <w:pStyle w:val="14"/>
            </w:pPr>
            <w:r>
              <w:t>34.71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用于支付单位劳务派遣人员工资保险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1.进一步强化安全生产工作，防止和减少生产安全事故的发生，确保“十四五”期间安全生产形势的持续稳定。 </w:t>
            </w:r>
          </w:p>
          <w:p>
            <w:pPr>
              <w:pStyle w:val="14"/>
            </w:pPr>
            <w:r>
              <w:t>2.通过公开招聘，利用劳务派遣形式聘用工作人员8人，缓解了单位人员紧张的压力。</w:t>
            </w:r>
          </w:p>
          <w:p>
            <w:pPr>
              <w:pStyle w:val="14"/>
            </w:pPr>
            <w:r>
              <w:t>3.项目资金347050.56元，为劳务派遣人员8人支付工资缴纳四险一金。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劳务派遣人员数量</w:t>
            </w:r>
          </w:p>
        </w:tc>
        <w:tc>
          <w:tcPr>
            <w:tcW w:w="5386" w:type="dxa"/>
            <w:vAlign w:val="center"/>
          </w:tcPr>
          <w:p>
            <w:pPr>
              <w:pStyle w:val="14"/>
            </w:pPr>
            <w:r>
              <w:t>机关劳务派遣人员数量</w:t>
            </w:r>
          </w:p>
        </w:tc>
        <w:tc>
          <w:tcPr>
            <w:tcW w:w="2268" w:type="dxa"/>
            <w:vAlign w:val="center"/>
          </w:tcPr>
          <w:p>
            <w:pPr>
              <w:pStyle w:val="14"/>
            </w:pPr>
            <w:r>
              <w:t>8人</w:t>
            </w:r>
          </w:p>
        </w:tc>
        <w:tc>
          <w:tcPr>
            <w:tcW w:w="1276" w:type="dxa"/>
            <w:vAlign w:val="center"/>
          </w:tcPr>
          <w:p>
            <w:pPr>
              <w:pStyle w:val="14"/>
            </w:pPr>
            <w:r>
              <w:t>徐水县安全生产监督管理局关于安全生产应急信息系统建设工作、隐患排查信息化建设工作的相关请示及相关领导批示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机关劳务派遣人员劳务费发放准确率</w:t>
            </w:r>
          </w:p>
        </w:tc>
        <w:tc>
          <w:tcPr>
            <w:tcW w:w="2268" w:type="dxa"/>
            <w:vAlign w:val="center"/>
          </w:tcPr>
          <w:p>
            <w:pPr>
              <w:pStyle w:val="14"/>
            </w:pPr>
            <w:r>
              <w:t>≥95%</w:t>
            </w:r>
          </w:p>
        </w:tc>
        <w:tc>
          <w:tcPr>
            <w:tcW w:w="1276" w:type="dxa"/>
            <w:vAlign w:val="center"/>
          </w:tcPr>
          <w:p>
            <w:pPr>
              <w:pStyle w:val="14"/>
            </w:pPr>
            <w:r>
              <w:t>机关劳务派遣人员工资保险项目实施计划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机关劳务派遣人员劳务费发放及时率</w:t>
            </w:r>
          </w:p>
        </w:tc>
        <w:tc>
          <w:tcPr>
            <w:tcW w:w="2268" w:type="dxa"/>
            <w:vAlign w:val="center"/>
          </w:tcPr>
          <w:p>
            <w:pPr>
              <w:pStyle w:val="14"/>
            </w:pPr>
            <w:r>
              <w:t>≥95%</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≤347050.56元</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全年较大以上安全生产事故发生次数</w:t>
            </w:r>
          </w:p>
        </w:tc>
        <w:tc>
          <w:tcPr>
            <w:tcW w:w="2268" w:type="dxa"/>
            <w:vAlign w:val="center"/>
          </w:tcPr>
          <w:p>
            <w:pPr>
              <w:pStyle w:val="14"/>
            </w:pPr>
            <w:r>
              <w:t>0次</w:t>
            </w:r>
          </w:p>
        </w:tc>
        <w:tc>
          <w:tcPr>
            <w:tcW w:w="1276" w:type="dxa"/>
            <w:vAlign w:val="center"/>
          </w:tcPr>
          <w:p>
            <w:pPr>
              <w:pStyle w:val="14"/>
            </w:pPr>
            <w:r>
              <w:t>机关劳务派遣人员工资保险项目实施计划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劳务派遣人员满意度</w:t>
            </w:r>
          </w:p>
        </w:tc>
        <w:tc>
          <w:tcPr>
            <w:tcW w:w="5386" w:type="dxa"/>
            <w:vAlign w:val="center"/>
          </w:tcPr>
          <w:p>
            <w:pPr>
              <w:pStyle w:val="14"/>
            </w:pPr>
            <w:r>
              <w:t>机关劳务派遣人员满意度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8、森林草原消防大队基本运转经费绩效目标表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13062525P000208100087</w:t>
            </w:r>
          </w:p>
        </w:tc>
        <w:tc>
          <w:tcPr>
            <w:tcW w:w="2835" w:type="dxa"/>
            <w:vAlign w:val="center"/>
          </w:tcPr>
          <w:p>
            <w:pPr>
              <w:pStyle w:val="12"/>
            </w:pPr>
            <w:r>
              <w:t>项目名称</w:t>
            </w:r>
          </w:p>
        </w:tc>
        <w:tc>
          <w:tcPr>
            <w:tcW w:w="6095" w:type="dxa"/>
            <w:gridSpan w:val="3"/>
            <w:vAlign w:val="center"/>
          </w:tcPr>
          <w:p>
            <w:pPr>
              <w:pStyle w:val="14"/>
            </w:pPr>
            <w:r>
              <w:t>森林草原消防大队基本运转经费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7.42</w:t>
            </w:r>
          </w:p>
        </w:tc>
        <w:tc>
          <w:tcPr>
            <w:tcW w:w="2835" w:type="dxa"/>
            <w:vAlign w:val="center"/>
          </w:tcPr>
          <w:p>
            <w:pPr>
              <w:pStyle w:val="12"/>
            </w:pPr>
            <w:r>
              <w:t>其中：财政    资金</w:t>
            </w:r>
          </w:p>
        </w:tc>
        <w:tc>
          <w:tcPr>
            <w:tcW w:w="2551" w:type="dxa"/>
            <w:vAlign w:val="center"/>
          </w:tcPr>
          <w:p>
            <w:pPr>
              <w:pStyle w:val="14"/>
            </w:pPr>
            <w:r>
              <w:t>7.42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1.建立健全森林草原消防专业队伍体系，切实提升全省森林草原火灾和其他灾害事故应急救援水平。</w:t>
            </w:r>
          </w:p>
          <w:p>
            <w:pPr>
              <w:pStyle w:val="14"/>
            </w:pPr>
            <w:r>
              <w:t>2.森林草原消防大队实行准军事化管理，需雇佣厨师2人，解决消防队员饮食问题。</w:t>
            </w:r>
          </w:p>
          <w:p>
            <w:pPr>
              <w:pStyle w:val="14"/>
            </w:pPr>
            <w:r>
              <w:t>3.厨师每人每月工资3000元，全年需工资72000元；意外险年1000元；管理费每人每月50元，年需1200元。共计年需资金74200元。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雇佣厨师人数</w:t>
            </w:r>
          </w:p>
        </w:tc>
        <w:tc>
          <w:tcPr>
            <w:tcW w:w="5386" w:type="dxa"/>
            <w:vAlign w:val="center"/>
          </w:tcPr>
          <w:p>
            <w:pPr>
              <w:pStyle w:val="14"/>
            </w:pPr>
            <w:r>
              <w:t>森防大队雇佣厨师人数</w:t>
            </w:r>
          </w:p>
        </w:tc>
        <w:tc>
          <w:tcPr>
            <w:tcW w:w="2268" w:type="dxa"/>
            <w:vAlign w:val="center"/>
          </w:tcPr>
          <w:p>
            <w:pPr>
              <w:pStyle w:val="14"/>
            </w:pPr>
            <w:r>
              <w:t>2人</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厨师劳务费发放准确率</w:t>
            </w:r>
          </w:p>
        </w:tc>
        <w:tc>
          <w:tcPr>
            <w:tcW w:w="2268" w:type="dxa"/>
            <w:vAlign w:val="center"/>
          </w:tcPr>
          <w:p>
            <w:pPr>
              <w:pStyle w:val="14"/>
            </w:pPr>
            <w:r>
              <w:t>≥95%</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厨师劳务费发放及时率</w:t>
            </w:r>
          </w:p>
        </w:tc>
        <w:tc>
          <w:tcPr>
            <w:tcW w:w="2268" w:type="dxa"/>
            <w:vAlign w:val="center"/>
          </w:tcPr>
          <w:p>
            <w:pPr>
              <w:pStyle w:val="14"/>
            </w:pPr>
            <w:r>
              <w:t>≥95%</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≤74200元</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应急救援水平提升率</w:t>
            </w:r>
          </w:p>
        </w:tc>
        <w:tc>
          <w:tcPr>
            <w:tcW w:w="5386" w:type="dxa"/>
            <w:vAlign w:val="center"/>
          </w:tcPr>
          <w:p>
            <w:pPr>
              <w:pStyle w:val="14"/>
            </w:pPr>
            <w:r>
              <w:t>应急救援水平与去年同期对比提升率</w:t>
            </w:r>
          </w:p>
        </w:tc>
        <w:tc>
          <w:tcPr>
            <w:tcW w:w="2268" w:type="dxa"/>
            <w:vAlign w:val="center"/>
          </w:tcPr>
          <w:p>
            <w:pPr>
              <w:pStyle w:val="14"/>
            </w:pPr>
            <w:r>
              <w:t>≥50%</w:t>
            </w:r>
          </w:p>
        </w:tc>
        <w:tc>
          <w:tcPr>
            <w:tcW w:w="1276" w:type="dxa"/>
            <w:vAlign w:val="center"/>
          </w:tcPr>
          <w:p>
            <w:pPr>
              <w:pStyle w:val="14"/>
            </w:pPr>
            <w:r>
              <w:t>森林草原消防大队基本运转项目实施计划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消防队员满意度</w:t>
            </w:r>
          </w:p>
        </w:tc>
        <w:tc>
          <w:tcPr>
            <w:tcW w:w="5386" w:type="dxa"/>
            <w:vAlign w:val="center"/>
          </w:tcPr>
          <w:p>
            <w:pPr>
              <w:pStyle w:val="14"/>
            </w:pPr>
            <w:r>
              <w:t>森防大队消防队员满意度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9、森林草原专业消防队伍建设经费绩效目标表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13062525P00020810007K</w:t>
            </w:r>
          </w:p>
        </w:tc>
        <w:tc>
          <w:tcPr>
            <w:tcW w:w="2835" w:type="dxa"/>
            <w:vAlign w:val="center"/>
          </w:tcPr>
          <w:p>
            <w:pPr>
              <w:pStyle w:val="12"/>
            </w:pPr>
            <w:r>
              <w:t>项目名称</w:t>
            </w:r>
          </w:p>
        </w:tc>
        <w:tc>
          <w:tcPr>
            <w:tcW w:w="6095" w:type="dxa"/>
            <w:gridSpan w:val="3"/>
            <w:vAlign w:val="center"/>
          </w:tcPr>
          <w:p>
            <w:pPr>
              <w:pStyle w:val="14"/>
            </w:pPr>
            <w:r>
              <w:t>森林草原专业消防队伍建设经费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246.05</w:t>
            </w:r>
          </w:p>
        </w:tc>
        <w:tc>
          <w:tcPr>
            <w:tcW w:w="2835" w:type="dxa"/>
            <w:vAlign w:val="center"/>
          </w:tcPr>
          <w:p>
            <w:pPr>
              <w:pStyle w:val="12"/>
            </w:pPr>
            <w:r>
              <w:t>其中：财政    资金</w:t>
            </w:r>
          </w:p>
        </w:tc>
        <w:tc>
          <w:tcPr>
            <w:tcW w:w="2551" w:type="dxa"/>
            <w:vAlign w:val="center"/>
          </w:tcPr>
          <w:p>
            <w:pPr>
              <w:pStyle w:val="14"/>
            </w:pPr>
            <w:r>
              <w:t>246.05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用于支付劳务派遣人员工资保险。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1.建立健全森林草原消防专业队伍体系，切实提升全省森林草原火灾和其他灾害事故应急救援水平。</w:t>
            </w:r>
          </w:p>
          <w:p>
            <w:pPr>
              <w:pStyle w:val="14"/>
            </w:pPr>
            <w:r>
              <w:t>2.成立了森林草原消防专业队伍，森林草原消防大队实行准军事化管理，队员平时训练、备勤，发生火情、汛情等灾害时出动进行灭火、抢险救援任务。</w:t>
            </w:r>
          </w:p>
          <w:p>
            <w:pPr>
              <w:pStyle w:val="14"/>
            </w:pPr>
            <w:r>
              <w:t>3.项目资金2460547.20元，为队员40人支付工资缴纳四险一金。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森林草原消防专业队伍人数</w:t>
            </w:r>
          </w:p>
        </w:tc>
        <w:tc>
          <w:tcPr>
            <w:tcW w:w="5386" w:type="dxa"/>
            <w:vAlign w:val="center"/>
          </w:tcPr>
          <w:p>
            <w:pPr>
              <w:pStyle w:val="14"/>
            </w:pPr>
            <w:r>
              <w:t>森林草原消防专业队伍招聘劳务派遣人数</w:t>
            </w:r>
          </w:p>
        </w:tc>
        <w:tc>
          <w:tcPr>
            <w:tcW w:w="2268" w:type="dxa"/>
            <w:vAlign w:val="center"/>
          </w:tcPr>
          <w:p>
            <w:pPr>
              <w:pStyle w:val="14"/>
            </w:pPr>
            <w:r>
              <w:t>40人</w:t>
            </w:r>
          </w:p>
        </w:tc>
        <w:tc>
          <w:tcPr>
            <w:tcW w:w="1276" w:type="dxa"/>
            <w:vAlign w:val="center"/>
          </w:tcPr>
          <w:p>
            <w:pPr>
              <w:pStyle w:val="14"/>
            </w:pPr>
            <w:r>
              <w:t>《关于印发河北省森林草原消防专业队伍建设方案的通知》（冀政办字【2021】39号）《徐水区招聘森林草原消防专业队员的方案》</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劳务费发放准确率</w:t>
            </w:r>
          </w:p>
        </w:tc>
        <w:tc>
          <w:tcPr>
            <w:tcW w:w="5386" w:type="dxa"/>
            <w:vAlign w:val="center"/>
          </w:tcPr>
          <w:p>
            <w:pPr>
              <w:pStyle w:val="14"/>
            </w:pPr>
            <w:r>
              <w:t>森林草原消防大队劳务派遣人员劳务费发放准确率</w:t>
            </w:r>
          </w:p>
        </w:tc>
        <w:tc>
          <w:tcPr>
            <w:tcW w:w="2268" w:type="dxa"/>
            <w:vAlign w:val="center"/>
          </w:tcPr>
          <w:p>
            <w:pPr>
              <w:pStyle w:val="14"/>
            </w:pPr>
            <w:r>
              <w:t>100%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劳务费发放及时率</w:t>
            </w:r>
          </w:p>
        </w:tc>
        <w:tc>
          <w:tcPr>
            <w:tcW w:w="5386" w:type="dxa"/>
            <w:vAlign w:val="center"/>
          </w:tcPr>
          <w:p>
            <w:pPr>
              <w:pStyle w:val="14"/>
            </w:pPr>
            <w:r>
              <w:t>森林草原消防大队劳务派遣人员劳务费发放及时率</w:t>
            </w:r>
          </w:p>
        </w:tc>
        <w:tc>
          <w:tcPr>
            <w:tcW w:w="2268" w:type="dxa"/>
            <w:vAlign w:val="center"/>
          </w:tcPr>
          <w:p>
            <w:pPr>
              <w:pStyle w:val="14"/>
            </w:pPr>
            <w:r>
              <w:t>100%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项目预算总成本</w:t>
            </w:r>
          </w:p>
        </w:tc>
        <w:tc>
          <w:tcPr>
            <w:tcW w:w="5386" w:type="dxa"/>
            <w:vAlign w:val="center"/>
          </w:tcPr>
          <w:p>
            <w:pPr>
              <w:pStyle w:val="14"/>
            </w:pPr>
            <w:r>
              <w:t>项目支出控制在预算范围内</w:t>
            </w:r>
          </w:p>
        </w:tc>
        <w:tc>
          <w:tcPr>
            <w:tcW w:w="2268" w:type="dxa"/>
            <w:vAlign w:val="center"/>
          </w:tcPr>
          <w:p>
            <w:pPr>
              <w:pStyle w:val="14"/>
            </w:pPr>
            <w:r>
              <w:t>≤2460547.2元</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应急救援水平提升率</w:t>
            </w:r>
          </w:p>
        </w:tc>
        <w:tc>
          <w:tcPr>
            <w:tcW w:w="5386" w:type="dxa"/>
            <w:vAlign w:val="center"/>
          </w:tcPr>
          <w:p>
            <w:pPr>
              <w:pStyle w:val="14"/>
            </w:pPr>
            <w:r>
              <w:t>应急救援水平与去年相比提升率</w:t>
            </w:r>
          </w:p>
        </w:tc>
        <w:tc>
          <w:tcPr>
            <w:tcW w:w="2268" w:type="dxa"/>
            <w:vAlign w:val="center"/>
          </w:tcPr>
          <w:p>
            <w:pPr>
              <w:pStyle w:val="14"/>
            </w:pPr>
            <w:r>
              <w:t>≥50%</w:t>
            </w:r>
          </w:p>
        </w:tc>
        <w:tc>
          <w:tcPr>
            <w:tcW w:w="1276" w:type="dxa"/>
            <w:vAlign w:val="center"/>
          </w:tcPr>
          <w:p>
            <w:pPr>
              <w:pStyle w:val="14"/>
            </w:pPr>
            <w:r>
              <w:t>森林草原消防专业队伍建设经费项目实施计划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消防队员满意度</w:t>
            </w:r>
          </w:p>
        </w:tc>
        <w:tc>
          <w:tcPr>
            <w:tcW w:w="5386" w:type="dxa"/>
            <w:vAlign w:val="center"/>
          </w:tcPr>
          <w:p>
            <w:pPr>
              <w:pStyle w:val="14"/>
            </w:pPr>
            <w:r>
              <w:t>森防大队消防队员满意度</w:t>
            </w:r>
          </w:p>
        </w:tc>
        <w:tc>
          <w:tcPr>
            <w:tcW w:w="2268" w:type="dxa"/>
            <w:vAlign w:val="center"/>
          </w:tcPr>
          <w:p>
            <w:pPr>
              <w:pStyle w:val="14"/>
            </w:pPr>
            <w:r>
              <w:t>≥90%</w:t>
            </w:r>
          </w:p>
        </w:tc>
        <w:tc>
          <w:tcPr>
            <w:tcW w:w="1276" w:type="dxa"/>
            <w:vAlign w:val="center"/>
          </w:tcPr>
          <w:p>
            <w:pPr>
              <w:pStyle w:val="14"/>
            </w:pPr>
            <w:r>
              <w:t>消防队员满意度调查问卷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10、提前下达2025年自然灾害救助专项资金绩效目标表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13062525P00020310001H</w:t>
            </w:r>
          </w:p>
        </w:tc>
        <w:tc>
          <w:tcPr>
            <w:tcW w:w="2835" w:type="dxa"/>
            <w:vAlign w:val="center"/>
          </w:tcPr>
          <w:p>
            <w:pPr>
              <w:pStyle w:val="12"/>
            </w:pPr>
            <w:r>
              <w:t>项目名称</w:t>
            </w:r>
          </w:p>
        </w:tc>
        <w:tc>
          <w:tcPr>
            <w:tcW w:w="6095" w:type="dxa"/>
            <w:gridSpan w:val="3"/>
            <w:vAlign w:val="center"/>
          </w:tcPr>
          <w:p>
            <w:pPr>
              <w:pStyle w:val="14"/>
            </w:pPr>
            <w:r>
              <w:t>提前下达2025年自然灾害救助专项资金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74.40</w:t>
            </w:r>
          </w:p>
        </w:tc>
        <w:tc>
          <w:tcPr>
            <w:tcW w:w="2835" w:type="dxa"/>
            <w:vAlign w:val="center"/>
          </w:tcPr>
          <w:p>
            <w:pPr>
              <w:pStyle w:val="12"/>
            </w:pPr>
            <w:r>
              <w:t>其中：财政    资金</w:t>
            </w:r>
          </w:p>
        </w:tc>
        <w:tc>
          <w:tcPr>
            <w:tcW w:w="2551" w:type="dxa"/>
            <w:vAlign w:val="center"/>
          </w:tcPr>
          <w:p>
            <w:pPr>
              <w:pStyle w:val="14"/>
            </w:pPr>
            <w:r>
              <w:t>74.40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用于支付农村住房灾害保险。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1.有效提高我省农村住房灾后重建保障能力和救助水平</w:t>
            </w:r>
          </w:p>
          <w:p>
            <w:pPr>
              <w:pStyle w:val="14"/>
            </w:pPr>
            <w:r>
              <w:t>2.项目资金74.4万元，用于为全区12.4万户农村住房支付农村住房灾害保险支出。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农房保险参保户数</w:t>
            </w:r>
          </w:p>
        </w:tc>
        <w:tc>
          <w:tcPr>
            <w:tcW w:w="5386" w:type="dxa"/>
            <w:vAlign w:val="center"/>
          </w:tcPr>
          <w:p>
            <w:pPr>
              <w:pStyle w:val="14"/>
            </w:pPr>
            <w:r>
              <w:t>农房保险参保户数</w:t>
            </w:r>
          </w:p>
        </w:tc>
        <w:tc>
          <w:tcPr>
            <w:tcW w:w="2268" w:type="dxa"/>
            <w:vAlign w:val="center"/>
          </w:tcPr>
          <w:p>
            <w:pPr>
              <w:pStyle w:val="14"/>
            </w:pPr>
            <w:r>
              <w:t>≥12.4万户</w:t>
            </w:r>
          </w:p>
        </w:tc>
        <w:tc>
          <w:tcPr>
            <w:tcW w:w="1276" w:type="dxa"/>
            <w:vAlign w:val="center"/>
          </w:tcPr>
          <w:p>
            <w:pPr>
              <w:pStyle w:val="14"/>
            </w:pPr>
            <w:r>
              <w:t>依据徐水区农村住房保险工作实施方案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农房保险覆盖率</w:t>
            </w:r>
          </w:p>
        </w:tc>
        <w:tc>
          <w:tcPr>
            <w:tcW w:w="5386" w:type="dxa"/>
            <w:vAlign w:val="center"/>
          </w:tcPr>
          <w:p>
            <w:pPr>
              <w:pStyle w:val="14"/>
            </w:pPr>
            <w:r>
              <w:t>农房保险覆盖乡镇占全部乡镇比例</w:t>
            </w:r>
          </w:p>
        </w:tc>
        <w:tc>
          <w:tcPr>
            <w:tcW w:w="2268" w:type="dxa"/>
            <w:vAlign w:val="center"/>
          </w:tcPr>
          <w:p>
            <w:pPr>
              <w:pStyle w:val="14"/>
            </w:pPr>
            <w:r>
              <w:t>100%</w:t>
            </w:r>
          </w:p>
        </w:tc>
        <w:tc>
          <w:tcPr>
            <w:tcW w:w="1276" w:type="dxa"/>
            <w:vAlign w:val="center"/>
          </w:tcPr>
          <w:p>
            <w:pPr>
              <w:pStyle w:val="14"/>
            </w:pPr>
            <w:r>
              <w:t>依据徐水区农村住房保险工作实施方案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投保及时率</w:t>
            </w:r>
          </w:p>
        </w:tc>
        <w:tc>
          <w:tcPr>
            <w:tcW w:w="5386" w:type="dxa"/>
            <w:vAlign w:val="center"/>
          </w:tcPr>
          <w:p>
            <w:pPr>
              <w:pStyle w:val="14"/>
            </w:pPr>
            <w:r>
              <w:t>投保及时率</w:t>
            </w:r>
          </w:p>
        </w:tc>
        <w:tc>
          <w:tcPr>
            <w:tcW w:w="2268" w:type="dxa"/>
            <w:vAlign w:val="center"/>
          </w:tcPr>
          <w:p>
            <w:pPr>
              <w:pStyle w:val="14"/>
            </w:pPr>
            <w:r>
              <w:t>≥95%</w:t>
            </w:r>
          </w:p>
        </w:tc>
        <w:tc>
          <w:tcPr>
            <w:tcW w:w="1276" w:type="dxa"/>
            <w:vAlign w:val="center"/>
          </w:tcPr>
          <w:p>
            <w:pPr>
              <w:pStyle w:val="14"/>
            </w:pPr>
            <w:r>
              <w:t>依据冀应急【2020】24号《河北省应急管理厅等三部门关于进一步加强和规范全省政策性农房保险工作的通知》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预算控制数</w:t>
            </w:r>
          </w:p>
        </w:tc>
        <w:tc>
          <w:tcPr>
            <w:tcW w:w="2268" w:type="dxa"/>
            <w:vAlign w:val="center"/>
          </w:tcPr>
          <w:p>
            <w:pPr>
              <w:pStyle w:val="14"/>
            </w:pPr>
            <w:r>
              <w:t>≤74.4万元</w:t>
            </w:r>
          </w:p>
        </w:tc>
        <w:tc>
          <w:tcPr>
            <w:tcW w:w="1276" w:type="dxa"/>
            <w:vAlign w:val="center"/>
          </w:tcPr>
          <w:p>
            <w:pPr>
              <w:pStyle w:val="14"/>
            </w:pPr>
            <w:r>
              <w:t>依据保财建【2023】83号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农房保险理赔保障率</w:t>
            </w:r>
          </w:p>
        </w:tc>
        <w:tc>
          <w:tcPr>
            <w:tcW w:w="5386" w:type="dxa"/>
            <w:vAlign w:val="center"/>
          </w:tcPr>
          <w:p>
            <w:pPr>
              <w:pStyle w:val="14"/>
            </w:pPr>
            <w:r>
              <w:t>农房保险理赔保障率</w:t>
            </w:r>
          </w:p>
        </w:tc>
        <w:tc>
          <w:tcPr>
            <w:tcW w:w="2268" w:type="dxa"/>
            <w:vAlign w:val="center"/>
          </w:tcPr>
          <w:p>
            <w:pPr>
              <w:pStyle w:val="14"/>
            </w:pPr>
            <w:r>
              <w:t>100%</w:t>
            </w:r>
          </w:p>
        </w:tc>
        <w:tc>
          <w:tcPr>
            <w:tcW w:w="1276" w:type="dxa"/>
            <w:vAlign w:val="center"/>
          </w:tcPr>
          <w:p>
            <w:pPr>
              <w:pStyle w:val="14"/>
            </w:pPr>
            <w:r>
              <w:t>依据保财建【2023】83号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保险理赔群众满意度</w:t>
            </w:r>
          </w:p>
        </w:tc>
        <w:tc>
          <w:tcPr>
            <w:tcW w:w="5386" w:type="dxa"/>
            <w:vAlign w:val="center"/>
          </w:tcPr>
          <w:p>
            <w:pPr>
              <w:pStyle w:val="14"/>
            </w:pPr>
            <w:r>
              <w:t>保险理赔群众满意率</w:t>
            </w:r>
          </w:p>
        </w:tc>
        <w:tc>
          <w:tcPr>
            <w:tcW w:w="2268" w:type="dxa"/>
            <w:vAlign w:val="center"/>
          </w:tcPr>
          <w:p>
            <w:pPr>
              <w:pStyle w:val="14"/>
            </w:pPr>
            <w:r>
              <w:t>≥95%</w:t>
            </w:r>
          </w:p>
        </w:tc>
        <w:tc>
          <w:tcPr>
            <w:tcW w:w="1276" w:type="dxa"/>
            <w:vAlign w:val="center"/>
          </w:tcPr>
          <w:p>
            <w:pPr>
              <w:pStyle w:val="14"/>
            </w:pPr>
            <w:r>
              <w:t>依据满意度调查表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11、退役军人专岗人员提高待遇资金绩效目标表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13062525P000229100450</w:t>
            </w:r>
          </w:p>
        </w:tc>
        <w:tc>
          <w:tcPr>
            <w:tcW w:w="2835" w:type="dxa"/>
            <w:vAlign w:val="center"/>
          </w:tcPr>
          <w:p>
            <w:pPr>
              <w:pStyle w:val="12"/>
            </w:pPr>
            <w:r>
              <w:t>项目名称</w:t>
            </w:r>
          </w:p>
        </w:tc>
        <w:tc>
          <w:tcPr>
            <w:tcW w:w="6095" w:type="dxa"/>
            <w:gridSpan w:val="3"/>
            <w:vAlign w:val="center"/>
          </w:tcPr>
          <w:p>
            <w:pPr>
              <w:pStyle w:val="14"/>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0.36</w:t>
            </w:r>
          </w:p>
        </w:tc>
        <w:tc>
          <w:tcPr>
            <w:tcW w:w="2835" w:type="dxa"/>
            <w:vAlign w:val="center"/>
          </w:tcPr>
          <w:p>
            <w:pPr>
              <w:pStyle w:val="12"/>
            </w:pPr>
            <w:r>
              <w:t>其中：财政    资金</w:t>
            </w:r>
          </w:p>
        </w:tc>
        <w:tc>
          <w:tcPr>
            <w:tcW w:w="2551" w:type="dxa"/>
            <w:vAlign w:val="center"/>
          </w:tcPr>
          <w:p>
            <w:pPr>
              <w:pStyle w:val="14"/>
            </w:pPr>
            <w:r>
              <w:t>0.36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用于退役军人出勤补贴支出。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1.提高退役军人专岗待遇，保证专岗人员更好发挥作用。</w:t>
            </w:r>
          </w:p>
          <w:p>
            <w:pPr>
              <w:pStyle w:val="14"/>
            </w:pPr>
            <w:r>
              <w:t>2.每人每月300元，共计1人，按月及时足额发放到位，落实专岗人员待遇。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补贴退役军人数量</w:t>
            </w:r>
          </w:p>
        </w:tc>
        <w:tc>
          <w:tcPr>
            <w:tcW w:w="5386" w:type="dxa"/>
            <w:vAlign w:val="center"/>
          </w:tcPr>
          <w:p>
            <w:pPr>
              <w:pStyle w:val="14"/>
            </w:pPr>
            <w:r>
              <w:t>领取出勤补贴退役军人数量</w:t>
            </w:r>
          </w:p>
        </w:tc>
        <w:tc>
          <w:tcPr>
            <w:tcW w:w="2268" w:type="dxa"/>
            <w:vAlign w:val="center"/>
          </w:tcPr>
          <w:p>
            <w:pPr>
              <w:pStyle w:val="14"/>
            </w:pPr>
            <w:r>
              <w:t>1人</w:t>
            </w:r>
          </w:p>
        </w:tc>
        <w:tc>
          <w:tcPr>
            <w:tcW w:w="1276" w:type="dxa"/>
            <w:vAlign w:val="center"/>
          </w:tcPr>
          <w:p>
            <w:pPr>
              <w:pStyle w:val="14"/>
            </w:pPr>
            <w:r>
              <w:t xml:space="preserve"> 退役军人专岗人员提高待遇资金分配表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退役军人出勤补贴发放准确率</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退役军人出勤补贴发放及时率</w:t>
            </w:r>
          </w:p>
        </w:tc>
        <w:tc>
          <w:tcPr>
            <w:tcW w:w="2268" w:type="dxa"/>
            <w:vAlign w:val="center"/>
          </w:tcPr>
          <w:p>
            <w:pPr>
              <w:pStyle w:val="14"/>
            </w:pPr>
            <w:r>
              <w:t>100%</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补贴月发放标准</w:t>
            </w:r>
          </w:p>
        </w:tc>
        <w:tc>
          <w:tcPr>
            <w:tcW w:w="5386" w:type="dxa"/>
            <w:vAlign w:val="center"/>
          </w:tcPr>
          <w:p>
            <w:pPr>
              <w:pStyle w:val="14"/>
            </w:pPr>
            <w:r>
              <w:t>退役军人出勤补贴月发放标准</w:t>
            </w:r>
          </w:p>
        </w:tc>
        <w:tc>
          <w:tcPr>
            <w:tcW w:w="2268" w:type="dxa"/>
            <w:vAlign w:val="center"/>
          </w:tcPr>
          <w:p>
            <w:pPr>
              <w:pStyle w:val="14"/>
            </w:pPr>
            <w:r>
              <w:t>≤300元</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专岗人员上访次数</w:t>
            </w:r>
          </w:p>
        </w:tc>
        <w:tc>
          <w:tcPr>
            <w:tcW w:w="5386" w:type="dxa"/>
            <w:vAlign w:val="center"/>
          </w:tcPr>
          <w:p>
            <w:pPr>
              <w:pStyle w:val="14"/>
            </w:pPr>
            <w:r>
              <w:t>专岗人员因生活补贴上访的次数</w:t>
            </w:r>
          </w:p>
        </w:tc>
        <w:tc>
          <w:tcPr>
            <w:tcW w:w="2268" w:type="dxa"/>
            <w:vAlign w:val="center"/>
          </w:tcPr>
          <w:p>
            <w:pPr>
              <w:pStyle w:val="14"/>
            </w:pPr>
            <w:r>
              <w:t>≤2次</w:t>
            </w:r>
          </w:p>
        </w:tc>
        <w:tc>
          <w:tcPr>
            <w:tcW w:w="1276" w:type="dxa"/>
            <w:vAlign w:val="center"/>
          </w:tcPr>
          <w:p>
            <w:pPr>
              <w:pStyle w:val="14"/>
            </w:pPr>
            <w:r>
              <w:t>保定市徐水区退役军人事务局《关于徐水区退役军人专岗人员提高待遇的请示》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退役军人满意率</w:t>
            </w:r>
          </w:p>
        </w:tc>
        <w:tc>
          <w:tcPr>
            <w:tcW w:w="5386" w:type="dxa"/>
            <w:vAlign w:val="center"/>
          </w:tcPr>
          <w:p>
            <w:pPr>
              <w:pStyle w:val="14"/>
            </w:pPr>
            <w:r>
              <w:t>退役军人对补贴发放满意率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12、网络视频系统服务费绩效目标表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13062525P00003110015N</w:t>
            </w:r>
          </w:p>
        </w:tc>
        <w:tc>
          <w:tcPr>
            <w:tcW w:w="2835" w:type="dxa"/>
            <w:vAlign w:val="center"/>
          </w:tcPr>
          <w:p>
            <w:pPr>
              <w:pStyle w:val="12"/>
            </w:pPr>
            <w:r>
              <w:t>项目名称</w:t>
            </w:r>
          </w:p>
        </w:tc>
        <w:tc>
          <w:tcPr>
            <w:tcW w:w="6095" w:type="dxa"/>
            <w:gridSpan w:val="3"/>
            <w:vAlign w:val="center"/>
          </w:tcPr>
          <w:p>
            <w:pPr>
              <w:pStyle w:val="14"/>
            </w:pPr>
            <w:r>
              <w:t>网络视频系统服务费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0.96</w:t>
            </w:r>
          </w:p>
        </w:tc>
        <w:tc>
          <w:tcPr>
            <w:tcW w:w="2835" w:type="dxa"/>
            <w:vAlign w:val="center"/>
          </w:tcPr>
          <w:p>
            <w:pPr>
              <w:pStyle w:val="12"/>
            </w:pPr>
            <w:r>
              <w:t>其中：财政    资金</w:t>
            </w:r>
          </w:p>
        </w:tc>
        <w:tc>
          <w:tcPr>
            <w:tcW w:w="2551" w:type="dxa"/>
            <w:vAlign w:val="center"/>
          </w:tcPr>
          <w:p>
            <w:pPr>
              <w:pStyle w:val="14"/>
            </w:pPr>
            <w:r>
              <w:t>0.96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用于支付应急网络视频系统服务费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1.项目资金9600元，缴纳1套网络视频系统每年所需服务费。</w:t>
            </w:r>
          </w:p>
          <w:p>
            <w:pPr>
              <w:pStyle w:val="14"/>
            </w:pPr>
            <w:r>
              <w:t>2.有力保障应急综合管理工作，有效提升应急救援管理水平。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网络视频系统使用数量</w:t>
            </w:r>
          </w:p>
        </w:tc>
        <w:tc>
          <w:tcPr>
            <w:tcW w:w="5386" w:type="dxa"/>
            <w:vAlign w:val="center"/>
          </w:tcPr>
          <w:p>
            <w:pPr>
              <w:pStyle w:val="14"/>
            </w:pPr>
            <w:r>
              <w:t>网络视频系统使用数量</w:t>
            </w:r>
          </w:p>
        </w:tc>
        <w:tc>
          <w:tcPr>
            <w:tcW w:w="2268" w:type="dxa"/>
            <w:vAlign w:val="center"/>
          </w:tcPr>
          <w:p>
            <w:pPr>
              <w:pStyle w:val="14"/>
            </w:pPr>
            <w:r>
              <w:t>1套</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服务费支付准确率</w:t>
            </w:r>
          </w:p>
        </w:tc>
        <w:tc>
          <w:tcPr>
            <w:tcW w:w="5386" w:type="dxa"/>
            <w:vAlign w:val="center"/>
          </w:tcPr>
          <w:p>
            <w:pPr>
              <w:pStyle w:val="14"/>
            </w:pPr>
            <w:r>
              <w:t>网络服务费支付准确率</w:t>
            </w:r>
          </w:p>
        </w:tc>
        <w:tc>
          <w:tcPr>
            <w:tcW w:w="2268" w:type="dxa"/>
            <w:vAlign w:val="center"/>
          </w:tcPr>
          <w:p>
            <w:pPr>
              <w:pStyle w:val="14"/>
            </w:pPr>
            <w:r>
              <w:t>≥95%</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服务费支付及时率</w:t>
            </w:r>
          </w:p>
        </w:tc>
        <w:tc>
          <w:tcPr>
            <w:tcW w:w="5386" w:type="dxa"/>
            <w:vAlign w:val="center"/>
          </w:tcPr>
          <w:p>
            <w:pPr>
              <w:pStyle w:val="14"/>
            </w:pPr>
            <w:r>
              <w:t>网络服务费支付及时率</w:t>
            </w:r>
          </w:p>
        </w:tc>
        <w:tc>
          <w:tcPr>
            <w:tcW w:w="2268" w:type="dxa"/>
            <w:vAlign w:val="center"/>
          </w:tcPr>
          <w:p>
            <w:pPr>
              <w:pStyle w:val="14"/>
            </w:pPr>
            <w:r>
              <w:t>≥95%</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w:t>
            </w:r>
          </w:p>
        </w:tc>
        <w:tc>
          <w:tcPr>
            <w:tcW w:w="5386" w:type="dxa"/>
            <w:vAlign w:val="center"/>
          </w:tcPr>
          <w:p>
            <w:pPr>
              <w:pStyle w:val="14"/>
            </w:pPr>
            <w:r>
              <w:t>项目支出控制在预算范围内</w:t>
            </w:r>
          </w:p>
        </w:tc>
        <w:tc>
          <w:tcPr>
            <w:tcW w:w="2268" w:type="dxa"/>
            <w:vAlign w:val="center"/>
          </w:tcPr>
          <w:p>
            <w:pPr>
              <w:pStyle w:val="14"/>
            </w:pPr>
            <w:r>
              <w:t>≤9600元</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较大以上安全生产事故年发生数</w:t>
            </w:r>
          </w:p>
        </w:tc>
        <w:tc>
          <w:tcPr>
            <w:tcW w:w="2268" w:type="dxa"/>
            <w:vAlign w:val="center"/>
          </w:tcPr>
          <w:p>
            <w:pPr>
              <w:pStyle w:val="14"/>
            </w:pPr>
            <w:r>
              <w:t>0次</w:t>
            </w:r>
          </w:p>
        </w:tc>
        <w:tc>
          <w:tcPr>
            <w:tcW w:w="1276" w:type="dxa"/>
            <w:vAlign w:val="center"/>
          </w:tcPr>
          <w:p>
            <w:pPr>
              <w:pStyle w:val="14"/>
            </w:pPr>
            <w:r>
              <w:t>网络视频系统服务费项目实施计划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使用网络视频系统工作人员满意度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13、下达中央自然灾害救助资金预算绩效目标表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13062524P000017106624</w:t>
            </w:r>
          </w:p>
        </w:tc>
        <w:tc>
          <w:tcPr>
            <w:tcW w:w="2835" w:type="dxa"/>
            <w:vAlign w:val="center"/>
          </w:tcPr>
          <w:p>
            <w:pPr>
              <w:pStyle w:val="12"/>
            </w:pPr>
            <w:r>
              <w:t>项目名称</w:t>
            </w:r>
          </w:p>
        </w:tc>
        <w:tc>
          <w:tcPr>
            <w:tcW w:w="6095" w:type="dxa"/>
            <w:gridSpan w:val="3"/>
            <w:vAlign w:val="center"/>
          </w:tcPr>
          <w:p>
            <w:pPr>
              <w:pStyle w:val="14"/>
            </w:pPr>
            <w:r>
              <w:t>下达中央自然灾害救助资金预算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依照省市文件规定，现下达我区2024年中央自然灾害救灾资金8万元，资金用于洪涝灾害抢险救援相关工作。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1.通过项目实施确保我区汛期安全，有效减少洪涝灾害对我区人民生命财产安全造成的损失。</w:t>
            </w:r>
          </w:p>
          <w:p>
            <w:pPr>
              <w:pStyle w:val="14"/>
            </w:pPr>
            <w:r>
              <w:t>2.项目资金八万元，用于购置防汛物资一批。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防汛救灾工作覆盖乡镇数量</w:t>
            </w:r>
          </w:p>
        </w:tc>
        <w:tc>
          <w:tcPr>
            <w:tcW w:w="5386" w:type="dxa"/>
            <w:vAlign w:val="center"/>
          </w:tcPr>
          <w:p>
            <w:pPr>
              <w:pStyle w:val="14"/>
            </w:pPr>
            <w:r>
              <w:t>防汛救灾工作覆盖我区乡镇数量</w:t>
            </w:r>
          </w:p>
        </w:tc>
        <w:tc>
          <w:tcPr>
            <w:tcW w:w="2268" w:type="dxa"/>
            <w:vAlign w:val="center"/>
          </w:tcPr>
          <w:p>
            <w:pPr>
              <w:pStyle w:val="14"/>
            </w:pPr>
            <w:r>
              <w:t>15个</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购置物资合格率</w:t>
            </w:r>
          </w:p>
        </w:tc>
        <w:tc>
          <w:tcPr>
            <w:tcW w:w="5386" w:type="dxa"/>
            <w:vAlign w:val="center"/>
          </w:tcPr>
          <w:p>
            <w:pPr>
              <w:pStyle w:val="14"/>
            </w:pPr>
            <w:r>
              <w:t>反映购置防汛物资验收合格比例</w:t>
            </w:r>
          </w:p>
        </w:tc>
        <w:tc>
          <w:tcPr>
            <w:tcW w:w="2268" w:type="dxa"/>
            <w:vAlign w:val="center"/>
          </w:tcPr>
          <w:p>
            <w:pPr>
              <w:pStyle w:val="14"/>
            </w:pPr>
            <w:r>
              <w:t>100%</w:t>
            </w:r>
          </w:p>
        </w:tc>
        <w:tc>
          <w:tcPr>
            <w:tcW w:w="1276" w:type="dxa"/>
            <w:vAlign w:val="center"/>
          </w:tcPr>
          <w:p>
            <w:pPr>
              <w:pStyle w:val="14"/>
            </w:pPr>
            <w:r>
              <w:t>履约验收书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购置物资及时率</w:t>
            </w:r>
          </w:p>
        </w:tc>
        <w:tc>
          <w:tcPr>
            <w:tcW w:w="5386" w:type="dxa"/>
            <w:vAlign w:val="center"/>
          </w:tcPr>
          <w:p>
            <w:pPr>
              <w:pStyle w:val="14"/>
            </w:pPr>
            <w:r>
              <w:t>反映购置防汛物资及时率</w:t>
            </w:r>
          </w:p>
        </w:tc>
        <w:tc>
          <w:tcPr>
            <w:tcW w:w="2268" w:type="dxa"/>
            <w:vAlign w:val="center"/>
          </w:tcPr>
          <w:p>
            <w:pPr>
              <w:pStyle w:val="14"/>
            </w:pPr>
            <w:r>
              <w:t>≥95%</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购置物资总成本</w:t>
            </w:r>
          </w:p>
        </w:tc>
        <w:tc>
          <w:tcPr>
            <w:tcW w:w="5386" w:type="dxa"/>
            <w:vAlign w:val="center"/>
          </w:tcPr>
          <w:p>
            <w:pPr>
              <w:pStyle w:val="14"/>
            </w:pPr>
            <w:r>
              <w:t>购置防汛物资总成本控制在预算范围内</w:t>
            </w:r>
          </w:p>
        </w:tc>
        <w:tc>
          <w:tcPr>
            <w:tcW w:w="2268" w:type="dxa"/>
            <w:vAlign w:val="center"/>
          </w:tcPr>
          <w:p>
            <w:pPr>
              <w:pStyle w:val="14"/>
            </w:pPr>
            <w:r>
              <w:t>≤8万元</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全年应急救援任务有效完成率</w:t>
            </w:r>
          </w:p>
        </w:tc>
        <w:tc>
          <w:tcPr>
            <w:tcW w:w="2268" w:type="dxa"/>
            <w:vAlign w:val="center"/>
          </w:tcPr>
          <w:p>
            <w:pPr>
              <w:pStyle w:val="14"/>
            </w:pPr>
            <w:r>
              <w:t>≥90%</w:t>
            </w:r>
          </w:p>
        </w:tc>
        <w:tc>
          <w:tcPr>
            <w:tcW w:w="1276" w:type="dxa"/>
            <w:vAlign w:val="center"/>
          </w:tcPr>
          <w:p>
            <w:pPr>
              <w:pStyle w:val="14"/>
            </w:pPr>
            <w:r>
              <w:t>下达中央自然灾害救助资金预算项目实施计划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受援群众投诉率(%)</w:t>
            </w:r>
          </w:p>
        </w:tc>
        <w:tc>
          <w:tcPr>
            <w:tcW w:w="5386" w:type="dxa"/>
            <w:vAlign w:val="center"/>
          </w:tcPr>
          <w:p>
            <w:pPr>
              <w:pStyle w:val="14"/>
            </w:pPr>
            <w:r>
              <w:t>受援群众投诉率(%)</w:t>
            </w:r>
          </w:p>
        </w:tc>
        <w:tc>
          <w:tcPr>
            <w:tcW w:w="2268" w:type="dxa"/>
            <w:vAlign w:val="center"/>
          </w:tcPr>
          <w:p>
            <w:pPr>
              <w:pStyle w:val="14"/>
            </w:pPr>
            <w:r>
              <w:t>&lt;1%</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14、应急综合管理工作经费绩效目标表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13062525P00002410116D</w:t>
            </w:r>
          </w:p>
        </w:tc>
        <w:tc>
          <w:tcPr>
            <w:tcW w:w="2835" w:type="dxa"/>
            <w:vAlign w:val="center"/>
          </w:tcPr>
          <w:p>
            <w:pPr>
              <w:pStyle w:val="12"/>
            </w:pPr>
            <w:r>
              <w:t>项目名称</w:t>
            </w:r>
          </w:p>
        </w:tc>
        <w:tc>
          <w:tcPr>
            <w:tcW w:w="6095" w:type="dxa"/>
            <w:gridSpan w:val="3"/>
            <w:vAlign w:val="center"/>
          </w:tcPr>
          <w:p>
            <w:pPr>
              <w:pStyle w:val="14"/>
            </w:pPr>
            <w:r>
              <w:t>应急综合管理工作经费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22.25</w:t>
            </w:r>
          </w:p>
        </w:tc>
        <w:tc>
          <w:tcPr>
            <w:tcW w:w="2835" w:type="dxa"/>
            <w:vAlign w:val="center"/>
          </w:tcPr>
          <w:p>
            <w:pPr>
              <w:pStyle w:val="12"/>
            </w:pPr>
            <w:r>
              <w:t>其中：财政    资金</w:t>
            </w:r>
          </w:p>
        </w:tc>
        <w:tc>
          <w:tcPr>
            <w:tcW w:w="2551" w:type="dxa"/>
            <w:vAlign w:val="center"/>
          </w:tcPr>
          <w:p>
            <w:pPr>
              <w:pStyle w:val="14"/>
            </w:pPr>
            <w:r>
              <w:t>22.25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用于单位负责的全区性工作经费支出。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1.通过项目开展，有力保障应急综合管理工作，将事故和灾害造成的人身、财产损失降到最低。</w:t>
            </w:r>
          </w:p>
          <w:p>
            <w:pPr>
              <w:pStyle w:val="14"/>
            </w:pPr>
            <w:r>
              <w:t>2.开展5次以上应急演练，以对应急预案进行查漏补缺，达到锻炼应急救援队伍，有效提升应急救援管理水平。</w:t>
            </w:r>
          </w:p>
          <w:p>
            <w:pPr>
              <w:pStyle w:val="14"/>
            </w:pPr>
            <w:r>
              <w:t>3.购置设备11台，提高单位办公能力及信息化水平，更好为全区应急管理工作服务。印刷应急救援、地震科普宣传材料20000册，做好全区应急管理宣传工作。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应急演练次数</w:t>
            </w:r>
          </w:p>
        </w:tc>
        <w:tc>
          <w:tcPr>
            <w:tcW w:w="5386" w:type="dxa"/>
            <w:vAlign w:val="center"/>
          </w:tcPr>
          <w:p>
            <w:pPr>
              <w:pStyle w:val="14"/>
            </w:pPr>
            <w:r>
              <w:t>应急救援、安全生产各项演练次数</w:t>
            </w:r>
          </w:p>
        </w:tc>
        <w:tc>
          <w:tcPr>
            <w:tcW w:w="2268" w:type="dxa"/>
            <w:vAlign w:val="center"/>
          </w:tcPr>
          <w:p>
            <w:pPr>
              <w:pStyle w:val="14"/>
            </w:pPr>
            <w:r>
              <w:t>≥5次</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设备购置数量</w:t>
            </w:r>
          </w:p>
        </w:tc>
        <w:tc>
          <w:tcPr>
            <w:tcW w:w="5386" w:type="dxa"/>
            <w:vAlign w:val="center"/>
          </w:tcPr>
          <w:p>
            <w:pPr>
              <w:pStyle w:val="14"/>
            </w:pPr>
            <w:r>
              <w:t>应急管理各种设备购置数量</w:t>
            </w:r>
          </w:p>
        </w:tc>
        <w:tc>
          <w:tcPr>
            <w:tcW w:w="2268" w:type="dxa"/>
            <w:vAlign w:val="center"/>
          </w:tcPr>
          <w:p>
            <w:pPr>
              <w:pStyle w:val="14"/>
            </w:pPr>
            <w:r>
              <w:t>11台</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宣传品印刷数量</w:t>
            </w:r>
          </w:p>
        </w:tc>
        <w:tc>
          <w:tcPr>
            <w:tcW w:w="5386" w:type="dxa"/>
            <w:vAlign w:val="center"/>
          </w:tcPr>
          <w:p>
            <w:pPr>
              <w:pStyle w:val="14"/>
            </w:pPr>
            <w:r>
              <w:t>全年宣传品印刷数量</w:t>
            </w:r>
          </w:p>
        </w:tc>
        <w:tc>
          <w:tcPr>
            <w:tcW w:w="2268" w:type="dxa"/>
            <w:vAlign w:val="center"/>
          </w:tcPr>
          <w:p>
            <w:pPr>
              <w:pStyle w:val="14"/>
            </w:pPr>
            <w:r>
              <w:t>≥20000册</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5386" w:type="dxa"/>
            <w:vAlign w:val="center"/>
          </w:tcPr>
          <w:p>
            <w:pPr>
              <w:pStyle w:val="14"/>
            </w:pPr>
            <w:r>
              <w:t>购置各项设备合格率</w:t>
            </w:r>
          </w:p>
        </w:tc>
        <w:tc>
          <w:tcPr>
            <w:tcW w:w="2268" w:type="dxa"/>
            <w:vAlign w:val="center"/>
          </w:tcPr>
          <w:p>
            <w:pPr>
              <w:pStyle w:val="14"/>
            </w:pPr>
            <w:r>
              <w:t>100%</w:t>
            </w:r>
          </w:p>
        </w:tc>
        <w:tc>
          <w:tcPr>
            <w:tcW w:w="1276" w:type="dxa"/>
            <w:vAlign w:val="center"/>
          </w:tcPr>
          <w:p>
            <w:pPr>
              <w:pStyle w:val="14"/>
            </w:pPr>
            <w:r>
              <w:t>设备履约验收书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应急救援系统正常运行率</w:t>
            </w:r>
          </w:p>
        </w:tc>
        <w:tc>
          <w:tcPr>
            <w:tcW w:w="5386" w:type="dxa"/>
            <w:vAlign w:val="center"/>
          </w:tcPr>
          <w:p>
            <w:pPr>
              <w:pStyle w:val="14"/>
            </w:pPr>
            <w:r>
              <w:t>应急救援系统全年正常运行率</w:t>
            </w:r>
          </w:p>
        </w:tc>
        <w:tc>
          <w:tcPr>
            <w:tcW w:w="2268" w:type="dxa"/>
            <w:vAlign w:val="center"/>
          </w:tcPr>
          <w:p>
            <w:pPr>
              <w:pStyle w:val="14"/>
            </w:pPr>
            <w:r>
              <w:t>100%</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应急演练及时率</w:t>
            </w:r>
          </w:p>
        </w:tc>
        <w:tc>
          <w:tcPr>
            <w:tcW w:w="5386" w:type="dxa"/>
            <w:vAlign w:val="center"/>
          </w:tcPr>
          <w:p>
            <w:pPr>
              <w:pStyle w:val="14"/>
            </w:pPr>
            <w:r>
              <w:t>应急救援等各类应急演练及时率</w:t>
            </w:r>
          </w:p>
        </w:tc>
        <w:tc>
          <w:tcPr>
            <w:tcW w:w="2268" w:type="dxa"/>
            <w:vAlign w:val="center"/>
          </w:tcPr>
          <w:p>
            <w:pPr>
              <w:pStyle w:val="14"/>
            </w:pPr>
            <w:r>
              <w:t>100%</w:t>
            </w:r>
          </w:p>
        </w:tc>
        <w:tc>
          <w:tcPr>
            <w:tcW w:w="1276" w:type="dxa"/>
            <w:vAlign w:val="center"/>
          </w:tcPr>
          <w:p>
            <w:pPr>
              <w:pStyle w:val="14"/>
            </w:pPr>
            <w:r>
              <w:t>演练计划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项目预算资金</w:t>
            </w:r>
          </w:p>
        </w:tc>
        <w:tc>
          <w:tcPr>
            <w:tcW w:w="5386" w:type="dxa"/>
            <w:vAlign w:val="center"/>
          </w:tcPr>
          <w:p>
            <w:pPr>
              <w:pStyle w:val="14"/>
            </w:pPr>
            <w:r>
              <w:t>项目支出控制在预算范围内</w:t>
            </w:r>
          </w:p>
        </w:tc>
        <w:tc>
          <w:tcPr>
            <w:tcW w:w="2268" w:type="dxa"/>
            <w:vAlign w:val="center"/>
          </w:tcPr>
          <w:p>
            <w:pPr>
              <w:pStyle w:val="14"/>
            </w:pPr>
            <w:r>
              <w:t>≤22.25万元</w:t>
            </w:r>
          </w:p>
        </w:tc>
        <w:tc>
          <w:tcPr>
            <w:tcW w:w="1276" w:type="dxa"/>
            <w:vAlign w:val="center"/>
          </w:tcPr>
          <w:p>
            <w:pPr>
              <w:pStyle w:val="14"/>
            </w:pPr>
            <w:r>
              <w:t>依据应急综合管理工作经费项目实施计划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应急救援任务有效完成率</w:t>
            </w:r>
          </w:p>
        </w:tc>
        <w:tc>
          <w:tcPr>
            <w:tcW w:w="5386" w:type="dxa"/>
            <w:vAlign w:val="center"/>
          </w:tcPr>
          <w:p>
            <w:pPr>
              <w:pStyle w:val="14"/>
            </w:pPr>
            <w:r>
              <w:t>全年应急救援任务有效完成率</w:t>
            </w:r>
          </w:p>
        </w:tc>
        <w:tc>
          <w:tcPr>
            <w:tcW w:w="2268" w:type="dxa"/>
            <w:vAlign w:val="center"/>
          </w:tcPr>
          <w:p>
            <w:pPr>
              <w:pStyle w:val="14"/>
            </w:pPr>
            <w:r>
              <w:t>≥95%</w:t>
            </w:r>
          </w:p>
        </w:tc>
        <w:tc>
          <w:tcPr>
            <w:tcW w:w="1276" w:type="dxa"/>
            <w:vAlign w:val="center"/>
          </w:tcPr>
          <w:p>
            <w:pPr>
              <w:pStyle w:val="14"/>
            </w:pPr>
            <w:r>
              <w:t>依据应急综合管理工作经费项目实施计划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79.40</w:t>
            </w:r>
          </w:p>
        </w:tc>
        <w:tc>
          <w:tcPr>
            <w:tcW w:w="964" w:type="dxa"/>
            <w:vAlign w:val="center"/>
          </w:tcPr>
          <w:p>
            <w:pPr>
              <w:pStyle w:val="17"/>
            </w:pPr>
            <w:r>
              <w:t>79.40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保定市徐水区应急管理局本级小计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79.40</w:t>
            </w:r>
          </w:p>
        </w:tc>
        <w:tc>
          <w:tcPr>
            <w:tcW w:w="964" w:type="dxa"/>
            <w:vAlign w:val="center"/>
          </w:tcPr>
          <w:p>
            <w:pPr>
              <w:pStyle w:val="17"/>
            </w:pPr>
            <w:r>
              <w:t>79.40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提前下达2025年自然灾害救助专项资金</w:t>
            </w:r>
          </w:p>
        </w:tc>
        <w:tc>
          <w:tcPr>
            <w:tcW w:w="964" w:type="dxa"/>
            <w:vAlign w:val="center"/>
          </w:tcPr>
          <w:p>
            <w:pPr>
              <w:pStyle w:val="13"/>
            </w:pPr>
            <w:r>
              <w:t>74.40</w:t>
            </w:r>
          </w:p>
        </w:tc>
        <w:tc>
          <w:tcPr>
            <w:tcW w:w="1134" w:type="dxa"/>
            <w:vAlign w:val="center"/>
          </w:tcPr>
          <w:p>
            <w:pPr>
              <w:pStyle w:val="14"/>
            </w:pPr>
            <w:r>
              <w:t>其他商业保险服务</w:t>
            </w:r>
          </w:p>
        </w:tc>
        <w:tc>
          <w:tcPr>
            <w:tcW w:w="1134" w:type="dxa"/>
            <w:vAlign w:val="center"/>
          </w:tcPr>
          <w:p>
            <w:pPr>
              <w:pStyle w:val="14"/>
            </w:pPr>
            <w:r>
              <w:t>C18040199</w:t>
            </w:r>
          </w:p>
        </w:tc>
        <w:tc>
          <w:tcPr>
            <w:tcW w:w="709" w:type="dxa"/>
            <w:vAlign w:val="center"/>
          </w:tcPr>
          <w:p>
            <w:pPr>
              <w:pStyle w:val="15"/>
            </w:pPr>
            <w:r>
              <w:t>户</w:t>
            </w:r>
          </w:p>
        </w:tc>
        <w:tc>
          <w:tcPr>
            <w:tcW w:w="850" w:type="dxa"/>
            <w:vAlign w:val="center"/>
          </w:tcPr>
          <w:p>
            <w:pPr>
              <w:pStyle w:val="13"/>
            </w:pPr>
            <w:r>
              <w:t>124000</w:t>
            </w:r>
          </w:p>
        </w:tc>
        <w:tc>
          <w:tcPr>
            <w:tcW w:w="850" w:type="dxa"/>
            <w:vAlign w:val="center"/>
          </w:tcPr>
          <w:p>
            <w:pPr>
              <w:pStyle w:val="13"/>
            </w:pPr>
            <w:r>
              <w:t>0.00</w:t>
            </w:r>
          </w:p>
        </w:tc>
        <w:tc>
          <w:tcPr>
            <w:tcW w:w="964" w:type="dxa"/>
            <w:vAlign w:val="center"/>
          </w:tcPr>
          <w:p>
            <w:pPr>
              <w:pStyle w:val="13"/>
            </w:pPr>
            <w:r>
              <w:t>74.40</w:t>
            </w:r>
          </w:p>
        </w:tc>
        <w:tc>
          <w:tcPr>
            <w:tcW w:w="964" w:type="dxa"/>
            <w:vAlign w:val="center"/>
          </w:tcPr>
          <w:p>
            <w:pPr>
              <w:pStyle w:val="13"/>
            </w:pPr>
            <w:r>
              <w:t>74.40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应急综合管理工作经费</w:t>
            </w:r>
          </w:p>
        </w:tc>
        <w:tc>
          <w:tcPr>
            <w:tcW w:w="964" w:type="dxa"/>
            <w:vAlign w:val="center"/>
          </w:tcPr>
          <w:p>
            <w:pPr>
              <w:pStyle w:val="13"/>
            </w:pPr>
            <w:r>
              <w:t>22.25</w:t>
            </w:r>
          </w:p>
        </w:tc>
        <w:tc>
          <w:tcPr>
            <w:tcW w:w="1134" w:type="dxa"/>
            <w:vAlign w:val="center"/>
          </w:tcPr>
          <w:p>
            <w:pPr>
              <w:pStyle w:val="14"/>
            </w:pPr>
            <w:r>
              <w:t>水下照明灯</w:t>
            </w:r>
          </w:p>
        </w:tc>
        <w:tc>
          <w:tcPr>
            <w:tcW w:w="1134" w:type="dxa"/>
            <w:vAlign w:val="center"/>
          </w:tcPr>
          <w:p>
            <w:pPr>
              <w:pStyle w:val="14"/>
            </w:pPr>
            <w:r>
              <w:t>A02061904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应急综合管理工作经费</w:t>
            </w:r>
          </w:p>
        </w:tc>
        <w:tc>
          <w:tcPr>
            <w:tcW w:w="964" w:type="dxa"/>
            <w:vAlign w:val="center"/>
          </w:tcPr>
          <w:p>
            <w:pPr>
              <w:pStyle w:val="13"/>
            </w:pPr>
            <w:r>
              <w:t>22.25</w:t>
            </w:r>
          </w:p>
        </w:tc>
        <w:tc>
          <w:tcPr>
            <w:tcW w:w="1134" w:type="dxa"/>
            <w:vAlign w:val="center"/>
          </w:tcPr>
          <w:p>
            <w:pPr>
              <w:pStyle w:val="14"/>
            </w:pPr>
            <w:r>
              <w:t>技术侦察取证设备</w:t>
            </w:r>
          </w:p>
        </w:tc>
        <w:tc>
          <w:tcPr>
            <w:tcW w:w="1134" w:type="dxa"/>
            <w:vAlign w:val="center"/>
          </w:tcPr>
          <w:p>
            <w:pPr>
              <w:pStyle w:val="14"/>
            </w:pPr>
            <w:r>
              <w:t>A02370600</w:t>
            </w:r>
          </w:p>
        </w:tc>
        <w:tc>
          <w:tcPr>
            <w:tcW w:w="709" w:type="dxa"/>
            <w:vAlign w:val="center"/>
          </w:tcPr>
          <w:p>
            <w:pPr>
              <w:pStyle w:val="15"/>
            </w:pPr>
            <w:r>
              <w:t>台</w:t>
            </w:r>
          </w:p>
        </w:tc>
        <w:tc>
          <w:tcPr>
            <w:tcW w:w="850" w:type="dxa"/>
            <w:vAlign w:val="center"/>
          </w:tcPr>
          <w:p>
            <w:pPr>
              <w:pStyle w:val="13"/>
            </w:pPr>
            <w:r>
              <w:t>10</w:t>
            </w:r>
          </w:p>
        </w:tc>
        <w:tc>
          <w:tcPr>
            <w:tcW w:w="850" w:type="dxa"/>
            <w:vAlign w:val="center"/>
          </w:tcPr>
          <w:p>
            <w:pPr>
              <w:pStyle w:val="13"/>
            </w:pPr>
            <w:r>
              <w:t>0.30</w:t>
            </w:r>
          </w:p>
        </w:tc>
        <w:tc>
          <w:tcPr>
            <w:tcW w:w="964" w:type="dxa"/>
            <w:vAlign w:val="center"/>
          </w:tcPr>
          <w:p>
            <w:pPr>
              <w:pStyle w:val="13"/>
            </w:pPr>
            <w:r>
              <w:t>3.00</w:t>
            </w:r>
          </w:p>
        </w:tc>
        <w:tc>
          <w:tcPr>
            <w:tcW w:w="964" w:type="dxa"/>
            <w:vAlign w:val="center"/>
          </w:tcPr>
          <w:p>
            <w:pPr>
              <w:pStyle w:val="13"/>
            </w:pPr>
            <w:r>
              <w:t>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保定市徐水区应急管理局本级上年末固定资产金额为244.71万元（详见下表）。本年度拟购置固定资产总额为0.00万元，已按要求列入政府采购预算，详见政府采购预算表。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426001保定市徐水区应急管理局本级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244.71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r>
              <w:t>1</w:t>
            </w:r>
          </w:p>
        </w:tc>
        <w:tc>
          <w:tcPr>
            <w:tcW w:w="2835" w:type="dxa"/>
            <w:vAlign w:val="center"/>
          </w:tcPr>
          <w:p>
            <w:pPr>
              <w:pStyle w:val="13"/>
            </w:pPr>
            <w:r>
              <w:t>19.67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r>
              <w:t>4</w:t>
            </w:r>
          </w:p>
        </w:tc>
        <w:tc>
          <w:tcPr>
            <w:tcW w:w="2835" w:type="dxa"/>
            <w:vAlign w:val="center"/>
          </w:tcPr>
          <w:p>
            <w:pPr>
              <w:pStyle w:val="13"/>
            </w:pPr>
            <w:r>
              <w:t>32.77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626</w:t>
            </w:r>
          </w:p>
        </w:tc>
        <w:tc>
          <w:tcPr>
            <w:tcW w:w="2835" w:type="dxa"/>
            <w:vAlign w:val="center"/>
          </w:tcPr>
          <w:p>
            <w:pPr>
              <w:pStyle w:val="13"/>
            </w:pPr>
            <w:r>
              <w:t>192.27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867DC2"/>
    <w:rsid w:val="3A1326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TotalTime>4</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2025-02-24T15:05:00Z</dcterms:created>
  <dc:creator>Administrator</dc:creator>
  <cp:lastModifiedBy>user</cp:lastModifiedBy>
  <dcterms:modified xsi:type="dcterms:W3CDTF">2025-02-24T07:44:27Z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