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单位预算收入总表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单位预算支出总表</w:t>
      </w:r>
      <w:r>
        <w:tab/>
      </w:r>
      <w:r>
        <w:t>5</w:t>
      </w:r>
      <w:r>
        <w:fldChar w:fldCharType="end"/>
      </w:r>
    </w:p>
    <w:p>
      <w:pPr>
        <w:pStyle w:val="4"/>
        <w:tabs>
          <w:tab w:val="right" w:leader="dot" w:pos="14562"/>
        </w:tabs>
      </w:pPr>
      <w:r>
        <w:fldChar w:fldCharType="begin"/>
      </w:r>
      <w:r>
        <w:instrText xml:space="preserve"> HYPERLINK \l "_Toc_2_2_0000000004" </w:instrText>
      </w:r>
      <w:r>
        <w:fldChar w:fldCharType="separate"/>
      </w:r>
      <w:r>
        <w:t>单位预算财政拨款收支总表</w:t>
      </w:r>
      <w:r>
        <w:tab/>
      </w:r>
      <w:r>
        <w:t>7</w:t>
      </w:r>
      <w:r>
        <w:fldChar w:fldCharType="end"/>
      </w:r>
    </w:p>
    <w:p>
      <w:pPr>
        <w:pStyle w:val="4"/>
        <w:tabs>
          <w:tab w:val="right" w:leader="dot" w:pos="14562"/>
        </w:tabs>
      </w:pPr>
      <w:r>
        <w:fldChar w:fldCharType="begin"/>
      </w:r>
      <w:r>
        <w:instrText xml:space="preserve"> HYPERLINK \l "_Toc_2_2_0000000005" </w:instrText>
      </w:r>
      <w:r>
        <w:fldChar w:fldCharType="separate"/>
      </w:r>
      <w:r>
        <w:t>单位预算一般公共预算财政拨款支出表</w:t>
      </w:r>
      <w:r>
        <w:tab/>
      </w:r>
      <w:r>
        <w:t>10</w:t>
      </w:r>
      <w:r>
        <w:fldChar w:fldCharType="end"/>
      </w:r>
    </w:p>
    <w:p>
      <w:pPr>
        <w:pStyle w:val="4"/>
        <w:tabs>
          <w:tab w:val="right" w:leader="dot" w:pos="14562"/>
        </w:tabs>
      </w:pPr>
      <w:r>
        <w:fldChar w:fldCharType="begin"/>
      </w:r>
      <w:r>
        <w:instrText xml:space="preserve"> HYPERLINK \l "_Toc_2_2_0000000006" </w:instrText>
      </w:r>
      <w:r>
        <w:fldChar w:fldCharType="separate"/>
      </w:r>
      <w:r>
        <w:t>单位预算一般公共预算财政拨款基本支出表</w:t>
      </w:r>
      <w:r>
        <w:tab/>
      </w:r>
      <w:r>
        <w:t>11</w:t>
      </w:r>
      <w:r>
        <w:fldChar w:fldCharType="end"/>
      </w:r>
    </w:p>
    <w:p>
      <w:pPr>
        <w:pStyle w:val="4"/>
        <w:tabs>
          <w:tab w:val="right" w:leader="dot" w:pos="14562"/>
        </w:tabs>
      </w:pPr>
      <w:r>
        <w:fldChar w:fldCharType="begin"/>
      </w:r>
      <w:r>
        <w:instrText xml:space="preserve"> HYPERLINK \l "_Toc_2_2_0000000007" </w:instrText>
      </w:r>
      <w:r>
        <w:fldChar w:fldCharType="separate"/>
      </w:r>
      <w:r>
        <w:t>单位预算政府性基金预算财政拨款支出表</w:t>
      </w:r>
      <w:r>
        <w:tab/>
      </w:r>
      <w:r>
        <w:t>13</w:t>
      </w:r>
      <w:r>
        <w:fldChar w:fldCharType="end"/>
      </w:r>
    </w:p>
    <w:p>
      <w:pPr>
        <w:pStyle w:val="4"/>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二、单位预算安排的总体情况</w:t>
      </w:r>
      <w:r>
        <w:tab/>
      </w:r>
      <w:r>
        <w:t>20</w:t>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t>20</w:t>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21</w:t>
      </w:r>
      <w:r>
        <w:fldChar w:fldCharType="end"/>
      </w:r>
    </w:p>
    <w:p>
      <w:pPr>
        <w:pStyle w:val="4"/>
        <w:tabs>
          <w:tab w:val="right" w:leader="dot" w:pos="14562"/>
        </w:tabs>
      </w:pPr>
      <w:r>
        <w:fldChar w:fldCharType="begin"/>
      </w:r>
      <w:r>
        <w:instrText xml:space="preserve"> HYPERLINK \l "_Toc_3_3_0000000014" </w:instrText>
      </w:r>
      <w:r>
        <w:fldChar w:fldCharType="separate"/>
      </w:r>
      <w:r>
        <w:t>五、单位整体绩效目标</w:t>
      </w:r>
      <w:r>
        <w:tab/>
      </w:r>
      <w:r>
        <w:t>21</w:t>
      </w:r>
      <w:r>
        <w:fldChar w:fldCharType="end"/>
      </w:r>
    </w:p>
    <w:p>
      <w:pPr>
        <w:pStyle w:val="4"/>
        <w:tabs>
          <w:tab w:val="right" w:leader="dot" w:pos="14562"/>
        </w:tabs>
      </w:pPr>
      <w:r>
        <w:fldChar w:fldCharType="begin"/>
      </w:r>
      <w:r>
        <w:instrText xml:space="preserve"> HYPERLINK \l "_Toc_3_3_0000000015" </w:instrText>
      </w:r>
      <w:r>
        <w:fldChar w:fldCharType="separate"/>
      </w:r>
      <w:r>
        <w:t>六、</w:t>
      </w:r>
      <w:r>
        <w:rPr>
          <w:rFonts w:hint="eastAsia"/>
        </w:rPr>
        <w:t>政府采购</w:t>
      </w:r>
      <w:r>
        <w:t>预算情况</w:t>
      </w:r>
      <w:r>
        <w:tab/>
      </w:r>
      <w:r>
        <w:t>32</w:t>
      </w:r>
      <w:r>
        <w:fldChar w:fldCharType="end"/>
      </w:r>
    </w:p>
    <w:p>
      <w:pPr>
        <w:pStyle w:val="4"/>
        <w:tabs>
          <w:tab w:val="right" w:leader="dot" w:pos="14562"/>
        </w:tabs>
      </w:pPr>
      <w:r>
        <w:fldChar w:fldCharType="begin"/>
      </w:r>
      <w:r>
        <w:instrText xml:space="preserve"> HYPERLINK \l "_Toc_3_3_0000000016" </w:instrText>
      </w:r>
      <w:r>
        <w:fldChar w:fldCharType="separate"/>
      </w:r>
      <w:r>
        <w:t>七、</w:t>
      </w:r>
      <w:r>
        <w:rPr>
          <w:rFonts w:hint="eastAsia"/>
        </w:rPr>
        <w:t>国有资产</w:t>
      </w:r>
      <w:r>
        <w:t>信息</w:t>
      </w:r>
      <w:r>
        <w:tab/>
      </w:r>
      <w:r>
        <w:t>33</w:t>
      </w:r>
      <w:r>
        <w:fldChar w:fldCharType="end"/>
      </w:r>
    </w:p>
    <w:p>
      <w:pPr>
        <w:pStyle w:val="4"/>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八</w:t>
      </w:r>
      <w:r>
        <w:t>、名词解释</w:t>
      </w:r>
      <w:r>
        <w:tab/>
      </w:r>
      <w:r>
        <w:t>33</w:t>
      </w:r>
      <w:r>
        <w:fldChar w:fldCharType="end"/>
      </w:r>
    </w:p>
    <w:p>
      <w:pPr>
        <w:pStyle w:val="4"/>
        <w:keepNext/>
        <w:tabs>
          <w:tab w:val="right" w:leader="dot" w:pos="14562"/>
        </w:tabs>
        <w:ind w:firstLine="561"/>
      </w:pPr>
      <w:r>
        <w:fldChar w:fldCharType="begin"/>
      </w:r>
      <w:r>
        <w:instrText xml:space="preserve"> HYPERLINK \l "_Toc_3_3_0000000020" </w:instrText>
      </w:r>
      <w:r>
        <w:fldChar w:fldCharType="separate"/>
      </w:r>
      <w:r>
        <w:rPr>
          <w:rFonts w:hint="eastAsia" w:eastAsiaTheme="minorEastAsia"/>
          <w:lang w:eastAsia="zh-CN"/>
        </w:rPr>
        <w:t>九</w:t>
      </w:r>
      <w:r>
        <w:t>、其他需要说明的事项</w:t>
      </w:r>
      <w:r>
        <w:tab/>
      </w:r>
      <w:r>
        <w:fldChar w:fldCharType="begin"/>
      </w:r>
      <w:r>
        <w:instrText xml:space="preserve">PAGEREF _Toc_3_3_0000000020 \h</w:instrText>
      </w:r>
      <w:r>
        <w:fldChar w:fldCharType="separate"/>
      </w:r>
      <w:r>
        <w:t>34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0" w:name="_GoBack"/>
      <w:bookmarkEnd w:id="0"/>
      <w:r>
        <w:fldChar w:fldCharType="begin"/>
      </w:r>
      <w:r>
        <w:instrText xml:space="preserve">TOC \o "4-4" \h \z \u</w:instrText>
      </w:r>
      <w:r>
        <w:fldChar w:fldCharType="end"/>
      </w:r>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685.31</w:t>
            </w:r>
          </w:p>
        </w:tc>
        <w:tc>
          <w:tcPr>
            <w:tcW w:w="4535" w:type="dxa"/>
            <w:vAlign w:val="center"/>
          </w:tcPr>
          <w:p>
            <w:pPr>
              <w:pStyle w:val="14"/>
            </w:pPr>
            <w:r>
              <w:t>一、一般公共服务支出</w:t>
            </w:r>
          </w:p>
        </w:tc>
        <w:tc>
          <w:tcPr>
            <w:tcW w:w="2126" w:type="dxa"/>
            <w:vAlign w:val="center"/>
          </w:tcPr>
          <w:p>
            <w:pPr>
              <w:pStyle w:val="13"/>
            </w:pPr>
            <w:r>
              <w:t>442.25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198.59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685.31</w:t>
            </w:r>
          </w:p>
        </w:tc>
        <w:tc>
          <w:tcPr>
            <w:tcW w:w="4535" w:type="dxa"/>
            <w:vAlign w:val="center"/>
          </w:tcPr>
          <w:p>
            <w:pPr>
              <w:pStyle w:val="16"/>
            </w:pPr>
            <w:r>
              <w:t>本年支出合计</w:t>
            </w:r>
          </w:p>
        </w:tc>
        <w:tc>
          <w:tcPr>
            <w:tcW w:w="2126" w:type="dxa"/>
            <w:vAlign w:val="center"/>
          </w:tcPr>
          <w:p>
            <w:pPr>
              <w:pStyle w:val="17"/>
            </w:pPr>
            <w:r>
              <w:t>685.31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685.31</w:t>
            </w:r>
          </w:p>
        </w:tc>
        <w:tc>
          <w:tcPr>
            <w:tcW w:w="4535" w:type="dxa"/>
            <w:vAlign w:val="center"/>
          </w:tcPr>
          <w:p>
            <w:pPr>
              <w:pStyle w:val="16"/>
            </w:pPr>
            <w:r>
              <w:t>支出总计</w:t>
            </w:r>
          </w:p>
        </w:tc>
        <w:tc>
          <w:tcPr>
            <w:tcW w:w="2126" w:type="dxa"/>
            <w:vAlign w:val="center"/>
          </w:tcPr>
          <w:p>
            <w:pPr>
              <w:pStyle w:val="17"/>
            </w:pPr>
            <w:r>
              <w:t>685.31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685.31</w:t>
            </w:r>
          </w:p>
        </w:tc>
        <w:tc>
          <w:tcPr>
            <w:tcW w:w="1134" w:type="dxa"/>
            <w:vAlign w:val="center"/>
          </w:tcPr>
          <w:p>
            <w:pPr>
              <w:pStyle w:val="17"/>
            </w:pPr>
            <w:r>
              <w:t>685.31</w:t>
            </w:r>
          </w:p>
        </w:tc>
        <w:tc>
          <w:tcPr>
            <w:tcW w:w="1134" w:type="dxa"/>
            <w:vAlign w:val="center"/>
          </w:tcPr>
          <w:p>
            <w:pPr>
              <w:pStyle w:val="17"/>
            </w:pPr>
            <w:r>
              <w:t>685.31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442.25</w:t>
            </w:r>
          </w:p>
        </w:tc>
        <w:tc>
          <w:tcPr>
            <w:tcW w:w="1134" w:type="dxa"/>
            <w:vAlign w:val="center"/>
          </w:tcPr>
          <w:p>
            <w:pPr>
              <w:pStyle w:val="13"/>
            </w:pPr>
            <w:r>
              <w:t>442.25</w:t>
            </w:r>
          </w:p>
        </w:tc>
        <w:tc>
          <w:tcPr>
            <w:tcW w:w="1134" w:type="dxa"/>
            <w:vAlign w:val="center"/>
          </w:tcPr>
          <w:p>
            <w:pPr>
              <w:pStyle w:val="13"/>
            </w:pPr>
            <w:r>
              <w:t>442.25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442.25</w:t>
            </w:r>
          </w:p>
        </w:tc>
        <w:tc>
          <w:tcPr>
            <w:tcW w:w="1134" w:type="dxa"/>
            <w:vAlign w:val="center"/>
          </w:tcPr>
          <w:p>
            <w:pPr>
              <w:pStyle w:val="13"/>
            </w:pPr>
            <w:r>
              <w:t>442.25</w:t>
            </w:r>
          </w:p>
        </w:tc>
        <w:tc>
          <w:tcPr>
            <w:tcW w:w="1134" w:type="dxa"/>
            <w:vAlign w:val="center"/>
          </w:tcPr>
          <w:p>
            <w:pPr>
              <w:pStyle w:val="13"/>
            </w:pPr>
            <w:r>
              <w:t>442.25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377.72</w:t>
            </w:r>
          </w:p>
        </w:tc>
        <w:tc>
          <w:tcPr>
            <w:tcW w:w="1134" w:type="dxa"/>
            <w:vAlign w:val="center"/>
          </w:tcPr>
          <w:p>
            <w:pPr>
              <w:pStyle w:val="13"/>
            </w:pPr>
            <w:r>
              <w:t>377.72</w:t>
            </w:r>
          </w:p>
        </w:tc>
        <w:tc>
          <w:tcPr>
            <w:tcW w:w="1134" w:type="dxa"/>
            <w:vAlign w:val="center"/>
          </w:tcPr>
          <w:p>
            <w:pPr>
              <w:pStyle w:val="13"/>
            </w:pPr>
            <w:r>
              <w:t>377.72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2010102</w:t>
            </w:r>
          </w:p>
        </w:tc>
        <w:tc>
          <w:tcPr>
            <w:tcW w:w="1559" w:type="dxa"/>
            <w:vAlign w:val="center"/>
          </w:tcPr>
          <w:p>
            <w:pPr>
              <w:pStyle w:val="14"/>
            </w:pPr>
            <w:r>
              <w:t>一般行政管理事务</w:t>
            </w:r>
          </w:p>
        </w:tc>
        <w:tc>
          <w:tcPr>
            <w:tcW w:w="1134" w:type="dxa"/>
            <w:vAlign w:val="center"/>
          </w:tcPr>
          <w:p>
            <w:pPr>
              <w:pStyle w:val="13"/>
            </w:pPr>
            <w:r>
              <w:t>7.05</w:t>
            </w:r>
          </w:p>
        </w:tc>
        <w:tc>
          <w:tcPr>
            <w:tcW w:w="1134" w:type="dxa"/>
            <w:vAlign w:val="center"/>
          </w:tcPr>
          <w:p>
            <w:pPr>
              <w:pStyle w:val="13"/>
            </w:pPr>
            <w:r>
              <w:t>7.05</w:t>
            </w:r>
          </w:p>
        </w:tc>
        <w:tc>
          <w:tcPr>
            <w:tcW w:w="1134" w:type="dxa"/>
            <w:vAlign w:val="center"/>
          </w:tcPr>
          <w:p>
            <w:pPr>
              <w:pStyle w:val="13"/>
            </w:pPr>
            <w:r>
              <w:t>7.05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2010104</w:t>
            </w:r>
          </w:p>
        </w:tc>
        <w:tc>
          <w:tcPr>
            <w:tcW w:w="1559" w:type="dxa"/>
            <w:vAlign w:val="center"/>
          </w:tcPr>
          <w:p>
            <w:pPr>
              <w:pStyle w:val="14"/>
            </w:pPr>
            <w:r>
              <w:t>人大会议</w:t>
            </w:r>
          </w:p>
        </w:tc>
        <w:tc>
          <w:tcPr>
            <w:tcW w:w="1134" w:type="dxa"/>
            <w:vAlign w:val="center"/>
          </w:tcPr>
          <w:p>
            <w:pPr>
              <w:pStyle w:val="13"/>
            </w:pPr>
            <w:r>
              <w:t>45.60</w:t>
            </w:r>
          </w:p>
        </w:tc>
        <w:tc>
          <w:tcPr>
            <w:tcW w:w="1134" w:type="dxa"/>
            <w:vAlign w:val="center"/>
          </w:tcPr>
          <w:p>
            <w:pPr>
              <w:pStyle w:val="13"/>
            </w:pPr>
            <w:r>
              <w:t>45.60</w:t>
            </w:r>
          </w:p>
        </w:tc>
        <w:tc>
          <w:tcPr>
            <w:tcW w:w="1134" w:type="dxa"/>
            <w:vAlign w:val="center"/>
          </w:tcPr>
          <w:p>
            <w:pPr>
              <w:pStyle w:val="13"/>
            </w:pPr>
            <w:r>
              <w:t>45.60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2010106</w:t>
            </w:r>
          </w:p>
        </w:tc>
        <w:tc>
          <w:tcPr>
            <w:tcW w:w="1559" w:type="dxa"/>
            <w:vAlign w:val="center"/>
          </w:tcPr>
          <w:p>
            <w:pPr>
              <w:pStyle w:val="14"/>
            </w:pPr>
            <w:r>
              <w:t>人大监督</w:t>
            </w:r>
          </w:p>
        </w:tc>
        <w:tc>
          <w:tcPr>
            <w:tcW w:w="1134" w:type="dxa"/>
            <w:vAlign w:val="center"/>
          </w:tcPr>
          <w:p>
            <w:pPr>
              <w:pStyle w:val="13"/>
            </w:pPr>
            <w:r>
              <w:t>11.88</w:t>
            </w:r>
          </w:p>
        </w:tc>
        <w:tc>
          <w:tcPr>
            <w:tcW w:w="1134" w:type="dxa"/>
            <w:vAlign w:val="center"/>
          </w:tcPr>
          <w:p>
            <w:pPr>
              <w:pStyle w:val="13"/>
            </w:pPr>
            <w:r>
              <w:t>11.88</w:t>
            </w:r>
          </w:p>
        </w:tc>
        <w:tc>
          <w:tcPr>
            <w:tcW w:w="1134" w:type="dxa"/>
            <w:vAlign w:val="center"/>
          </w:tcPr>
          <w:p>
            <w:pPr>
              <w:pStyle w:val="13"/>
            </w:pPr>
            <w:r>
              <w:t>11.88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198.59</w:t>
            </w:r>
          </w:p>
        </w:tc>
        <w:tc>
          <w:tcPr>
            <w:tcW w:w="1134" w:type="dxa"/>
            <w:vAlign w:val="center"/>
          </w:tcPr>
          <w:p>
            <w:pPr>
              <w:pStyle w:val="13"/>
            </w:pPr>
            <w:r>
              <w:t>198.59</w:t>
            </w:r>
          </w:p>
        </w:tc>
        <w:tc>
          <w:tcPr>
            <w:tcW w:w="1134" w:type="dxa"/>
            <w:vAlign w:val="center"/>
          </w:tcPr>
          <w:p>
            <w:pPr>
              <w:pStyle w:val="13"/>
            </w:pPr>
            <w:r>
              <w:t>198.59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198.59</w:t>
            </w:r>
          </w:p>
        </w:tc>
        <w:tc>
          <w:tcPr>
            <w:tcW w:w="1134" w:type="dxa"/>
            <w:vAlign w:val="center"/>
          </w:tcPr>
          <w:p>
            <w:pPr>
              <w:pStyle w:val="13"/>
            </w:pPr>
            <w:r>
              <w:t>198.59</w:t>
            </w:r>
          </w:p>
        </w:tc>
        <w:tc>
          <w:tcPr>
            <w:tcW w:w="1134" w:type="dxa"/>
            <w:vAlign w:val="center"/>
          </w:tcPr>
          <w:p>
            <w:pPr>
              <w:pStyle w:val="13"/>
            </w:pPr>
            <w:r>
              <w:t>198.59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159.92</w:t>
            </w:r>
          </w:p>
        </w:tc>
        <w:tc>
          <w:tcPr>
            <w:tcW w:w="1134" w:type="dxa"/>
            <w:vAlign w:val="center"/>
          </w:tcPr>
          <w:p>
            <w:pPr>
              <w:pStyle w:val="13"/>
            </w:pPr>
            <w:r>
              <w:t>159.92</w:t>
            </w:r>
          </w:p>
        </w:tc>
        <w:tc>
          <w:tcPr>
            <w:tcW w:w="1134" w:type="dxa"/>
            <w:vAlign w:val="center"/>
          </w:tcPr>
          <w:p>
            <w:pPr>
              <w:pStyle w:val="13"/>
            </w:pPr>
            <w:r>
              <w:t>159.92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38.67</w:t>
            </w:r>
          </w:p>
        </w:tc>
        <w:tc>
          <w:tcPr>
            <w:tcW w:w="1134" w:type="dxa"/>
            <w:vAlign w:val="center"/>
          </w:tcPr>
          <w:p>
            <w:pPr>
              <w:pStyle w:val="13"/>
            </w:pPr>
            <w:r>
              <w:t>38.67</w:t>
            </w:r>
          </w:p>
        </w:tc>
        <w:tc>
          <w:tcPr>
            <w:tcW w:w="1134" w:type="dxa"/>
            <w:vAlign w:val="center"/>
          </w:tcPr>
          <w:p>
            <w:pPr>
              <w:pStyle w:val="13"/>
            </w:pPr>
            <w:r>
              <w:t>38.67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13.14</w:t>
            </w:r>
          </w:p>
        </w:tc>
        <w:tc>
          <w:tcPr>
            <w:tcW w:w="1134" w:type="dxa"/>
            <w:vAlign w:val="center"/>
          </w:tcPr>
          <w:p>
            <w:pPr>
              <w:pStyle w:val="13"/>
            </w:pPr>
            <w:r>
              <w:t>13.14</w:t>
            </w:r>
          </w:p>
        </w:tc>
        <w:tc>
          <w:tcPr>
            <w:tcW w:w="1134" w:type="dxa"/>
            <w:vAlign w:val="center"/>
          </w:tcPr>
          <w:p>
            <w:pPr>
              <w:pStyle w:val="13"/>
            </w:pPr>
            <w:r>
              <w:t>13.14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13.14</w:t>
            </w:r>
          </w:p>
        </w:tc>
        <w:tc>
          <w:tcPr>
            <w:tcW w:w="1134" w:type="dxa"/>
            <w:vAlign w:val="center"/>
          </w:tcPr>
          <w:p>
            <w:pPr>
              <w:pStyle w:val="13"/>
            </w:pPr>
            <w:r>
              <w:t>13.14</w:t>
            </w:r>
          </w:p>
        </w:tc>
        <w:tc>
          <w:tcPr>
            <w:tcW w:w="1134" w:type="dxa"/>
            <w:vAlign w:val="center"/>
          </w:tcPr>
          <w:p>
            <w:pPr>
              <w:pStyle w:val="13"/>
            </w:pPr>
            <w:r>
              <w:t>13.14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13.14</w:t>
            </w:r>
          </w:p>
        </w:tc>
        <w:tc>
          <w:tcPr>
            <w:tcW w:w="1134" w:type="dxa"/>
            <w:vAlign w:val="center"/>
          </w:tcPr>
          <w:p>
            <w:pPr>
              <w:pStyle w:val="13"/>
            </w:pPr>
            <w:r>
              <w:t>13.14</w:t>
            </w:r>
          </w:p>
        </w:tc>
        <w:tc>
          <w:tcPr>
            <w:tcW w:w="1134" w:type="dxa"/>
            <w:vAlign w:val="center"/>
          </w:tcPr>
          <w:p>
            <w:pPr>
              <w:pStyle w:val="13"/>
            </w:pPr>
            <w:r>
              <w:t>13.14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31.34</w:t>
            </w:r>
          </w:p>
        </w:tc>
        <w:tc>
          <w:tcPr>
            <w:tcW w:w="1134" w:type="dxa"/>
            <w:vAlign w:val="center"/>
          </w:tcPr>
          <w:p>
            <w:pPr>
              <w:pStyle w:val="13"/>
            </w:pPr>
            <w:r>
              <w:t>31.34</w:t>
            </w:r>
          </w:p>
        </w:tc>
        <w:tc>
          <w:tcPr>
            <w:tcW w:w="1134" w:type="dxa"/>
            <w:vAlign w:val="center"/>
          </w:tcPr>
          <w:p>
            <w:pPr>
              <w:pStyle w:val="13"/>
            </w:pPr>
            <w:r>
              <w:t>31.34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31.34</w:t>
            </w:r>
          </w:p>
        </w:tc>
        <w:tc>
          <w:tcPr>
            <w:tcW w:w="1134" w:type="dxa"/>
            <w:vAlign w:val="center"/>
          </w:tcPr>
          <w:p>
            <w:pPr>
              <w:pStyle w:val="13"/>
            </w:pPr>
            <w:r>
              <w:t>31.34</w:t>
            </w:r>
          </w:p>
        </w:tc>
        <w:tc>
          <w:tcPr>
            <w:tcW w:w="1134" w:type="dxa"/>
            <w:vAlign w:val="center"/>
          </w:tcPr>
          <w:p>
            <w:pPr>
              <w:pStyle w:val="13"/>
            </w:pPr>
            <w:r>
              <w:t>31.34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31.34</w:t>
            </w:r>
          </w:p>
        </w:tc>
        <w:tc>
          <w:tcPr>
            <w:tcW w:w="1134" w:type="dxa"/>
            <w:vAlign w:val="center"/>
          </w:tcPr>
          <w:p>
            <w:pPr>
              <w:pStyle w:val="13"/>
            </w:pPr>
            <w:r>
              <w:t>31.34</w:t>
            </w:r>
          </w:p>
        </w:tc>
        <w:tc>
          <w:tcPr>
            <w:tcW w:w="1134" w:type="dxa"/>
            <w:vAlign w:val="center"/>
          </w:tcPr>
          <w:p>
            <w:pPr>
              <w:pStyle w:val="13"/>
            </w:pPr>
            <w:r>
              <w:t>31.34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685.31</w:t>
            </w:r>
          </w:p>
        </w:tc>
        <w:tc>
          <w:tcPr>
            <w:tcW w:w="1361" w:type="dxa"/>
            <w:vAlign w:val="center"/>
          </w:tcPr>
          <w:p>
            <w:pPr>
              <w:pStyle w:val="17"/>
            </w:pPr>
            <w:r>
              <w:t>620.78</w:t>
            </w:r>
          </w:p>
        </w:tc>
        <w:tc>
          <w:tcPr>
            <w:tcW w:w="1361" w:type="dxa"/>
            <w:vAlign w:val="center"/>
          </w:tcPr>
          <w:p>
            <w:pPr>
              <w:pStyle w:val="17"/>
            </w:pPr>
            <w:r>
              <w:t>64.53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442.25</w:t>
            </w:r>
          </w:p>
        </w:tc>
        <w:tc>
          <w:tcPr>
            <w:tcW w:w="1361" w:type="dxa"/>
            <w:vAlign w:val="center"/>
          </w:tcPr>
          <w:p>
            <w:pPr>
              <w:pStyle w:val="13"/>
            </w:pPr>
            <w:r>
              <w:t>377.72</w:t>
            </w:r>
          </w:p>
        </w:tc>
        <w:tc>
          <w:tcPr>
            <w:tcW w:w="1361" w:type="dxa"/>
            <w:vAlign w:val="center"/>
          </w:tcPr>
          <w:p>
            <w:pPr>
              <w:pStyle w:val="13"/>
            </w:pPr>
            <w:r>
              <w:t>64.53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442.25</w:t>
            </w:r>
          </w:p>
        </w:tc>
        <w:tc>
          <w:tcPr>
            <w:tcW w:w="1361" w:type="dxa"/>
            <w:vAlign w:val="center"/>
          </w:tcPr>
          <w:p>
            <w:pPr>
              <w:pStyle w:val="13"/>
            </w:pPr>
            <w:r>
              <w:t>377.72</w:t>
            </w:r>
          </w:p>
        </w:tc>
        <w:tc>
          <w:tcPr>
            <w:tcW w:w="1361" w:type="dxa"/>
            <w:vAlign w:val="center"/>
          </w:tcPr>
          <w:p>
            <w:pPr>
              <w:pStyle w:val="13"/>
            </w:pPr>
            <w:r>
              <w:t>64.53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377.72</w:t>
            </w:r>
          </w:p>
        </w:tc>
        <w:tc>
          <w:tcPr>
            <w:tcW w:w="1361" w:type="dxa"/>
            <w:vAlign w:val="center"/>
          </w:tcPr>
          <w:p>
            <w:pPr>
              <w:pStyle w:val="13"/>
            </w:pPr>
            <w:r>
              <w:t>377.72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2010102</w:t>
            </w:r>
          </w:p>
        </w:tc>
        <w:tc>
          <w:tcPr>
            <w:tcW w:w="4535" w:type="dxa"/>
            <w:vAlign w:val="center"/>
          </w:tcPr>
          <w:p>
            <w:pPr>
              <w:pStyle w:val="14"/>
            </w:pPr>
            <w:r>
              <w:t>一般行政管理事务</w:t>
            </w:r>
          </w:p>
        </w:tc>
        <w:tc>
          <w:tcPr>
            <w:tcW w:w="1361" w:type="dxa"/>
            <w:vAlign w:val="center"/>
          </w:tcPr>
          <w:p>
            <w:pPr>
              <w:pStyle w:val="13"/>
            </w:pPr>
            <w:r>
              <w:t>7.05</w:t>
            </w:r>
          </w:p>
        </w:tc>
        <w:tc>
          <w:tcPr>
            <w:tcW w:w="1361" w:type="dxa"/>
            <w:vAlign w:val="center"/>
          </w:tcPr>
          <w:p>
            <w:pPr>
              <w:pStyle w:val="13"/>
            </w:pPr>
          </w:p>
        </w:tc>
        <w:tc>
          <w:tcPr>
            <w:tcW w:w="1361" w:type="dxa"/>
            <w:vAlign w:val="center"/>
          </w:tcPr>
          <w:p>
            <w:pPr>
              <w:pStyle w:val="13"/>
            </w:pPr>
            <w:r>
              <w:t>7.05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2010104</w:t>
            </w:r>
          </w:p>
        </w:tc>
        <w:tc>
          <w:tcPr>
            <w:tcW w:w="4535" w:type="dxa"/>
            <w:vAlign w:val="center"/>
          </w:tcPr>
          <w:p>
            <w:pPr>
              <w:pStyle w:val="14"/>
            </w:pPr>
            <w:r>
              <w:t>人大会议</w:t>
            </w:r>
          </w:p>
        </w:tc>
        <w:tc>
          <w:tcPr>
            <w:tcW w:w="1361" w:type="dxa"/>
            <w:vAlign w:val="center"/>
          </w:tcPr>
          <w:p>
            <w:pPr>
              <w:pStyle w:val="13"/>
            </w:pPr>
            <w:r>
              <w:t>45.60</w:t>
            </w:r>
          </w:p>
        </w:tc>
        <w:tc>
          <w:tcPr>
            <w:tcW w:w="1361" w:type="dxa"/>
            <w:vAlign w:val="center"/>
          </w:tcPr>
          <w:p>
            <w:pPr>
              <w:pStyle w:val="13"/>
            </w:pPr>
          </w:p>
        </w:tc>
        <w:tc>
          <w:tcPr>
            <w:tcW w:w="1361" w:type="dxa"/>
            <w:vAlign w:val="center"/>
          </w:tcPr>
          <w:p>
            <w:pPr>
              <w:pStyle w:val="13"/>
            </w:pPr>
            <w:r>
              <w:t>45.60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2010106</w:t>
            </w:r>
          </w:p>
        </w:tc>
        <w:tc>
          <w:tcPr>
            <w:tcW w:w="4535" w:type="dxa"/>
            <w:vAlign w:val="center"/>
          </w:tcPr>
          <w:p>
            <w:pPr>
              <w:pStyle w:val="14"/>
            </w:pPr>
            <w:r>
              <w:t>人大监督</w:t>
            </w:r>
          </w:p>
        </w:tc>
        <w:tc>
          <w:tcPr>
            <w:tcW w:w="1361" w:type="dxa"/>
            <w:vAlign w:val="center"/>
          </w:tcPr>
          <w:p>
            <w:pPr>
              <w:pStyle w:val="13"/>
            </w:pPr>
            <w:r>
              <w:t>11.88</w:t>
            </w:r>
          </w:p>
        </w:tc>
        <w:tc>
          <w:tcPr>
            <w:tcW w:w="1361" w:type="dxa"/>
            <w:vAlign w:val="center"/>
          </w:tcPr>
          <w:p>
            <w:pPr>
              <w:pStyle w:val="13"/>
            </w:pPr>
          </w:p>
        </w:tc>
        <w:tc>
          <w:tcPr>
            <w:tcW w:w="1361" w:type="dxa"/>
            <w:vAlign w:val="center"/>
          </w:tcPr>
          <w:p>
            <w:pPr>
              <w:pStyle w:val="13"/>
            </w:pPr>
            <w:r>
              <w:t>11.88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198.59</w:t>
            </w:r>
          </w:p>
        </w:tc>
        <w:tc>
          <w:tcPr>
            <w:tcW w:w="1361" w:type="dxa"/>
            <w:vAlign w:val="center"/>
          </w:tcPr>
          <w:p>
            <w:pPr>
              <w:pStyle w:val="13"/>
            </w:pPr>
            <w:r>
              <w:t>198.59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198.59</w:t>
            </w:r>
          </w:p>
        </w:tc>
        <w:tc>
          <w:tcPr>
            <w:tcW w:w="1361" w:type="dxa"/>
            <w:vAlign w:val="center"/>
          </w:tcPr>
          <w:p>
            <w:pPr>
              <w:pStyle w:val="13"/>
            </w:pPr>
            <w:r>
              <w:t>198.59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159.92</w:t>
            </w:r>
          </w:p>
        </w:tc>
        <w:tc>
          <w:tcPr>
            <w:tcW w:w="1361" w:type="dxa"/>
            <w:vAlign w:val="center"/>
          </w:tcPr>
          <w:p>
            <w:pPr>
              <w:pStyle w:val="13"/>
            </w:pPr>
            <w:r>
              <w:t>159.92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38.67</w:t>
            </w:r>
          </w:p>
        </w:tc>
        <w:tc>
          <w:tcPr>
            <w:tcW w:w="1361" w:type="dxa"/>
            <w:vAlign w:val="center"/>
          </w:tcPr>
          <w:p>
            <w:pPr>
              <w:pStyle w:val="13"/>
            </w:pPr>
            <w:r>
              <w:t>38.67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13.14</w:t>
            </w:r>
          </w:p>
        </w:tc>
        <w:tc>
          <w:tcPr>
            <w:tcW w:w="1361" w:type="dxa"/>
            <w:vAlign w:val="center"/>
          </w:tcPr>
          <w:p>
            <w:pPr>
              <w:pStyle w:val="13"/>
            </w:pPr>
            <w:r>
              <w:t>13.14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13.14</w:t>
            </w:r>
          </w:p>
        </w:tc>
        <w:tc>
          <w:tcPr>
            <w:tcW w:w="1361" w:type="dxa"/>
            <w:vAlign w:val="center"/>
          </w:tcPr>
          <w:p>
            <w:pPr>
              <w:pStyle w:val="13"/>
            </w:pPr>
            <w:r>
              <w:t>13.14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13.14</w:t>
            </w:r>
          </w:p>
        </w:tc>
        <w:tc>
          <w:tcPr>
            <w:tcW w:w="1361" w:type="dxa"/>
            <w:vAlign w:val="center"/>
          </w:tcPr>
          <w:p>
            <w:pPr>
              <w:pStyle w:val="13"/>
            </w:pPr>
            <w:r>
              <w:t>13.14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31.34</w:t>
            </w:r>
          </w:p>
        </w:tc>
        <w:tc>
          <w:tcPr>
            <w:tcW w:w="1361" w:type="dxa"/>
            <w:vAlign w:val="center"/>
          </w:tcPr>
          <w:p>
            <w:pPr>
              <w:pStyle w:val="13"/>
            </w:pPr>
            <w:r>
              <w:t>31.34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31.34</w:t>
            </w:r>
          </w:p>
        </w:tc>
        <w:tc>
          <w:tcPr>
            <w:tcW w:w="1361" w:type="dxa"/>
            <w:vAlign w:val="center"/>
          </w:tcPr>
          <w:p>
            <w:pPr>
              <w:pStyle w:val="13"/>
            </w:pPr>
            <w:r>
              <w:t>31.34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31.34</w:t>
            </w:r>
          </w:p>
        </w:tc>
        <w:tc>
          <w:tcPr>
            <w:tcW w:w="1361" w:type="dxa"/>
            <w:vAlign w:val="center"/>
          </w:tcPr>
          <w:p>
            <w:pPr>
              <w:pStyle w:val="13"/>
            </w:pPr>
            <w:r>
              <w:t>31.34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685.31</w:t>
            </w:r>
          </w:p>
        </w:tc>
        <w:tc>
          <w:tcPr>
            <w:tcW w:w="3402" w:type="dxa"/>
            <w:vAlign w:val="center"/>
          </w:tcPr>
          <w:p>
            <w:pPr>
              <w:pStyle w:val="14"/>
            </w:pPr>
            <w:r>
              <w:t>一、一般公共服务支出</w:t>
            </w:r>
          </w:p>
        </w:tc>
        <w:tc>
          <w:tcPr>
            <w:tcW w:w="1474" w:type="dxa"/>
            <w:vAlign w:val="center"/>
          </w:tcPr>
          <w:p>
            <w:pPr>
              <w:pStyle w:val="13"/>
            </w:pPr>
            <w:r>
              <w:t>442.25</w:t>
            </w:r>
          </w:p>
        </w:tc>
        <w:tc>
          <w:tcPr>
            <w:tcW w:w="1474" w:type="dxa"/>
            <w:vAlign w:val="center"/>
          </w:tcPr>
          <w:p>
            <w:pPr>
              <w:pStyle w:val="13"/>
            </w:pPr>
            <w:r>
              <w:t>442.25</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198.59</w:t>
            </w:r>
          </w:p>
        </w:tc>
        <w:tc>
          <w:tcPr>
            <w:tcW w:w="1474" w:type="dxa"/>
            <w:vAlign w:val="center"/>
          </w:tcPr>
          <w:p>
            <w:pPr>
              <w:pStyle w:val="13"/>
            </w:pPr>
            <w:r>
              <w:t>198.59</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13.14</w:t>
            </w:r>
          </w:p>
        </w:tc>
        <w:tc>
          <w:tcPr>
            <w:tcW w:w="1474" w:type="dxa"/>
            <w:vAlign w:val="center"/>
          </w:tcPr>
          <w:p>
            <w:pPr>
              <w:pStyle w:val="13"/>
            </w:pPr>
            <w:r>
              <w:t>13.14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31.34</w:t>
            </w:r>
          </w:p>
        </w:tc>
        <w:tc>
          <w:tcPr>
            <w:tcW w:w="1474" w:type="dxa"/>
            <w:vAlign w:val="center"/>
          </w:tcPr>
          <w:p>
            <w:pPr>
              <w:pStyle w:val="13"/>
            </w:pPr>
            <w:r>
              <w:t>31.34</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685.31</w:t>
            </w:r>
          </w:p>
        </w:tc>
        <w:tc>
          <w:tcPr>
            <w:tcW w:w="3402" w:type="dxa"/>
            <w:vAlign w:val="center"/>
          </w:tcPr>
          <w:p>
            <w:pPr>
              <w:pStyle w:val="16"/>
            </w:pPr>
            <w:r>
              <w:t>本年支出合计</w:t>
            </w:r>
          </w:p>
        </w:tc>
        <w:tc>
          <w:tcPr>
            <w:tcW w:w="1474" w:type="dxa"/>
            <w:vAlign w:val="center"/>
          </w:tcPr>
          <w:p>
            <w:pPr>
              <w:pStyle w:val="17"/>
            </w:pPr>
            <w:r>
              <w:t>685.31</w:t>
            </w:r>
          </w:p>
        </w:tc>
        <w:tc>
          <w:tcPr>
            <w:tcW w:w="1474" w:type="dxa"/>
            <w:vAlign w:val="center"/>
          </w:tcPr>
          <w:p>
            <w:pPr>
              <w:pStyle w:val="17"/>
            </w:pPr>
            <w:r>
              <w:t>685.31</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685.31</w:t>
            </w:r>
          </w:p>
        </w:tc>
        <w:tc>
          <w:tcPr>
            <w:tcW w:w="3402" w:type="dxa"/>
            <w:vAlign w:val="center"/>
          </w:tcPr>
          <w:p>
            <w:pPr>
              <w:pStyle w:val="16"/>
            </w:pPr>
            <w:r>
              <w:t>支出总计</w:t>
            </w:r>
          </w:p>
        </w:tc>
        <w:tc>
          <w:tcPr>
            <w:tcW w:w="1474" w:type="dxa"/>
            <w:vAlign w:val="center"/>
          </w:tcPr>
          <w:p>
            <w:pPr>
              <w:pStyle w:val="17"/>
            </w:pPr>
            <w:r>
              <w:t>685.31</w:t>
            </w:r>
          </w:p>
        </w:tc>
        <w:tc>
          <w:tcPr>
            <w:tcW w:w="1474" w:type="dxa"/>
            <w:vAlign w:val="center"/>
          </w:tcPr>
          <w:p>
            <w:pPr>
              <w:pStyle w:val="17"/>
            </w:pPr>
            <w:r>
              <w:t>685.31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685.31</w:t>
            </w:r>
          </w:p>
        </w:tc>
        <w:tc>
          <w:tcPr>
            <w:tcW w:w="2551" w:type="dxa"/>
            <w:vAlign w:val="center"/>
          </w:tcPr>
          <w:p>
            <w:pPr>
              <w:pStyle w:val="17"/>
            </w:pPr>
            <w:r>
              <w:t>620.78</w:t>
            </w:r>
          </w:p>
        </w:tc>
        <w:tc>
          <w:tcPr>
            <w:tcW w:w="2551" w:type="dxa"/>
            <w:vAlign w:val="center"/>
          </w:tcPr>
          <w:p>
            <w:pPr>
              <w:pStyle w:val="17"/>
            </w:pPr>
            <w:r>
              <w:t>64.53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442.25</w:t>
            </w:r>
          </w:p>
        </w:tc>
        <w:tc>
          <w:tcPr>
            <w:tcW w:w="2551" w:type="dxa"/>
            <w:vAlign w:val="center"/>
          </w:tcPr>
          <w:p>
            <w:pPr>
              <w:pStyle w:val="13"/>
            </w:pPr>
            <w:r>
              <w:t>377.72</w:t>
            </w:r>
          </w:p>
        </w:tc>
        <w:tc>
          <w:tcPr>
            <w:tcW w:w="2551" w:type="dxa"/>
            <w:vAlign w:val="center"/>
          </w:tcPr>
          <w:p>
            <w:pPr>
              <w:pStyle w:val="13"/>
            </w:pPr>
            <w:r>
              <w:t>64.53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442.25</w:t>
            </w:r>
          </w:p>
        </w:tc>
        <w:tc>
          <w:tcPr>
            <w:tcW w:w="2551" w:type="dxa"/>
            <w:vAlign w:val="center"/>
          </w:tcPr>
          <w:p>
            <w:pPr>
              <w:pStyle w:val="13"/>
            </w:pPr>
            <w:r>
              <w:t>377.72</w:t>
            </w:r>
          </w:p>
        </w:tc>
        <w:tc>
          <w:tcPr>
            <w:tcW w:w="2551" w:type="dxa"/>
            <w:vAlign w:val="center"/>
          </w:tcPr>
          <w:p>
            <w:pPr>
              <w:pStyle w:val="13"/>
            </w:pPr>
            <w:r>
              <w:t>64.53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377.72</w:t>
            </w:r>
          </w:p>
        </w:tc>
        <w:tc>
          <w:tcPr>
            <w:tcW w:w="2551" w:type="dxa"/>
            <w:vAlign w:val="center"/>
          </w:tcPr>
          <w:p>
            <w:pPr>
              <w:pStyle w:val="13"/>
            </w:pPr>
            <w:r>
              <w:t>377.72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2010102</w:t>
            </w:r>
          </w:p>
        </w:tc>
        <w:tc>
          <w:tcPr>
            <w:tcW w:w="4535" w:type="dxa"/>
            <w:vAlign w:val="center"/>
          </w:tcPr>
          <w:p>
            <w:pPr>
              <w:pStyle w:val="14"/>
            </w:pPr>
            <w:r>
              <w:t>一般行政管理事务</w:t>
            </w:r>
          </w:p>
        </w:tc>
        <w:tc>
          <w:tcPr>
            <w:tcW w:w="2551" w:type="dxa"/>
            <w:vAlign w:val="center"/>
          </w:tcPr>
          <w:p>
            <w:pPr>
              <w:pStyle w:val="13"/>
            </w:pPr>
            <w:r>
              <w:t>7.05</w:t>
            </w:r>
          </w:p>
        </w:tc>
        <w:tc>
          <w:tcPr>
            <w:tcW w:w="2551" w:type="dxa"/>
            <w:vAlign w:val="center"/>
          </w:tcPr>
          <w:p>
            <w:pPr>
              <w:pStyle w:val="13"/>
            </w:pPr>
          </w:p>
        </w:tc>
        <w:tc>
          <w:tcPr>
            <w:tcW w:w="2551" w:type="dxa"/>
            <w:vAlign w:val="center"/>
          </w:tcPr>
          <w:p>
            <w:pPr>
              <w:pStyle w:val="13"/>
            </w:pPr>
            <w:r>
              <w:t>7.05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2010104</w:t>
            </w:r>
          </w:p>
        </w:tc>
        <w:tc>
          <w:tcPr>
            <w:tcW w:w="4535" w:type="dxa"/>
            <w:vAlign w:val="center"/>
          </w:tcPr>
          <w:p>
            <w:pPr>
              <w:pStyle w:val="14"/>
            </w:pPr>
            <w:r>
              <w:t>人大会议</w:t>
            </w:r>
          </w:p>
        </w:tc>
        <w:tc>
          <w:tcPr>
            <w:tcW w:w="2551" w:type="dxa"/>
            <w:vAlign w:val="center"/>
          </w:tcPr>
          <w:p>
            <w:pPr>
              <w:pStyle w:val="13"/>
            </w:pPr>
            <w:r>
              <w:t>45.60</w:t>
            </w:r>
          </w:p>
        </w:tc>
        <w:tc>
          <w:tcPr>
            <w:tcW w:w="2551" w:type="dxa"/>
            <w:vAlign w:val="center"/>
          </w:tcPr>
          <w:p>
            <w:pPr>
              <w:pStyle w:val="13"/>
            </w:pPr>
          </w:p>
        </w:tc>
        <w:tc>
          <w:tcPr>
            <w:tcW w:w="2551" w:type="dxa"/>
            <w:vAlign w:val="center"/>
          </w:tcPr>
          <w:p>
            <w:pPr>
              <w:pStyle w:val="13"/>
            </w:pPr>
            <w:r>
              <w:t>45.60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2010106</w:t>
            </w:r>
          </w:p>
        </w:tc>
        <w:tc>
          <w:tcPr>
            <w:tcW w:w="4535" w:type="dxa"/>
            <w:vAlign w:val="center"/>
          </w:tcPr>
          <w:p>
            <w:pPr>
              <w:pStyle w:val="14"/>
            </w:pPr>
            <w:r>
              <w:t>人大监督</w:t>
            </w:r>
          </w:p>
        </w:tc>
        <w:tc>
          <w:tcPr>
            <w:tcW w:w="2551" w:type="dxa"/>
            <w:vAlign w:val="center"/>
          </w:tcPr>
          <w:p>
            <w:pPr>
              <w:pStyle w:val="13"/>
            </w:pPr>
            <w:r>
              <w:t>11.88</w:t>
            </w:r>
          </w:p>
        </w:tc>
        <w:tc>
          <w:tcPr>
            <w:tcW w:w="2551" w:type="dxa"/>
            <w:vAlign w:val="center"/>
          </w:tcPr>
          <w:p>
            <w:pPr>
              <w:pStyle w:val="13"/>
            </w:pPr>
          </w:p>
        </w:tc>
        <w:tc>
          <w:tcPr>
            <w:tcW w:w="2551" w:type="dxa"/>
            <w:vAlign w:val="center"/>
          </w:tcPr>
          <w:p>
            <w:pPr>
              <w:pStyle w:val="13"/>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198.59</w:t>
            </w:r>
          </w:p>
        </w:tc>
        <w:tc>
          <w:tcPr>
            <w:tcW w:w="2551" w:type="dxa"/>
            <w:vAlign w:val="center"/>
          </w:tcPr>
          <w:p>
            <w:pPr>
              <w:pStyle w:val="13"/>
            </w:pPr>
            <w:r>
              <w:t>198.59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198.59</w:t>
            </w:r>
          </w:p>
        </w:tc>
        <w:tc>
          <w:tcPr>
            <w:tcW w:w="2551" w:type="dxa"/>
            <w:vAlign w:val="center"/>
          </w:tcPr>
          <w:p>
            <w:pPr>
              <w:pStyle w:val="13"/>
            </w:pPr>
            <w:r>
              <w:t>198.59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159.92</w:t>
            </w:r>
          </w:p>
        </w:tc>
        <w:tc>
          <w:tcPr>
            <w:tcW w:w="2551" w:type="dxa"/>
            <w:vAlign w:val="center"/>
          </w:tcPr>
          <w:p>
            <w:pPr>
              <w:pStyle w:val="13"/>
            </w:pPr>
            <w:r>
              <w:t>159.92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38.67</w:t>
            </w:r>
          </w:p>
        </w:tc>
        <w:tc>
          <w:tcPr>
            <w:tcW w:w="2551" w:type="dxa"/>
            <w:vAlign w:val="center"/>
          </w:tcPr>
          <w:p>
            <w:pPr>
              <w:pStyle w:val="13"/>
            </w:pPr>
            <w:r>
              <w:t>38.67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31.34</w:t>
            </w:r>
          </w:p>
        </w:tc>
        <w:tc>
          <w:tcPr>
            <w:tcW w:w="2551" w:type="dxa"/>
            <w:vAlign w:val="center"/>
          </w:tcPr>
          <w:p>
            <w:pPr>
              <w:pStyle w:val="13"/>
            </w:pPr>
            <w:r>
              <w:t>31.34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31.34</w:t>
            </w:r>
          </w:p>
        </w:tc>
        <w:tc>
          <w:tcPr>
            <w:tcW w:w="2551" w:type="dxa"/>
            <w:vAlign w:val="center"/>
          </w:tcPr>
          <w:p>
            <w:pPr>
              <w:pStyle w:val="13"/>
            </w:pPr>
            <w:r>
              <w:t>31.34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31.34</w:t>
            </w:r>
          </w:p>
        </w:tc>
        <w:tc>
          <w:tcPr>
            <w:tcW w:w="2551" w:type="dxa"/>
            <w:vAlign w:val="center"/>
          </w:tcPr>
          <w:p>
            <w:pPr>
              <w:pStyle w:val="13"/>
            </w:pPr>
            <w:r>
              <w:t>31.34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620.78</w:t>
            </w:r>
          </w:p>
        </w:tc>
        <w:tc>
          <w:tcPr>
            <w:tcW w:w="2551" w:type="dxa"/>
            <w:vAlign w:val="center"/>
          </w:tcPr>
          <w:p>
            <w:pPr>
              <w:pStyle w:val="17"/>
            </w:pPr>
            <w:r>
              <w:t>562.47</w:t>
            </w:r>
          </w:p>
        </w:tc>
        <w:tc>
          <w:tcPr>
            <w:tcW w:w="2551" w:type="dxa"/>
            <w:vAlign w:val="center"/>
          </w:tcPr>
          <w:p>
            <w:pPr>
              <w:pStyle w:val="17"/>
            </w:pPr>
            <w:r>
              <w:t>58.31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401.98</w:t>
            </w:r>
          </w:p>
        </w:tc>
        <w:tc>
          <w:tcPr>
            <w:tcW w:w="2551" w:type="dxa"/>
            <w:vAlign w:val="center"/>
          </w:tcPr>
          <w:p>
            <w:pPr>
              <w:pStyle w:val="13"/>
            </w:pPr>
            <w:r>
              <w:t>401.98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151.14</w:t>
            </w:r>
          </w:p>
        </w:tc>
        <w:tc>
          <w:tcPr>
            <w:tcW w:w="2551" w:type="dxa"/>
            <w:vAlign w:val="center"/>
          </w:tcPr>
          <w:p>
            <w:pPr>
              <w:pStyle w:val="13"/>
            </w:pPr>
            <w:r>
              <w:t>151.14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91.65</w:t>
            </w:r>
          </w:p>
        </w:tc>
        <w:tc>
          <w:tcPr>
            <w:tcW w:w="2551" w:type="dxa"/>
            <w:vAlign w:val="center"/>
          </w:tcPr>
          <w:p>
            <w:pPr>
              <w:pStyle w:val="13"/>
            </w:pPr>
            <w:r>
              <w:t>91.65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75.05</w:t>
            </w:r>
          </w:p>
        </w:tc>
        <w:tc>
          <w:tcPr>
            <w:tcW w:w="2551" w:type="dxa"/>
            <w:vAlign w:val="center"/>
          </w:tcPr>
          <w:p>
            <w:pPr>
              <w:pStyle w:val="13"/>
            </w:pPr>
            <w:r>
              <w:t>75.05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38.67</w:t>
            </w:r>
          </w:p>
        </w:tc>
        <w:tc>
          <w:tcPr>
            <w:tcW w:w="2551" w:type="dxa"/>
            <w:vAlign w:val="center"/>
          </w:tcPr>
          <w:p>
            <w:pPr>
              <w:pStyle w:val="13"/>
            </w:pPr>
            <w:r>
              <w:t>38.67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13.14</w:t>
            </w:r>
          </w:p>
        </w:tc>
        <w:tc>
          <w:tcPr>
            <w:tcW w:w="2551" w:type="dxa"/>
            <w:vAlign w:val="center"/>
          </w:tcPr>
          <w:p>
            <w:pPr>
              <w:pStyle w:val="13"/>
            </w:pPr>
            <w:r>
              <w:t>13.14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0.98</w:t>
            </w:r>
          </w:p>
        </w:tc>
        <w:tc>
          <w:tcPr>
            <w:tcW w:w="2551" w:type="dxa"/>
            <w:vAlign w:val="center"/>
          </w:tcPr>
          <w:p>
            <w:pPr>
              <w:pStyle w:val="13"/>
            </w:pPr>
            <w:r>
              <w:t>0.98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31.34</w:t>
            </w:r>
          </w:p>
        </w:tc>
        <w:tc>
          <w:tcPr>
            <w:tcW w:w="2551" w:type="dxa"/>
            <w:vAlign w:val="center"/>
          </w:tcPr>
          <w:p>
            <w:pPr>
              <w:pStyle w:val="13"/>
            </w:pPr>
            <w:r>
              <w:t>31.34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58.31</w:t>
            </w:r>
          </w:p>
        </w:tc>
        <w:tc>
          <w:tcPr>
            <w:tcW w:w="2551" w:type="dxa"/>
            <w:vAlign w:val="center"/>
          </w:tcPr>
          <w:p>
            <w:pPr>
              <w:pStyle w:val="13"/>
            </w:pPr>
          </w:p>
        </w:tc>
        <w:tc>
          <w:tcPr>
            <w:tcW w:w="2551" w:type="dxa"/>
            <w:vAlign w:val="center"/>
          </w:tcPr>
          <w:p>
            <w:pPr>
              <w:pStyle w:val="13"/>
            </w:pPr>
            <w:r>
              <w:t>58.31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4.94</w:t>
            </w:r>
          </w:p>
        </w:tc>
        <w:tc>
          <w:tcPr>
            <w:tcW w:w="2551" w:type="dxa"/>
            <w:vAlign w:val="center"/>
          </w:tcPr>
          <w:p>
            <w:pPr>
              <w:pStyle w:val="13"/>
            </w:pPr>
          </w:p>
        </w:tc>
        <w:tc>
          <w:tcPr>
            <w:tcW w:w="2551" w:type="dxa"/>
            <w:vAlign w:val="center"/>
          </w:tcPr>
          <w:p>
            <w:pPr>
              <w:pStyle w:val="13"/>
            </w:pPr>
            <w:r>
              <w:t>4.94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10.14</w:t>
            </w:r>
          </w:p>
        </w:tc>
        <w:tc>
          <w:tcPr>
            <w:tcW w:w="2551" w:type="dxa"/>
            <w:vAlign w:val="center"/>
          </w:tcPr>
          <w:p>
            <w:pPr>
              <w:pStyle w:val="13"/>
            </w:pPr>
          </w:p>
        </w:tc>
        <w:tc>
          <w:tcPr>
            <w:tcW w:w="2551" w:type="dxa"/>
            <w:vAlign w:val="center"/>
          </w:tcPr>
          <w:p>
            <w:pPr>
              <w:pStyle w:val="13"/>
            </w:pPr>
            <w:r>
              <w:t>10.14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3.93</w:t>
            </w:r>
          </w:p>
        </w:tc>
        <w:tc>
          <w:tcPr>
            <w:tcW w:w="2551" w:type="dxa"/>
            <w:vAlign w:val="center"/>
          </w:tcPr>
          <w:p>
            <w:pPr>
              <w:pStyle w:val="13"/>
            </w:pPr>
          </w:p>
        </w:tc>
        <w:tc>
          <w:tcPr>
            <w:tcW w:w="2551" w:type="dxa"/>
            <w:vAlign w:val="center"/>
          </w:tcPr>
          <w:p>
            <w:pPr>
              <w:pStyle w:val="13"/>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5.51</w:t>
            </w:r>
          </w:p>
        </w:tc>
        <w:tc>
          <w:tcPr>
            <w:tcW w:w="2551" w:type="dxa"/>
            <w:vAlign w:val="center"/>
          </w:tcPr>
          <w:p>
            <w:pPr>
              <w:pStyle w:val="13"/>
            </w:pPr>
          </w:p>
        </w:tc>
        <w:tc>
          <w:tcPr>
            <w:tcW w:w="2551" w:type="dxa"/>
            <w:vAlign w:val="center"/>
          </w:tcPr>
          <w:p>
            <w:pPr>
              <w:pStyle w:val="13"/>
            </w:pPr>
            <w:r>
              <w:t>5.51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7.29</w:t>
            </w:r>
          </w:p>
        </w:tc>
        <w:tc>
          <w:tcPr>
            <w:tcW w:w="2551" w:type="dxa"/>
            <w:vAlign w:val="center"/>
          </w:tcPr>
          <w:p>
            <w:pPr>
              <w:pStyle w:val="13"/>
            </w:pPr>
          </w:p>
        </w:tc>
        <w:tc>
          <w:tcPr>
            <w:tcW w:w="2551" w:type="dxa"/>
            <w:vAlign w:val="center"/>
          </w:tcPr>
          <w:p>
            <w:pPr>
              <w:pStyle w:val="13"/>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18.35</w:t>
            </w:r>
          </w:p>
        </w:tc>
        <w:tc>
          <w:tcPr>
            <w:tcW w:w="2551" w:type="dxa"/>
            <w:vAlign w:val="center"/>
          </w:tcPr>
          <w:p>
            <w:pPr>
              <w:pStyle w:val="13"/>
            </w:pPr>
          </w:p>
        </w:tc>
        <w:tc>
          <w:tcPr>
            <w:tcW w:w="2551" w:type="dxa"/>
            <w:vAlign w:val="center"/>
          </w:tcPr>
          <w:p>
            <w:pPr>
              <w:pStyle w:val="13"/>
            </w:pPr>
            <w:r>
              <w:t>18.35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7.16</w:t>
            </w:r>
          </w:p>
        </w:tc>
        <w:tc>
          <w:tcPr>
            <w:tcW w:w="2551" w:type="dxa"/>
            <w:vAlign w:val="center"/>
          </w:tcPr>
          <w:p>
            <w:pPr>
              <w:pStyle w:val="13"/>
            </w:pPr>
          </w:p>
        </w:tc>
        <w:tc>
          <w:tcPr>
            <w:tcW w:w="2551" w:type="dxa"/>
            <w:vAlign w:val="center"/>
          </w:tcPr>
          <w:p>
            <w:pPr>
              <w:pStyle w:val="13"/>
            </w:pPr>
            <w:r>
              <w:t>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160.49</w:t>
            </w:r>
          </w:p>
        </w:tc>
        <w:tc>
          <w:tcPr>
            <w:tcW w:w="2551" w:type="dxa"/>
            <w:vAlign w:val="center"/>
          </w:tcPr>
          <w:p>
            <w:pPr>
              <w:pStyle w:val="13"/>
            </w:pPr>
            <w:r>
              <w:t>160.49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156.14</w:t>
            </w:r>
          </w:p>
        </w:tc>
        <w:tc>
          <w:tcPr>
            <w:tcW w:w="2551" w:type="dxa"/>
            <w:vAlign w:val="center"/>
          </w:tcPr>
          <w:p>
            <w:pPr>
              <w:pStyle w:val="13"/>
            </w:pPr>
            <w:r>
              <w:t>156.14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4.36</w:t>
            </w:r>
          </w:p>
        </w:tc>
        <w:tc>
          <w:tcPr>
            <w:tcW w:w="2551" w:type="dxa"/>
            <w:vAlign w:val="center"/>
          </w:tcPr>
          <w:p>
            <w:pPr>
              <w:pStyle w:val="13"/>
            </w:pPr>
            <w:r>
              <w:t>4.36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8.29</w:t>
            </w:r>
          </w:p>
        </w:tc>
        <w:tc>
          <w:tcPr>
            <w:tcW w:w="2381" w:type="dxa"/>
            <w:vAlign w:val="center"/>
          </w:tcPr>
          <w:p>
            <w:pPr>
              <w:pStyle w:val="17"/>
            </w:pPr>
            <w:r>
              <w:t>8.29</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8.29</w:t>
            </w:r>
          </w:p>
        </w:tc>
        <w:tc>
          <w:tcPr>
            <w:tcW w:w="2381" w:type="dxa"/>
            <w:vAlign w:val="center"/>
          </w:tcPr>
          <w:p>
            <w:pPr>
              <w:pStyle w:val="13"/>
            </w:pPr>
            <w:r>
              <w:t>8.29</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7.29</w:t>
            </w:r>
          </w:p>
        </w:tc>
        <w:tc>
          <w:tcPr>
            <w:tcW w:w="2381" w:type="dxa"/>
            <w:vAlign w:val="center"/>
          </w:tcPr>
          <w:p>
            <w:pPr>
              <w:pStyle w:val="13"/>
            </w:pPr>
            <w:r>
              <w:t>7.29</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7.29</w:t>
            </w:r>
          </w:p>
        </w:tc>
        <w:tc>
          <w:tcPr>
            <w:tcW w:w="2381" w:type="dxa"/>
            <w:vAlign w:val="center"/>
          </w:tcPr>
          <w:p>
            <w:pPr>
              <w:pStyle w:val="13"/>
            </w:pPr>
            <w:r>
              <w:t>7.29</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保定市徐水区人民代表大会常务委员会办公室本级2025年单位预算信息公开情况说明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按照《中华人民共和国预算法》、《地方预决算公开操作规程》和《关于进一步推进预算公开工作的实施意见》规定，现将保定市徐水区人民代表大会常务委员会办公室本级2025年单位预算公开如下：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根据《保定市徐水区人民代表大会常务委员会办公室职能配置、内设机构和人员编制规定》，保定市徐水区人民代表大会常务委员会办公室的主要职责是：</w:t>
      </w:r>
    </w:p>
    <w:p>
      <w:pPr>
        <w:pStyle w:val="19"/>
      </w:pPr>
      <w:r>
        <w:t>（1）办公室</w:t>
      </w:r>
    </w:p>
    <w:p>
      <w:pPr>
        <w:pStyle w:val="19"/>
      </w:pPr>
      <w:r>
        <w:t>①负责综合协调工作，在区人大常委会主任、副主任的领导下，处理机关日常事务性工作。</w:t>
      </w:r>
    </w:p>
    <w:p>
      <w:pPr>
        <w:pStyle w:val="19"/>
      </w:pPr>
      <w:r>
        <w:t>②承担区人大常委会主任会议、常委会会议、人民代表大会及其他重要会议的组织准备和会务工作，督办会议决定事项的落实。</w:t>
      </w:r>
    </w:p>
    <w:p>
      <w:pPr>
        <w:pStyle w:val="19"/>
      </w:pPr>
      <w:r>
        <w:t>③承担区人大常委会综合性文件的起草、文书处理、信息联络、宣传报道、机要保密、档案管理、印信管理、报刊资料征订等工作。</w:t>
      </w:r>
    </w:p>
    <w:p>
      <w:pPr>
        <w:pStyle w:val="19"/>
      </w:pPr>
      <w:r>
        <w:t>④负责领导同志政务活动的组织、协调、安排和服务工作，为领导提供工作情况和信息资料。</w:t>
      </w:r>
    </w:p>
    <w:p>
      <w:pPr>
        <w:pStyle w:val="19"/>
      </w:pPr>
      <w:r>
        <w:t>⑤负责人大机关财务管理、资产管理、基本建设、办公用品购置分发、人事编制、退休老干部服务、公务接洽等行政事务工作。</w:t>
      </w:r>
    </w:p>
    <w:p>
      <w:pPr>
        <w:pStyle w:val="19"/>
      </w:pPr>
      <w:r>
        <w:t>⑥批办上级和本级党委、国家机关及有关单位的来文和人民群众来信来访。</w:t>
      </w:r>
    </w:p>
    <w:p>
      <w:pPr>
        <w:pStyle w:val="19"/>
      </w:pPr>
      <w:r>
        <w:t>⑦协同其他工作委员会为人大常委会的调查、视察、检查等活动做好组织服务工作。</w:t>
      </w:r>
    </w:p>
    <w:p>
      <w:pPr>
        <w:pStyle w:val="19"/>
      </w:pPr>
      <w:r>
        <w:t>⑧办理区人大常委会会议、主任会议及常委会领导交办的其他事项。</w:t>
      </w:r>
    </w:p>
    <w:p>
      <w:pPr>
        <w:pStyle w:val="19"/>
      </w:pPr>
      <w:r>
        <w:t>（2）法制工作委员会</w:t>
      </w:r>
    </w:p>
    <w:p>
      <w:pPr>
        <w:pStyle w:val="19"/>
      </w:pPr>
      <w:r>
        <w:t>①负责监察、审判、检察、公安、司法行政等方面的联系、调查、检查和法制宣传教育工作。</w:t>
      </w:r>
    </w:p>
    <w:p>
      <w:pPr>
        <w:pStyle w:val="19"/>
      </w:pPr>
      <w:r>
        <w:t>②负责人大代表有关法制等方面的调查、视察、检查等活动的组织服务工作。</w:t>
      </w:r>
    </w:p>
    <w:p>
      <w:pPr>
        <w:pStyle w:val="19"/>
      </w:pPr>
      <w:r>
        <w:t>③在区人大常委会审议专项工作报告、讨论决定重大事项前，对相关工作进行专项视察或者调查研究，提出初步意见和建议。对“一府一委两院”落实常委会决议、决定和组成人员审议意见情况，进行跟踪检查。</w:t>
      </w:r>
    </w:p>
    <w:p>
      <w:pPr>
        <w:pStyle w:val="19"/>
      </w:pPr>
      <w:r>
        <w:t>④负责人大代表关于法制等方面的质询案及议案和建议、批评、意见的办理和督办工作。</w:t>
      </w:r>
    </w:p>
    <w:p>
      <w:pPr>
        <w:pStyle w:val="19"/>
      </w:pPr>
      <w:r>
        <w:t>⑤开展规范性文件备案审查的初审工作。审查“一府一委两院”法制等方面的规范性文件，协同其他工作委员会做好规范性文件的审查工作。</w:t>
      </w:r>
    </w:p>
    <w:p>
      <w:pPr>
        <w:pStyle w:val="19"/>
      </w:pPr>
      <w:r>
        <w:t>⑥负责接待人民群众有关法制等方面的来信来访、控告和申诉工作。办理上级人大常委会交办的本委工作范畴内的控告和申诉信访。</w:t>
      </w:r>
    </w:p>
    <w:p>
      <w:pPr>
        <w:pStyle w:val="19"/>
      </w:pPr>
      <w:r>
        <w:t>⑦加强与上级人大常委会和有关委员会的沟通交流联系，协助其进行调研、视察、检查等工作。</w:t>
      </w:r>
    </w:p>
    <w:p>
      <w:pPr>
        <w:pStyle w:val="19"/>
      </w:pPr>
      <w:r>
        <w:t>⑧办理区人大常委会会议、主任会议及常委会领导交办的其他事项。</w:t>
      </w:r>
    </w:p>
    <w:p>
      <w:pPr>
        <w:pStyle w:val="19"/>
      </w:pPr>
      <w:r>
        <w:t>（3）财政经济工作委员会</w:t>
      </w:r>
    </w:p>
    <w:p>
      <w:pPr>
        <w:pStyle w:val="19"/>
      </w:pPr>
      <w:r>
        <w:t>①负责发展和改革、财政、审计、统计、水利、教育和体育、卫生健康、文化广电和旅游、医疗保障、税务、金融、邮政、通讯等方面的联系、调查、检查等工作。</w:t>
      </w:r>
    </w:p>
    <w:p>
      <w:pPr>
        <w:pStyle w:val="19"/>
      </w:pPr>
      <w:r>
        <w:t>②负责人大代表有关财经等方面的调查、视察、检查等活动的组织服务工作。</w:t>
      </w:r>
    </w:p>
    <w:p>
      <w:pPr>
        <w:pStyle w:val="19"/>
      </w:pPr>
      <w:r>
        <w:t>③在区人大常委会审议专项工作报告、讨论决定重大事项前，对相关工作进行专项视察或者调查研究，提出初步意见和建议。对区政府及相关单位落实常委会决议、决定和组成人员审议意见情况，进行跟踪检查。</w:t>
      </w:r>
    </w:p>
    <w:p>
      <w:pPr>
        <w:pStyle w:val="19"/>
      </w:pPr>
      <w:r>
        <w:t>④负责人大代表关于财经等方面的质询案及议案和建议、批评、意见的办理和督办工作。</w:t>
      </w:r>
    </w:p>
    <w:p>
      <w:pPr>
        <w:pStyle w:val="19"/>
      </w:pPr>
      <w:r>
        <w:t>⑤开展规范性文件备案审查的初审工作。审查区政府财经等方面的规范性文件。</w:t>
      </w:r>
    </w:p>
    <w:p>
      <w:pPr>
        <w:pStyle w:val="19"/>
      </w:pPr>
      <w:r>
        <w:t>⑥负责接待与财经等相关的人民群众来信来访、控告和申诉工作。办理上级人大常委会交办的本委工作范畴内的控告和申诉信访。</w:t>
      </w:r>
    </w:p>
    <w:p>
      <w:pPr>
        <w:pStyle w:val="19"/>
      </w:pPr>
      <w:r>
        <w:t>⑦加强与上级人大常委会和有关委员会的沟通交流联系，协助其进行调研、视察、检查等工作。</w:t>
      </w:r>
    </w:p>
    <w:p>
      <w:pPr>
        <w:pStyle w:val="19"/>
      </w:pPr>
      <w:r>
        <w:t>⑧办理区人大常委会会议、主任会议及常委会领导交办的其他事项。</w:t>
      </w:r>
    </w:p>
    <w:p>
      <w:pPr>
        <w:pStyle w:val="19"/>
      </w:pPr>
      <w:r>
        <w:t>（4）社会建设工作委员会</w:t>
      </w:r>
    </w:p>
    <w:p>
      <w:pPr>
        <w:pStyle w:val="19"/>
      </w:pPr>
      <w:r>
        <w:t>①负责住房和城乡建设、城市管理、人力资源和社会保障、市场监督管理、应急管理、工业和信息、行政审批、农业农村、民族宗教、民政事务、退役军人、生态环境、自然资源和规划、交通、电力、群团组织等方面的联系、调查、检查等工作。</w:t>
      </w:r>
    </w:p>
    <w:p>
      <w:pPr>
        <w:pStyle w:val="19"/>
      </w:pPr>
      <w:r>
        <w:t>②负责人大代表有关社会建设等方面的调查、视察、检查等活动的组织服务工作。</w:t>
      </w:r>
    </w:p>
    <w:p>
      <w:pPr>
        <w:pStyle w:val="19"/>
      </w:pPr>
      <w:r>
        <w:t>③在区人大常委会审议专项工作报告、讨论决定重大事项前，对相关工作进行专项视察或者调查研究，提出初步意见和建议。对区政府及相关单位落实常委会决议、决定和组成人员审议意见情况，进行跟踪检查。</w:t>
      </w:r>
    </w:p>
    <w:p>
      <w:pPr>
        <w:pStyle w:val="19"/>
      </w:pPr>
      <w:r>
        <w:t>④负责人大代表关于社会建设等方面的质询案及议案和建议、批评、意见的办理和督办工作。</w:t>
      </w:r>
    </w:p>
    <w:p>
      <w:pPr>
        <w:pStyle w:val="19"/>
      </w:pPr>
      <w:r>
        <w:t>⑤开展规范性文件备案审查的初审工作。审查区政府社会建设等方面的规范性文件。</w:t>
      </w:r>
    </w:p>
    <w:p>
      <w:pPr>
        <w:pStyle w:val="19"/>
      </w:pPr>
      <w:r>
        <w:t>⑥负责接待人民群众有关社会建设等方面的来信来访、控告和申诉工作。办理上级人大常委会交办的本委工作范畴内的控告和申诉信访。</w:t>
      </w:r>
    </w:p>
    <w:p>
      <w:pPr>
        <w:pStyle w:val="19"/>
      </w:pPr>
      <w:r>
        <w:t>⑦加强与上级人大常委会和有关委员会的沟通交流联系，协助其进行调研、视察、检查等工作。</w:t>
      </w:r>
    </w:p>
    <w:p>
      <w:pPr>
        <w:pStyle w:val="19"/>
      </w:pPr>
      <w:r>
        <w:t>⑧办理区人大常委会会议、主任会议及常委会领导交办的其他事项。</w:t>
      </w:r>
    </w:p>
    <w:p>
      <w:pPr>
        <w:pStyle w:val="19"/>
      </w:pPr>
      <w:r>
        <w:t>（5）选举任免代表工作委员会</w:t>
      </w:r>
    </w:p>
    <w:p>
      <w:pPr>
        <w:pStyle w:val="19"/>
      </w:pPr>
      <w:r>
        <w:t>①负责区人大常委会人事任免事项的具体工作。</w:t>
      </w:r>
    </w:p>
    <w:p>
      <w:pPr>
        <w:pStyle w:val="19"/>
      </w:pPr>
      <w:r>
        <w:t>②负责人大代表的选举、补选、罢免、代表资格审查等具体</w:t>
      </w:r>
    </w:p>
    <w:p>
      <w:pPr>
        <w:pStyle w:val="19"/>
      </w:pPr>
      <w:r>
        <w:t>工作。</w:t>
      </w:r>
    </w:p>
    <w:p>
      <w:pPr>
        <w:pStyle w:val="19"/>
      </w:pPr>
      <w:r>
        <w:t>③组织代表培训，开展好闭会期间的代表活动，建立和完善代表工作保障机制，执行代表履职的各项制度。</w:t>
      </w:r>
    </w:p>
    <w:p>
      <w:pPr>
        <w:pStyle w:val="19"/>
      </w:pPr>
      <w:r>
        <w:t>④负责代表议案和建议、批评、意见工作的收集、整理、交办、督办、反馈、总结等工作。</w:t>
      </w:r>
    </w:p>
    <w:p>
      <w:pPr>
        <w:pStyle w:val="19"/>
      </w:pPr>
      <w:r>
        <w:t>⑤负责（协助）人大代表调研、视察、检查等代表活动，接待、受理人大代表和人民群众有关的来信来访。</w:t>
      </w:r>
    </w:p>
    <w:p>
      <w:pPr>
        <w:pStyle w:val="19"/>
      </w:pPr>
      <w:r>
        <w:t>⑥在区人大常委会审议专项工作报告、讨论决定重大事项前，对相关工作进行专项视察或者调查研究，提出初步意见和建议。对“一府一委两院”落实常委会决议、决定和组成人员审议意见情况，进行跟踪检查。</w:t>
      </w:r>
    </w:p>
    <w:p>
      <w:pPr>
        <w:pStyle w:val="19"/>
      </w:pPr>
      <w:r>
        <w:t>⑦加强与上级人大常委会和有关委员会的沟通交流联系，协助其进行调研、视察、检查等工作。</w:t>
      </w:r>
    </w:p>
    <w:p>
      <w:pPr>
        <w:pStyle w:val="19"/>
      </w:pPr>
      <w:r>
        <w:t xml:space="preserve">⑧办理区人大常委会会议、主任会议及常委会领导交办的其他事项。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保定市徐水区人民代表大会常务委员会办公室本级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2025年预算收入685.31万元，其中：一般公共预算收入685.31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保定市徐水区人民代表大会常务委员会办公室本级年度单位预算中支出预算的总体情况。2025年支出预算685.31万元，其中基本支出620.78万元，包括人员经费562.47万元和日常公用经费58.31万元；项目支出64.53万元，主要为2025年一般公共预算本级项目64.53万元等。</w:t>
      </w:r>
    </w:p>
    <w:p>
      <w:pPr>
        <w:pStyle w:val="20"/>
      </w:pPr>
      <w:r>
        <w:t>3、比上年增减情况</w:t>
      </w:r>
    </w:p>
    <w:p>
      <w:pPr>
        <w:pStyle w:val="20"/>
      </w:pPr>
      <w:r>
        <w:t>2025年预算收支安排685.31万元，较2024年预算减少15.53万元，其中：基本支出减少19.58万元，主要为人员经费减少；项目支出增加4.05万元，主要为增加劳务派遣辅助人员项目经费。</w:t>
      </w:r>
    </w:p>
    <w:p>
      <w:pPr>
        <w:spacing w:before="10" w:after="10"/>
        <w:ind w:firstLine="640"/>
        <w:outlineLvl w:val="5"/>
      </w:pPr>
      <w:r>
        <w:rPr>
          <w:rFonts w:ascii="黑体" w:hAnsi="黑体" w:eastAsia="黑体" w:cs="黑体"/>
          <w:color w:val="000000"/>
          <w:sz w:val="32"/>
        </w:rPr>
        <w:t>三、机关运行经费安排情况</w:t>
      </w:r>
    </w:p>
    <w:p>
      <w:pPr>
        <w:pStyle w:val="21"/>
      </w:pPr>
      <w:r>
        <w:t>2025年，我单位机关运行经费共计安排58.31万元，主要用于日常维修、办公用房水电费、办公用房取暖费、办公用房物业管理费等日常运行支出。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2"/>
      </w:pPr>
      <w:r>
        <w:t>2025年，我单位财政拨款“三公”经费预算安排8.29万元，其中因公出国（境）费0.00万元；公务用车购置及运维费7.29万元（其中：公务用车购置费为0.00万元，公务用车运维费7.29万元)；公务接待费1.00万元。与2024年相比增加0.00万元，增减变化的主要原因是认真执行中央八项规定，厉行节约。</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1、保洁经费绩效目标表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13062525P00023210128U</w:t>
            </w:r>
          </w:p>
        </w:tc>
        <w:tc>
          <w:tcPr>
            <w:tcW w:w="2835" w:type="dxa"/>
            <w:vAlign w:val="center"/>
          </w:tcPr>
          <w:p>
            <w:pPr>
              <w:pStyle w:val="12"/>
            </w:pPr>
            <w:r>
              <w:t>项目名称</w:t>
            </w:r>
          </w:p>
        </w:tc>
        <w:tc>
          <w:tcPr>
            <w:tcW w:w="6095" w:type="dxa"/>
            <w:gridSpan w:val="3"/>
            <w:vAlign w:val="center"/>
          </w:tcPr>
          <w:p>
            <w:pPr>
              <w:pStyle w:val="14"/>
            </w:pPr>
            <w:r>
              <w:t>保洁经费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次项目主要用于机关保洁，机关保洁是机关日常必要的工作，其中包括领导办公室、办公区过道、卫生间、楼梯楼道、开放办公室、独立办公室、会议室等公共场所卫生的清扫，保持卫生整洁，地面干净、无尘土、无卫生死角，负责机关会议室、接待室会前会后的卫生清扫和会场整理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1.通过聘请专业保洁公司，保证人大机关办公环境整洁度，机关自身建设、服务保障能力进一步提升。</w:t>
            </w:r>
          </w:p>
          <w:p>
            <w:pPr>
              <w:pStyle w:val="14"/>
            </w:pPr>
            <w:r>
              <w:t>2.确保办公区域保洁验收达标率达到90%以上，办公人员满意度达到90%以上。</w:t>
            </w:r>
          </w:p>
          <w:p>
            <w:pPr>
              <w:pStyle w:val="14"/>
            </w:pPr>
            <w:r>
              <w:t>3.确保按时间进度完成各项工作任务，按月发放，6月底之前完成50%，12月底之前完成100%。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保洁人员数量</w:t>
            </w:r>
          </w:p>
        </w:tc>
        <w:tc>
          <w:tcPr>
            <w:tcW w:w="5386" w:type="dxa"/>
            <w:vAlign w:val="center"/>
          </w:tcPr>
          <w:p>
            <w:pPr>
              <w:pStyle w:val="14"/>
            </w:pPr>
            <w:r>
              <w:t>聘用保洁人员数量</w:t>
            </w:r>
          </w:p>
        </w:tc>
        <w:tc>
          <w:tcPr>
            <w:tcW w:w="2268" w:type="dxa"/>
            <w:vAlign w:val="center"/>
          </w:tcPr>
          <w:p>
            <w:pPr>
              <w:pStyle w:val="14"/>
            </w:pPr>
            <w:r>
              <w:t>≥1人</w:t>
            </w:r>
          </w:p>
        </w:tc>
        <w:tc>
          <w:tcPr>
            <w:tcW w:w="1276" w:type="dxa"/>
            <w:vAlign w:val="center"/>
          </w:tcPr>
          <w:p>
            <w:pPr>
              <w:pStyle w:val="14"/>
            </w:pPr>
            <w:r>
              <w:t>依据协议要求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保障机关环境干净整洁。</w:t>
            </w:r>
          </w:p>
        </w:tc>
        <w:tc>
          <w:tcPr>
            <w:tcW w:w="5386" w:type="dxa"/>
            <w:vAlign w:val="center"/>
          </w:tcPr>
          <w:p>
            <w:pPr>
              <w:pStyle w:val="14"/>
            </w:pPr>
            <w:r>
              <w:t>反映保障机关环境干净整洁的程度。</w:t>
            </w:r>
          </w:p>
        </w:tc>
        <w:tc>
          <w:tcPr>
            <w:tcW w:w="2268" w:type="dxa"/>
            <w:vAlign w:val="center"/>
          </w:tcPr>
          <w:p>
            <w:pPr>
              <w:pStyle w:val="14"/>
            </w:pPr>
            <w:r>
              <w:t>≥95%</w:t>
            </w:r>
          </w:p>
        </w:tc>
        <w:tc>
          <w:tcPr>
            <w:tcW w:w="1276" w:type="dxa"/>
            <w:vAlign w:val="center"/>
          </w:tcPr>
          <w:p>
            <w:pPr>
              <w:pStyle w:val="14"/>
            </w:pPr>
            <w:r>
              <w:t>依据协议要求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保洁工作及时性</w:t>
            </w:r>
          </w:p>
        </w:tc>
        <w:tc>
          <w:tcPr>
            <w:tcW w:w="5386" w:type="dxa"/>
            <w:vAlign w:val="center"/>
          </w:tcPr>
          <w:p>
            <w:pPr>
              <w:pStyle w:val="14"/>
            </w:pPr>
            <w:r>
              <w:t>按时完成保洁工作</w:t>
            </w:r>
          </w:p>
        </w:tc>
        <w:tc>
          <w:tcPr>
            <w:tcW w:w="2268" w:type="dxa"/>
            <w:vAlign w:val="center"/>
          </w:tcPr>
          <w:p>
            <w:pPr>
              <w:pStyle w:val="14"/>
            </w:pPr>
            <w:r>
              <w:t>≥95%</w:t>
            </w:r>
          </w:p>
        </w:tc>
        <w:tc>
          <w:tcPr>
            <w:tcW w:w="1276" w:type="dxa"/>
            <w:vAlign w:val="center"/>
          </w:tcPr>
          <w:p>
            <w:pPr>
              <w:pStyle w:val="14"/>
            </w:pPr>
            <w:r>
              <w:t>依据协议要求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单位保洁成本</w:t>
            </w:r>
          </w:p>
        </w:tc>
        <w:tc>
          <w:tcPr>
            <w:tcW w:w="5386" w:type="dxa"/>
            <w:vAlign w:val="center"/>
          </w:tcPr>
          <w:p>
            <w:pPr>
              <w:pStyle w:val="14"/>
            </w:pPr>
            <w:r>
              <w:t>反映项目支出不超单位成本预算</w:t>
            </w:r>
          </w:p>
        </w:tc>
        <w:tc>
          <w:tcPr>
            <w:tcW w:w="2268" w:type="dxa"/>
            <w:vAlign w:val="center"/>
          </w:tcPr>
          <w:p>
            <w:pPr>
              <w:pStyle w:val="14"/>
            </w:pPr>
            <w:r>
              <w:t>≤2500元/月</w:t>
            </w:r>
          </w:p>
        </w:tc>
        <w:tc>
          <w:tcPr>
            <w:tcW w:w="1276" w:type="dxa"/>
            <w:vAlign w:val="center"/>
          </w:tcPr>
          <w:p>
            <w:pPr>
              <w:pStyle w:val="14"/>
            </w:pPr>
            <w:r>
              <w:t>依据协议要求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机关整体形象提升</w:t>
            </w:r>
          </w:p>
        </w:tc>
        <w:tc>
          <w:tcPr>
            <w:tcW w:w="5386" w:type="dxa"/>
            <w:vAlign w:val="center"/>
          </w:tcPr>
          <w:p>
            <w:pPr>
              <w:pStyle w:val="14"/>
            </w:pPr>
            <w:r>
              <w:t>反映机关整体形象提升度</w:t>
            </w:r>
          </w:p>
        </w:tc>
        <w:tc>
          <w:tcPr>
            <w:tcW w:w="2268" w:type="dxa"/>
            <w:vAlign w:val="center"/>
          </w:tcPr>
          <w:p>
            <w:pPr>
              <w:pStyle w:val="14"/>
            </w:pPr>
            <w:r>
              <w:t>≥95%</w:t>
            </w:r>
          </w:p>
        </w:tc>
        <w:tc>
          <w:tcPr>
            <w:tcW w:w="1276" w:type="dxa"/>
            <w:vAlign w:val="center"/>
          </w:tcPr>
          <w:p>
            <w:pPr>
              <w:pStyle w:val="14"/>
            </w:pPr>
            <w:r>
              <w:t>依据协议要求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机关干部职工满意度</w:t>
            </w:r>
          </w:p>
        </w:tc>
        <w:tc>
          <w:tcPr>
            <w:tcW w:w="5386" w:type="dxa"/>
            <w:vAlign w:val="center"/>
          </w:tcPr>
          <w:p>
            <w:pPr>
              <w:pStyle w:val="14"/>
            </w:pPr>
            <w:r>
              <w:t>机关干部职工满意度</w:t>
            </w:r>
          </w:p>
        </w:tc>
        <w:tc>
          <w:tcPr>
            <w:tcW w:w="2268" w:type="dxa"/>
            <w:vAlign w:val="center"/>
          </w:tcPr>
          <w:p>
            <w:pPr>
              <w:pStyle w:val="14"/>
            </w:pPr>
            <w:r>
              <w:t>≥90%</w:t>
            </w:r>
          </w:p>
        </w:tc>
        <w:tc>
          <w:tcPr>
            <w:tcW w:w="127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2、劳务派遣辅助人员经费绩效目标表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13062525P00023210129F</w:t>
            </w:r>
          </w:p>
        </w:tc>
        <w:tc>
          <w:tcPr>
            <w:tcW w:w="2835" w:type="dxa"/>
            <w:vAlign w:val="center"/>
          </w:tcPr>
          <w:p>
            <w:pPr>
              <w:pStyle w:val="12"/>
            </w:pPr>
            <w:r>
              <w:t>项目名称</w:t>
            </w:r>
          </w:p>
        </w:tc>
        <w:tc>
          <w:tcPr>
            <w:tcW w:w="6095" w:type="dxa"/>
            <w:gridSpan w:val="3"/>
            <w:vAlign w:val="center"/>
          </w:tcPr>
          <w:p>
            <w:pPr>
              <w:pStyle w:val="14"/>
            </w:pPr>
            <w:r>
              <w:t>劳务派遣辅助人员经费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4.05</w:t>
            </w:r>
          </w:p>
        </w:tc>
        <w:tc>
          <w:tcPr>
            <w:tcW w:w="2835" w:type="dxa"/>
            <w:vAlign w:val="center"/>
          </w:tcPr>
          <w:p>
            <w:pPr>
              <w:pStyle w:val="12"/>
            </w:pPr>
            <w:r>
              <w:t>其中：财政    资金</w:t>
            </w:r>
          </w:p>
        </w:tc>
        <w:tc>
          <w:tcPr>
            <w:tcW w:w="2551" w:type="dxa"/>
            <w:vAlign w:val="center"/>
          </w:tcPr>
          <w:p>
            <w:pPr>
              <w:pStyle w:val="14"/>
            </w:pPr>
            <w:r>
              <w:t>4.05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为保障机关工作正常开展，机关招聘劳务派遣辅助工作人员1名。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1.保障机关工作正常运转，机关自身建设进一步提升。</w:t>
            </w:r>
            <w:r>
              <w:tab/>
            </w:r>
          </w:p>
          <w:p>
            <w:pPr>
              <w:pStyle w:val="14"/>
            </w:pPr>
            <w:r>
              <w:t>2.为保障机关工作正常运转，完成当年工作，弥补工作人员不足。聘用工作人员1名，按月发放，共12个月。</w:t>
            </w:r>
          </w:p>
          <w:p>
            <w:pPr>
              <w:pStyle w:val="14"/>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机关辅助人员数量</w:t>
            </w:r>
          </w:p>
        </w:tc>
        <w:tc>
          <w:tcPr>
            <w:tcW w:w="5386" w:type="dxa"/>
            <w:vAlign w:val="center"/>
          </w:tcPr>
          <w:p>
            <w:pPr>
              <w:pStyle w:val="14"/>
            </w:pPr>
            <w:r>
              <w:t>反应辅助工作人员使用情况</w:t>
            </w:r>
          </w:p>
        </w:tc>
        <w:tc>
          <w:tcPr>
            <w:tcW w:w="2268" w:type="dxa"/>
            <w:vAlign w:val="center"/>
          </w:tcPr>
          <w:p>
            <w:pPr>
              <w:pStyle w:val="14"/>
            </w:pPr>
            <w:r>
              <w:t>1人</w:t>
            </w:r>
          </w:p>
        </w:tc>
        <w:tc>
          <w:tcPr>
            <w:tcW w:w="1276" w:type="dxa"/>
            <w:vAlign w:val="center"/>
          </w:tcPr>
          <w:p>
            <w:pPr>
              <w:pStyle w:val="14"/>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保障工作质量</w:t>
            </w:r>
          </w:p>
        </w:tc>
        <w:tc>
          <w:tcPr>
            <w:tcW w:w="5386" w:type="dxa"/>
            <w:vAlign w:val="center"/>
          </w:tcPr>
          <w:p>
            <w:pPr>
              <w:pStyle w:val="14"/>
            </w:pPr>
            <w:r>
              <w:t>保障工作质量</w:t>
            </w:r>
          </w:p>
        </w:tc>
        <w:tc>
          <w:tcPr>
            <w:tcW w:w="2268" w:type="dxa"/>
            <w:vAlign w:val="center"/>
          </w:tcPr>
          <w:p>
            <w:pPr>
              <w:pStyle w:val="14"/>
            </w:pPr>
            <w:r>
              <w:t>≥100%</w:t>
            </w:r>
          </w:p>
        </w:tc>
        <w:tc>
          <w:tcPr>
            <w:tcW w:w="1276" w:type="dxa"/>
            <w:vAlign w:val="center"/>
          </w:tcPr>
          <w:p>
            <w:pPr>
              <w:pStyle w:val="14"/>
            </w:pPr>
            <w:r>
              <w:t>计划要求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辅助人员聘用及时率</w:t>
            </w:r>
          </w:p>
        </w:tc>
        <w:tc>
          <w:tcPr>
            <w:tcW w:w="5386" w:type="dxa"/>
            <w:vAlign w:val="center"/>
          </w:tcPr>
          <w:p>
            <w:pPr>
              <w:pStyle w:val="14"/>
            </w:pPr>
            <w:r>
              <w:t>反映辅助人员聘用及时程度</w:t>
            </w:r>
          </w:p>
        </w:tc>
        <w:tc>
          <w:tcPr>
            <w:tcW w:w="2268" w:type="dxa"/>
            <w:vAlign w:val="center"/>
          </w:tcPr>
          <w:p>
            <w:pPr>
              <w:pStyle w:val="14"/>
            </w:pPr>
            <w:r>
              <w:t>≥95%</w:t>
            </w:r>
          </w:p>
        </w:tc>
        <w:tc>
          <w:tcPr>
            <w:tcW w:w="1276" w:type="dxa"/>
            <w:vAlign w:val="center"/>
          </w:tcPr>
          <w:p>
            <w:pPr>
              <w:pStyle w:val="14"/>
            </w:pPr>
            <w:r>
              <w:t>计划要求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机关辅助人员成本费用</w:t>
            </w:r>
          </w:p>
        </w:tc>
        <w:tc>
          <w:tcPr>
            <w:tcW w:w="5386" w:type="dxa"/>
            <w:vAlign w:val="center"/>
          </w:tcPr>
          <w:p>
            <w:pPr>
              <w:pStyle w:val="14"/>
            </w:pPr>
            <w:r>
              <w:t>反映机关辅助人员每月工资费用</w:t>
            </w:r>
          </w:p>
        </w:tc>
        <w:tc>
          <w:tcPr>
            <w:tcW w:w="2268" w:type="dxa"/>
            <w:vAlign w:val="center"/>
          </w:tcPr>
          <w:p>
            <w:pPr>
              <w:pStyle w:val="14"/>
            </w:pPr>
            <w:r>
              <w:t>3374.64元</w:t>
            </w:r>
          </w:p>
        </w:tc>
        <w:tc>
          <w:tcPr>
            <w:tcW w:w="1276" w:type="dxa"/>
            <w:vAlign w:val="center"/>
          </w:tcPr>
          <w:p>
            <w:pPr>
              <w:pStyle w:val="14"/>
            </w:pPr>
            <w:r>
              <w:t>依据合同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保障机关正常运转</w:t>
            </w:r>
          </w:p>
        </w:tc>
        <w:tc>
          <w:tcPr>
            <w:tcW w:w="5386" w:type="dxa"/>
            <w:vAlign w:val="center"/>
          </w:tcPr>
          <w:p>
            <w:pPr>
              <w:pStyle w:val="14"/>
            </w:pPr>
            <w:r>
              <w:t>反映机关正常运转保障程度</w:t>
            </w:r>
          </w:p>
        </w:tc>
        <w:tc>
          <w:tcPr>
            <w:tcW w:w="2268" w:type="dxa"/>
            <w:vAlign w:val="center"/>
          </w:tcPr>
          <w:p>
            <w:pPr>
              <w:pStyle w:val="14"/>
            </w:pPr>
            <w:r>
              <w:t>≥85%</w:t>
            </w:r>
          </w:p>
        </w:tc>
        <w:tc>
          <w:tcPr>
            <w:tcW w:w="1276" w:type="dxa"/>
            <w:vAlign w:val="center"/>
          </w:tcPr>
          <w:p>
            <w:pPr>
              <w:pStyle w:val="14"/>
            </w:pPr>
            <w:r>
              <w:t>计划要求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机关人员满意度</w:t>
            </w:r>
          </w:p>
        </w:tc>
        <w:tc>
          <w:tcPr>
            <w:tcW w:w="5386" w:type="dxa"/>
            <w:vAlign w:val="center"/>
          </w:tcPr>
          <w:p>
            <w:pPr>
              <w:pStyle w:val="14"/>
            </w:pPr>
            <w:r>
              <w:t>反映对辅助人员满意度</w:t>
            </w:r>
          </w:p>
        </w:tc>
        <w:tc>
          <w:tcPr>
            <w:tcW w:w="2268" w:type="dxa"/>
            <w:vAlign w:val="center"/>
          </w:tcPr>
          <w:p>
            <w:pPr>
              <w:pStyle w:val="14"/>
            </w:pPr>
            <w:r>
              <w:t>≥85%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3、人大会议绩效目标表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13062525P00000510001D</w:t>
            </w:r>
          </w:p>
        </w:tc>
        <w:tc>
          <w:tcPr>
            <w:tcW w:w="2835" w:type="dxa"/>
            <w:vAlign w:val="center"/>
          </w:tcPr>
          <w:p>
            <w:pPr>
              <w:pStyle w:val="12"/>
            </w:pPr>
            <w:r>
              <w:t>项目名称</w:t>
            </w:r>
          </w:p>
        </w:tc>
        <w:tc>
          <w:tcPr>
            <w:tcW w:w="6095" w:type="dxa"/>
            <w:gridSpan w:val="3"/>
            <w:vAlign w:val="center"/>
          </w:tcPr>
          <w:p>
            <w:pPr>
              <w:pStyle w:val="14"/>
            </w:pPr>
            <w:r>
              <w:t>人大会议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45.60</w:t>
            </w:r>
          </w:p>
        </w:tc>
        <w:tc>
          <w:tcPr>
            <w:tcW w:w="2835" w:type="dxa"/>
            <w:vAlign w:val="center"/>
          </w:tcPr>
          <w:p>
            <w:pPr>
              <w:pStyle w:val="12"/>
            </w:pPr>
            <w:r>
              <w:t>其中：财政    资金</w:t>
            </w:r>
          </w:p>
        </w:tc>
        <w:tc>
          <w:tcPr>
            <w:tcW w:w="2551" w:type="dxa"/>
            <w:vAlign w:val="center"/>
          </w:tcPr>
          <w:p>
            <w:pPr>
              <w:pStyle w:val="14"/>
            </w:pPr>
            <w:r>
              <w:t>45.60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根据《中华人民共和国地方各级人民代表大会和地方各级人民政府组织法》，第二章地方各级人民代表大会，第十一条规定地方各级人民代表大会会议每年至少举行一次；第二条规定县级以上的地方各级人民代表大会会议由本级人民代表大会常务委员会召集。区人大组织召开不少于1次人民代表大会会议、常委会会议、主任会议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30%</w:t>
            </w:r>
          </w:p>
        </w:tc>
        <w:tc>
          <w:tcPr>
            <w:tcW w:w="2835" w:type="dxa"/>
            <w:vAlign w:val="center"/>
          </w:tcPr>
          <w:p>
            <w:pPr>
              <w:pStyle w:val="15"/>
            </w:pPr>
            <w:r>
              <w:t>100%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1.为了更好的人大代表参政议政履行职责。</w:t>
            </w:r>
          </w:p>
          <w:p>
            <w:pPr>
              <w:pStyle w:val="14"/>
            </w:pPr>
            <w:r>
              <w:t>2.组织召开不少于1次人民代表大会会议、常委会会议、主任会议圆满成功，保障会议圆满完成率不低于90%，代表履行提升度不低于90%。</w:t>
            </w:r>
          </w:p>
          <w:p>
            <w:pPr>
              <w:pStyle w:val="14"/>
            </w:pPr>
            <w:r>
              <w:t>3.确保按时间进度高质量完成各项工作任务，预计6月底之前。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会议召开次数</w:t>
            </w:r>
          </w:p>
        </w:tc>
        <w:tc>
          <w:tcPr>
            <w:tcW w:w="5386" w:type="dxa"/>
            <w:vAlign w:val="center"/>
          </w:tcPr>
          <w:p>
            <w:pPr>
              <w:pStyle w:val="14"/>
            </w:pPr>
            <w:r>
              <w:t>组织召开人民代表大会会议次数</w:t>
            </w:r>
          </w:p>
        </w:tc>
        <w:tc>
          <w:tcPr>
            <w:tcW w:w="2268" w:type="dxa"/>
            <w:vAlign w:val="center"/>
          </w:tcPr>
          <w:p>
            <w:pPr>
              <w:pStyle w:val="14"/>
            </w:pPr>
            <w:r>
              <w:t>≥1次</w:t>
            </w:r>
          </w:p>
        </w:tc>
        <w:tc>
          <w:tcPr>
            <w:tcW w:w="1276" w:type="dxa"/>
            <w:vAlign w:val="center"/>
          </w:tcPr>
          <w:p>
            <w:pPr>
              <w:pStyle w:val="14"/>
            </w:pPr>
            <w:r>
              <w:t>《中华人民共和国地方各级人民代表大会和地方各级人民政府组织法》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参加会议人数</w:t>
            </w:r>
          </w:p>
        </w:tc>
        <w:tc>
          <w:tcPr>
            <w:tcW w:w="5386" w:type="dxa"/>
            <w:vAlign w:val="center"/>
          </w:tcPr>
          <w:p>
            <w:pPr>
              <w:pStyle w:val="14"/>
            </w:pPr>
            <w:r>
              <w:t>参加人民代表大会会议的人大代表人数和工作人员人数</w:t>
            </w:r>
          </w:p>
        </w:tc>
        <w:tc>
          <w:tcPr>
            <w:tcW w:w="2268" w:type="dxa"/>
            <w:vAlign w:val="center"/>
          </w:tcPr>
          <w:p>
            <w:pPr>
              <w:pStyle w:val="14"/>
            </w:pPr>
            <w:r>
              <w:t>≤304人</w:t>
            </w:r>
          </w:p>
        </w:tc>
        <w:tc>
          <w:tcPr>
            <w:tcW w:w="1276" w:type="dxa"/>
            <w:vAlign w:val="center"/>
          </w:tcPr>
          <w:p>
            <w:pPr>
              <w:pStyle w:val="14"/>
            </w:pPr>
            <w:r>
              <w:t>徐政财字[2015]71号（保定市徐水区财政局关于印发《保定市徐水区机关会议费管理办法》的通知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会议天数</w:t>
            </w:r>
          </w:p>
        </w:tc>
        <w:tc>
          <w:tcPr>
            <w:tcW w:w="5386" w:type="dxa"/>
            <w:vAlign w:val="center"/>
          </w:tcPr>
          <w:p>
            <w:pPr>
              <w:pStyle w:val="14"/>
            </w:pPr>
            <w:r>
              <w:t>组织召开人民代表大会会议的天数</w:t>
            </w:r>
          </w:p>
        </w:tc>
        <w:tc>
          <w:tcPr>
            <w:tcW w:w="2268" w:type="dxa"/>
            <w:vAlign w:val="center"/>
          </w:tcPr>
          <w:p>
            <w:pPr>
              <w:pStyle w:val="14"/>
            </w:pPr>
            <w:r>
              <w:t>≤3天</w:t>
            </w:r>
          </w:p>
        </w:tc>
        <w:tc>
          <w:tcPr>
            <w:tcW w:w="1276" w:type="dxa"/>
            <w:vAlign w:val="center"/>
          </w:tcPr>
          <w:p>
            <w:pPr>
              <w:pStyle w:val="14"/>
            </w:pPr>
            <w:r>
              <w:t>徐政财字[2015]71号（保定市徐水区财政局关于印发《保定市徐水区机关会议费管理办法》的通知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会议圆满完成率</w:t>
            </w:r>
          </w:p>
        </w:tc>
        <w:tc>
          <w:tcPr>
            <w:tcW w:w="5386" w:type="dxa"/>
            <w:vAlign w:val="center"/>
          </w:tcPr>
          <w:p>
            <w:pPr>
              <w:pStyle w:val="14"/>
            </w:pPr>
            <w:r>
              <w:t>会议圆满完成率</w:t>
            </w:r>
          </w:p>
        </w:tc>
        <w:tc>
          <w:tcPr>
            <w:tcW w:w="2268" w:type="dxa"/>
            <w:vAlign w:val="center"/>
          </w:tcPr>
          <w:p>
            <w:pPr>
              <w:pStyle w:val="14"/>
            </w:pPr>
            <w:r>
              <w:t>≥90%</w:t>
            </w:r>
          </w:p>
        </w:tc>
        <w:tc>
          <w:tcPr>
            <w:tcW w:w="1276" w:type="dxa"/>
            <w:vAlign w:val="center"/>
          </w:tcPr>
          <w:p>
            <w:pPr>
              <w:pStyle w:val="14"/>
            </w:pPr>
            <w:r>
              <w:t>《中华人民共和国地方各级人民代表大会和地方各级人民政府组织法》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会议工作完成及时率</w:t>
            </w:r>
          </w:p>
        </w:tc>
        <w:tc>
          <w:tcPr>
            <w:tcW w:w="5386" w:type="dxa"/>
            <w:vAlign w:val="center"/>
          </w:tcPr>
          <w:p>
            <w:pPr>
              <w:pStyle w:val="14"/>
            </w:pPr>
            <w:r>
              <w:t>按照文件要求及时完成会议工作完成</w:t>
            </w:r>
          </w:p>
        </w:tc>
        <w:tc>
          <w:tcPr>
            <w:tcW w:w="2268" w:type="dxa"/>
            <w:vAlign w:val="center"/>
          </w:tcPr>
          <w:p>
            <w:pPr>
              <w:pStyle w:val="14"/>
            </w:pPr>
            <w:r>
              <w:t>≥90%</w:t>
            </w:r>
          </w:p>
        </w:tc>
        <w:tc>
          <w:tcPr>
            <w:tcW w:w="1276" w:type="dxa"/>
            <w:vAlign w:val="center"/>
          </w:tcPr>
          <w:p>
            <w:pPr>
              <w:pStyle w:val="14"/>
            </w:pPr>
            <w:r>
              <w:t>《中华人民共和国地方各级人民代表大会和地方各级人民政府组织法》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会议费标准</w:t>
            </w:r>
          </w:p>
        </w:tc>
        <w:tc>
          <w:tcPr>
            <w:tcW w:w="5386" w:type="dxa"/>
            <w:vAlign w:val="center"/>
          </w:tcPr>
          <w:p>
            <w:pPr>
              <w:pStyle w:val="14"/>
            </w:pPr>
            <w:r>
              <w:t>按一类会议费开支实行限额控制</w:t>
            </w:r>
          </w:p>
        </w:tc>
        <w:tc>
          <w:tcPr>
            <w:tcW w:w="2268" w:type="dxa"/>
            <w:vAlign w:val="center"/>
          </w:tcPr>
          <w:p>
            <w:pPr>
              <w:pStyle w:val="14"/>
            </w:pPr>
            <w:r>
              <w:t>≤500元</w:t>
            </w:r>
          </w:p>
        </w:tc>
        <w:tc>
          <w:tcPr>
            <w:tcW w:w="1276" w:type="dxa"/>
            <w:vAlign w:val="center"/>
          </w:tcPr>
          <w:p>
            <w:pPr>
              <w:pStyle w:val="14"/>
            </w:pPr>
            <w:r>
              <w:t>徐政财字[2015]71号（保定市徐水区财政局关于印发《保定市徐水区机关会议费管理办法》的通知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代表履职提升度</w:t>
            </w:r>
          </w:p>
        </w:tc>
        <w:tc>
          <w:tcPr>
            <w:tcW w:w="5386" w:type="dxa"/>
            <w:vAlign w:val="center"/>
          </w:tcPr>
          <w:p>
            <w:pPr>
              <w:pStyle w:val="14"/>
            </w:pPr>
            <w:r>
              <w:t>考察代表履职能力提升情况</w:t>
            </w:r>
          </w:p>
        </w:tc>
        <w:tc>
          <w:tcPr>
            <w:tcW w:w="2268" w:type="dxa"/>
            <w:vAlign w:val="center"/>
          </w:tcPr>
          <w:p>
            <w:pPr>
              <w:pStyle w:val="14"/>
            </w:pPr>
            <w:r>
              <w:t>≥90%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人大代表满意度</w:t>
            </w:r>
          </w:p>
        </w:tc>
        <w:tc>
          <w:tcPr>
            <w:tcW w:w="5386" w:type="dxa"/>
            <w:vAlign w:val="center"/>
          </w:tcPr>
          <w:p>
            <w:pPr>
              <w:pStyle w:val="14"/>
            </w:pPr>
            <w:r>
              <w:t>人大代表更好的参政议政满意度</w:t>
            </w:r>
          </w:p>
        </w:tc>
        <w:tc>
          <w:tcPr>
            <w:tcW w:w="2268" w:type="dxa"/>
            <w:vAlign w:val="center"/>
          </w:tcPr>
          <w:p>
            <w:pPr>
              <w:pStyle w:val="14"/>
            </w:pPr>
            <w:r>
              <w:t>≥90%</w:t>
            </w:r>
          </w:p>
        </w:tc>
        <w:tc>
          <w:tcPr>
            <w:tcW w:w="1276" w:type="dxa"/>
            <w:vAlign w:val="center"/>
          </w:tcPr>
          <w:p>
            <w:pPr>
              <w:pStyle w:val="14"/>
            </w:pPr>
            <w:r>
              <w:t>依据满意度调查问卷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4、人大监督绩效目标表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13062525P00002410130F</w:t>
            </w:r>
          </w:p>
        </w:tc>
        <w:tc>
          <w:tcPr>
            <w:tcW w:w="2835" w:type="dxa"/>
            <w:vAlign w:val="center"/>
          </w:tcPr>
          <w:p>
            <w:pPr>
              <w:pStyle w:val="12"/>
            </w:pPr>
            <w:r>
              <w:t>项目名称</w:t>
            </w:r>
          </w:p>
        </w:tc>
        <w:tc>
          <w:tcPr>
            <w:tcW w:w="6095" w:type="dxa"/>
            <w:gridSpan w:val="3"/>
            <w:vAlign w:val="center"/>
          </w:tcPr>
          <w:p>
            <w:pPr>
              <w:pStyle w:val="14"/>
            </w:pPr>
            <w:r>
              <w:t>人大监督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11.88</w:t>
            </w:r>
          </w:p>
        </w:tc>
        <w:tc>
          <w:tcPr>
            <w:tcW w:w="2835" w:type="dxa"/>
            <w:vAlign w:val="center"/>
          </w:tcPr>
          <w:p>
            <w:pPr>
              <w:pStyle w:val="12"/>
            </w:pPr>
            <w:r>
              <w:t>其中：财政    资金</w:t>
            </w:r>
          </w:p>
        </w:tc>
        <w:tc>
          <w:tcPr>
            <w:tcW w:w="2551" w:type="dxa"/>
            <w:vAlign w:val="center"/>
          </w:tcPr>
          <w:p>
            <w:pPr>
              <w:pStyle w:val="14"/>
            </w:pPr>
            <w:r>
              <w:t>11.88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此项目主要是组织人大代表开展视察、调研、执法检查等代表活动不少于5次，保障人大代表参与活动比率不低于80%，提升人大代表活动的影响力，保障人大代表满意度不低于80%，用于人大代表开展监督工作。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10%</w:t>
            </w:r>
          </w:p>
        </w:tc>
        <w:tc>
          <w:tcPr>
            <w:tcW w:w="2835" w:type="dxa"/>
            <w:vAlign w:val="center"/>
          </w:tcPr>
          <w:p>
            <w:pPr>
              <w:pStyle w:val="15"/>
            </w:pPr>
            <w:r>
              <w:t>40%</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1.为了更好的人大代表参政议政履行职责。</w:t>
            </w:r>
          </w:p>
          <w:p>
            <w:pPr>
              <w:pStyle w:val="14"/>
            </w:pPr>
            <w:r>
              <w:t>2.组织人大代表开展视察、调研、执法检查等代表活动不少于5次，保障人大代表参与活动比率不低于80%，提升人大代表活动的影响力，保障人大代表满意度不低于80%。</w:t>
            </w:r>
          </w:p>
          <w:p>
            <w:pPr>
              <w:pStyle w:val="14"/>
            </w:pPr>
            <w:r>
              <w:t>3.确保按时间进度完成各项工作任务，6月底之前完成50%，12月底之前完成100%。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人大代表活动数量</w:t>
            </w:r>
          </w:p>
        </w:tc>
        <w:tc>
          <w:tcPr>
            <w:tcW w:w="5386" w:type="dxa"/>
            <w:vAlign w:val="center"/>
          </w:tcPr>
          <w:p>
            <w:pPr>
              <w:pStyle w:val="14"/>
            </w:pPr>
            <w:r>
              <w:t>人大代表调研、视察、执法检查等活动次数</w:t>
            </w:r>
          </w:p>
        </w:tc>
        <w:tc>
          <w:tcPr>
            <w:tcW w:w="2268" w:type="dxa"/>
            <w:vAlign w:val="center"/>
          </w:tcPr>
          <w:p>
            <w:pPr>
              <w:pStyle w:val="14"/>
            </w:pPr>
            <w:r>
              <w:t>≥5次</w:t>
            </w:r>
          </w:p>
        </w:tc>
        <w:tc>
          <w:tcPr>
            <w:tcW w:w="1276" w:type="dxa"/>
            <w:vAlign w:val="center"/>
          </w:tcPr>
          <w:p>
            <w:pPr>
              <w:pStyle w:val="14"/>
            </w:pPr>
            <w:r>
              <w:t>徐发[2005]37号（中共徐水县委关于批转《中共徐水县人大常委会党组关于贯彻执行中发【2005】9号、冀字【2005】29号文件精神的意见》的通知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人大代表参与活动比率</w:t>
            </w:r>
          </w:p>
        </w:tc>
        <w:tc>
          <w:tcPr>
            <w:tcW w:w="5386" w:type="dxa"/>
            <w:vAlign w:val="center"/>
          </w:tcPr>
          <w:p>
            <w:pPr>
              <w:pStyle w:val="14"/>
            </w:pPr>
            <w:r>
              <w:t>人大代表参与代表活动的人数占代表总数的比率</w:t>
            </w:r>
          </w:p>
        </w:tc>
        <w:tc>
          <w:tcPr>
            <w:tcW w:w="2268" w:type="dxa"/>
            <w:vAlign w:val="center"/>
          </w:tcPr>
          <w:p>
            <w:pPr>
              <w:pStyle w:val="14"/>
            </w:pPr>
            <w:r>
              <w:t>≥80%</w:t>
            </w:r>
          </w:p>
        </w:tc>
        <w:tc>
          <w:tcPr>
            <w:tcW w:w="1276" w:type="dxa"/>
            <w:vAlign w:val="center"/>
          </w:tcPr>
          <w:p>
            <w:pPr>
              <w:pStyle w:val="14"/>
            </w:pPr>
            <w:r>
              <w:t>徐发[2005]37号（中共徐水县委关于批转《中共徐水县人大常委会党组关于贯彻执行中发【2005】9号、冀字【2005】29号文件精神的意见》的通知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活动完成及时率</w:t>
            </w:r>
          </w:p>
        </w:tc>
        <w:tc>
          <w:tcPr>
            <w:tcW w:w="5386" w:type="dxa"/>
            <w:vAlign w:val="center"/>
          </w:tcPr>
          <w:p>
            <w:pPr>
              <w:pStyle w:val="14"/>
            </w:pPr>
            <w:r>
              <w:t>人大代表调研、视察、执法检查等活动完成时限</w:t>
            </w:r>
          </w:p>
        </w:tc>
        <w:tc>
          <w:tcPr>
            <w:tcW w:w="2268" w:type="dxa"/>
            <w:vAlign w:val="center"/>
          </w:tcPr>
          <w:p>
            <w:pPr>
              <w:pStyle w:val="14"/>
            </w:pPr>
            <w:r>
              <w:t>≥90%</w:t>
            </w:r>
          </w:p>
        </w:tc>
        <w:tc>
          <w:tcPr>
            <w:tcW w:w="1276" w:type="dxa"/>
            <w:vAlign w:val="center"/>
          </w:tcPr>
          <w:p>
            <w:pPr>
              <w:pStyle w:val="14"/>
            </w:pPr>
            <w:r>
              <w:t>徐发[2005]37号（中共徐水县委关于批转《中共徐水县人大常委会党组关于贯彻执行中发【2005】9号、冀字【2005】29号文件精神的意见》的通知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项目的成本费用</w:t>
            </w:r>
          </w:p>
        </w:tc>
        <w:tc>
          <w:tcPr>
            <w:tcW w:w="5386" w:type="dxa"/>
            <w:vAlign w:val="center"/>
          </w:tcPr>
          <w:p>
            <w:pPr>
              <w:pStyle w:val="14"/>
            </w:pPr>
            <w:r>
              <w:t>反映项目实际支出成本费用情况</w:t>
            </w:r>
          </w:p>
        </w:tc>
        <w:tc>
          <w:tcPr>
            <w:tcW w:w="2268" w:type="dxa"/>
            <w:vAlign w:val="center"/>
          </w:tcPr>
          <w:p>
            <w:pPr>
              <w:pStyle w:val="14"/>
            </w:pPr>
            <w:r>
              <w:t>≤11.88万元</w:t>
            </w:r>
          </w:p>
        </w:tc>
        <w:tc>
          <w:tcPr>
            <w:tcW w:w="1276" w:type="dxa"/>
            <w:vAlign w:val="center"/>
          </w:tcPr>
          <w:p>
            <w:pPr>
              <w:pStyle w:val="14"/>
            </w:pPr>
            <w:r>
              <w:t>徐发[2005]37号（中共徐水县委关于批转《中共徐水县人大常委会党组关于贯彻执行中发【2005】9号、冀字【2005】29号文件精神的意见》的通知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代表活动影响提升率</w:t>
            </w:r>
          </w:p>
        </w:tc>
        <w:tc>
          <w:tcPr>
            <w:tcW w:w="5386" w:type="dxa"/>
            <w:vAlign w:val="center"/>
          </w:tcPr>
          <w:p>
            <w:pPr>
              <w:pStyle w:val="14"/>
            </w:pPr>
            <w:r>
              <w:t>通过调研、视察、执法检查等活动，人大代表积极建言献策的比例</w:t>
            </w:r>
          </w:p>
        </w:tc>
        <w:tc>
          <w:tcPr>
            <w:tcW w:w="2268" w:type="dxa"/>
            <w:vAlign w:val="center"/>
          </w:tcPr>
          <w:p>
            <w:pPr>
              <w:pStyle w:val="14"/>
            </w:pPr>
            <w:r>
              <w:t>≥80%</w:t>
            </w:r>
          </w:p>
        </w:tc>
        <w:tc>
          <w:tcPr>
            <w:tcW w:w="1276" w:type="dxa"/>
            <w:vAlign w:val="center"/>
          </w:tcPr>
          <w:p>
            <w:pPr>
              <w:pStyle w:val="14"/>
            </w:pPr>
            <w:r>
              <w:t>实施方案和工作计划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人大代表满意度</w:t>
            </w:r>
          </w:p>
        </w:tc>
        <w:tc>
          <w:tcPr>
            <w:tcW w:w="5386" w:type="dxa"/>
            <w:vAlign w:val="center"/>
          </w:tcPr>
          <w:p>
            <w:pPr>
              <w:pStyle w:val="14"/>
            </w:pPr>
            <w:r>
              <w:t>人大代表更好的参政议政满意度</w:t>
            </w:r>
          </w:p>
        </w:tc>
        <w:tc>
          <w:tcPr>
            <w:tcW w:w="2268" w:type="dxa"/>
            <w:vAlign w:val="center"/>
          </w:tcPr>
          <w:p>
            <w:pPr>
              <w:pStyle w:val="14"/>
            </w:pPr>
            <w:r>
              <w:t>≥90%</w:t>
            </w:r>
          </w:p>
        </w:tc>
        <w:tc>
          <w:tcPr>
            <w:tcW w:w="1276" w:type="dxa"/>
            <w:vAlign w:val="center"/>
          </w:tcPr>
          <w:p>
            <w:pPr>
              <w:pStyle w:val="14"/>
            </w:pPr>
            <w:r>
              <w:t>依据满意度调查问卷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3.46</w:t>
            </w:r>
          </w:p>
        </w:tc>
        <w:tc>
          <w:tcPr>
            <w:tcW w:w="964" w:type="dxa"/>
            <w:vAlign w:val="center"/>
          </w:tcPr>
          <w:p>
            <w:pPr>
              <w:pStyle w:val="17"/>
            </w:pPr>
            <w:r>
              <w:t>3.46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保定市徐水区人民代表大会常务委员会办公室本级小计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3.46</w:t>
            </w:r>
          </w:p>
        </w:tc>
        <w:tc>
          <w:tcPr>
            <w:tcW w:w="964" w:type="dxa"/>
            <w:vAlign w:val="center"/>
          </w:tcPr>
          <w:p>
            <w:pPr>
              <w:pStyle w:val="17"/>
            </w:pPr>
            <w:r>
              <w:t>3.46</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16.40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100</w:t>
            </w:r>
          </w:p>
        </w:tc>
        <w:tc>
          <w:tcPr>
            <w:tcW w:w="850" w:type="dxa"/>
            <w:vAlign w:val="center"/>
          </w:tcPr>
          <w:p>
            <w:pPr>
              <w:pStyle w:val="13"/>
            </w:pPr>
            <w:r>
              <w:t>0.01</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16.40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辆</w:t>
            </w:r>
          </w:p>
        </w:tc>
        <w:tc>
          <w:tcPr>
            <w:tcW w:w="850" w:type="dxa"/>
            <w:vAlign w:val="center"/>
          </w:tcPr>
          <w:p>
            <w:pPr>
              <w:pStyle w:val="13"/>
            </w:pPr>
            <w:r>
              <w:t>3</w:t>
            </w:r>
          </w:p>
        </w:tc>
        <w:tc>
          <w:tcPr>
            <w:tcW w:w="850" w:type="dxa"/>
            <w:vAlign w:val="center"/>
          </w:tcPr>
          <w:p>
            <w:pPr>
              <w:pStyle w:val="13"/>
            </w:pPr>
            <w:r>
              <w:t>0.22</w:t>
            </w:r>
          </w:p>
        </w:tc>
        <w:tc>
          <w:tcPr>
            <w:tcW w:w="964" w:type="dxa"/>
            <w:vAlign w:val="center"/>
          </w:tcPr>
          <w:p>
            <w:pPr>
              <w:pStyle w:val="13"/>
            </w:pPr>
            <w:r>
              <w:t>0.66</w:t>
            </w:r>
          </w:p>
        </w:tc>
        <w:tc>
          <w:tcPr>
            <w:tcW w:w="964" w:type="dxa"/>
            <w:vAlign w:val="center"/>
          </w:tcPr>
          <w:p>
            <w:pPr>
              <w:pStyle w:val="13"/>
            </w:pPr>
            <w:r>
              <w:t>0.66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16.40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公用经费一</w:t>
            </w:r>
          </w:p>
        </w:tc>
        <w:tc>
          <w:tcPr>
            <w:tcW w:w="964" w:type="dxa"/>
            <w:vAlign w:val="center"/>
          </w:tcPr>
          <w:p>
            <w:pPr>
              <w:pStyle w:val="13"/>
            </w:pPr>
            <w:r>
              <w:t>16.40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升</w:t>
            </w:r>
          </w:p>
        </w:tc>
        <w:tc>
          <w:tcPr>
            <w:tcW w:w="850" w:type="dxa"/>
            <w:vAlign w:val="center"/>
          </w:tcPr>
          <w:p>
            <w:pPr>
              <w:pStyle w:val="13"/>
            </w:pPr>
            <w:r>
              <w:t>1000</w:t>
            </w:r>
          </w:p>
        </w:tc>
        <w:tc>
          <w:tcPr>
            <w:tcW w:w="850" w:type="dxa"/>
            <w:vAlign w:val="center"/>
          </w:tcPr>
          <w:p>
            <w:pPr>
              <w:pStyle w:val="13"/>
            </w:pPr>
            <w:r>
              <w:t>0.00</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保定市徐水区人民代表大会常务委员会办公室本级上年末固定资产金额为110.68万元（详见下表）。本年度拟购置固定资产总额为0.00万元，已按要求列入政府采购预算，详见政府采购预算表。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101001保定市徐水区人民代表大会常务委员会办公室本级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60.50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148</w:t>
            </w:r>
          </w:p>
        </w:tc>
        <w:tc>
          <w:tcPr>
            <w:tcW w:w="2835" w:type="dxa"/>
            <w:vAlign w:val="center"/>
          </w:tcPr>
          <w:p>
            <w:pPr>
              <w:pStyle w:val="13"/>
            </w:pPr>
            <w:r>
              <w:t>50.18</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9125B"/>
    <w:rsid w:val="00075B97"/>
    <w:rsid w:val="00097A5B"/>
    <w:rsid w:val="00182FC2"/>
    <w:rsid w:val="0019125B"/>
    <w:rsid w:val="002314D6"/>
    <w:rsid w:val="002C3354"/>
    <w:rsid w:val="004425C5"/>
    <w:rsid w:val="008238D1"/>
    <w:rsid w:val="00A6646D"/>
    <w:rsid w:val="00BC2BD0"/>
    <w:rsid w:val="00D029B6"/>
    <w:rsid w:val="00E668A7"/>
    <w:rsid w:val="76735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5"/>
    <w:unhideWhenUsed/>
    <w:uiPriority w:val="99"/>
    <w:pPr>
      <w:tabs>
        <w:tab w:val="center" w:pos="4153"/>
        <w:tab w:val="right" w:pos="8306"/>
      </w:tabs>
      <w:snapToGrid w:val="0"/>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4">
    <w:name w:val="页眉 字符"/>
    <w:basedOn w:val="8"/>
    <w:link w:val="3"/>
    <w:uiPriority w:val="99"/>
    <w:rPr>
      <w:rFonts w:eastAsia="Times New Roman"/>
      <w:sz w:val="18"/>
      <w:szCs w:val="18"/>
      <w:lang w:eastAsia="uk-UA"/>
    </w:rPr>
  </w:style>
  <w:style w:type="character" w:customStyle="1" w:styleId="25">
    <w:name w:val="页脚 字符"/>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2264</Words>
  <Characters>12910</Characters>
  <Lines>107</Lines>
  <Paragraphs>30</Paragraphs>
  <TotalTime>10</TotalTime>
  <ScaleCrop>false</ScaleCrop>
  <LinksUpToDate>false</LinksUpToDate>
  <CharactersWithSpaces>15144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2025-02-24T10:53:00Z</dcterms:created>
  <dc:creator>Lenovo</dc:creator>
  <cp:lastModifiedBy>user</cp:lastModifiedBy>
  <dcterms:modified xsi:type="dcterms:W3CDTF">2025-02-24T07:09:47Z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