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1</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1</w:t>
      </w:r>
      <w:r>
        <w:fldChar w:fldCharType="end"/>
      </w:r>
      <w:r>
        <w:rPr>
          <w:rFonts w:hint="default"/>
          <w:lang w:val="en-US"/>
        </w:rPr>
        <w:t>4</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1</w:t>
      </w:r>
      <w:r>
        <w:fldChar w:fldCharType="end"/>
      </w:r>
      <w:r>
        <w:rPr>
          <w:rFonts w:hint="default"/>
          <w:lang w:val="en-US"/>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1</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1</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1</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1</w:t>
      </w:r>
      <w:r>
        <w:fldChar w:fldCharType="end"/>
      </w:r>
      <w:r>
        <w:rPr>
          <w:rFonts w:hint="default"/>
          <w:lang w:val="en-US"/>
        </w:rPr>
        <w:t>7</w:t>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default"/>
          <w:lang w:val="en-US"/>
        </w:rPr>
        <w:t>1</w:t>
      </w:r>
      <w:r>
        <w:fldChar w:fldCharType="end"/>
      </w:r>
      <w:r>
        <w:rPr>
          <w:rFonts w:hint="default"/>
          <w:lang w:val="en-US"/>
        </w:rPr>
        <w:t>8</w:t>
      </w:r>
    </w:p>
    <w:p>
      <w:pPr>
        <w:pStyle w:val="2"/>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default"/>
          <w:lang w:val="en-US"/>
        </w:rPr>
        <w:t>3</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default"/>
          <w:lang w:val="en-US"/>
        </w:rPr>
        <w:t>3</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default"/>
          <w:lang w:val="en-US"/>
        </w:rPr>
        <w:t>3</w:t>
      </w:r>
      <w:r>
        <w:fldChar w:fldCharType="end"/>
      </w:r>
      <w:r>
        <w:rPr>
          <w:rFonts w:hint="default"/>
          <w:lang w:val="en-US"/>
        </w:rPr>
        <w:t>3</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bookmarkStart w:id="1" w:name="_GoBack"/>
      <w:bookmarkEnd w:id="1"/>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一、保定市公安局徐水区分局交通管理大队本级收支</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312.19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244.43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312.19</w:t>
            </w:r>
          </w:p>
        </w:tc>
        <w:tc>
          <w:tcPr>
            <w:tcW w:w="4535" w:type="dxa"/>
            <w:vAlign w:val="center"/>
          </w:tcPr>
          <w:p>
            <w:pPr>
              <w:pStyle w:val="14"/>
            </w:pPr>
            <w:r>
              <w:t>本年支出合计</w:t>
            </w:r>
          </w:p>
        </w:tc>
        <w:tc>
          <w:tcPr>
            <w:tcW w:w="2126" w:type="dxa"/>
            <w:vAlign w:val="center"/>
          </w:tcPr>
          <w:p>
            <w:pPr>
              <w:pStyle w:val="15"/>
            </w:pPr>
            <w:r>
              <w:t>312.19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312.19</w:t>
            </w:r>
          </w:p>
        </w:tc>
        <w:tc>
          <w:tcPr>
            <w:tcW w:w="4535" w:type="dxa"/>
            <w:vAlign w:val="center"/>
          </w:tcPr>
          <w:p>
            <w:pPr>
              <w:pStyle w:val="14"/>
            </w:pPr>
            <w:r>
              <w:t>支出总计</w:t>
            </w:r>
          </w:p>
        </w:tc>
        <w:tc>
          <w:tcPr>
            <w:tcW w:w="2126" w:type="dxa"/>
            <w:vAlign w:val="center"/>
          </w:tcPr>
          <w:p>
            <w:pPr>
              <w:pStyle w:val="15"/>
            </w:pPr>
            <w:r>
              <w:t>312.19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312.19</w:t>
            </w:r>
          </w:p>
        </w:tc>
        <w:tc>
          <w:tcPr>
            <w:tcW w:w="1134" w:type="dxa"/>
            <w:vAlign w:val="center"/>
          </w:tcPr>
          <w:p>
            <w:pPr>
              <w:pStyle w:val="15"/>
            </w:pPr>
            <w:r>
              <w:t>312.19</w:t>
            </w:r>
          </w:p>
        </w:tc>
        <w:tc>
          <w:tcPr>
            <w:tcW w:w="1134" w:type="dxa"/>
            <w:vAlign w:val="center"/>
          </w:tcPr>
          <w:p>
            <w:pPr>
              <w:pStyle w:val="15"/>
            </w:pPr>
            <w:r>
              <w:t>312.19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244.43</w:t>
            </w:r>
          </w:p>
        </w:tc>
        <w:tc>
          <w:tcPr>
            <w:tcW w:w="1134" w:type="dxa"/>
            <w:vAlign w:val="center"/>
          </w:tcPr>
          <w:p>
            <w:pPr>
              <w:pStyle w:val="11"/>
            </w:pPr>
            <w:r>
              <w:t>244.43</w:t>
            </w:r>
          </w:p>
        </w:tc>
        <w:tc>
          <w:tcPr>
            <w:tcW w:w="1134" w:type="dxa"/>
            <w:vAlign w:val="center"/>
          </w:tcPr>
          <w:p>
            <w:pPr>
              <w:pStyle w:val="11"/>
            </w:pPr>
            <w:r>
              <w:t>244.43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244.43</w:t>
            </w:r>
          </w:p>
        </w:tc>
        <w:tc>
          <w:tcPr>
            <w:tcW w:w="1134" w:type="dxa"/>
            <w:vAlign w:val="center"/>
          </w:tcPr>
          <w:p>
            <w:pPr>
              <w:pStyle w:val="11"/>
            </w:pPr>
            <w:r>
              <w:t>244.43</w:t>
            </w:r>
          </w:p>
        </w:tc>
        <w:tc>
          <w:tcPr>
            <w:tcW w:w="1134" w:type="dxa"/>
            <w:vAlign w:val="center"/>
          </w:tcPr>
          <w:p>
            <w:pPr>
              <w:pStyle w:val="11"/>
            </w:pPr>
            <w:r>
              <w:t>244.43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17.43</w:t>
            </w:r>
          </w:p>
        </w:tc>
        <w:tc>
          <w:tcPr>
            <w:tcW w:w="1134" w:type="dxa"/>
            <w:vAlign w:val="center"/>
          </w:tcPr>
          <w:p>
            <w:pPr>
              <w:pStyle w:val="11"/>
            </w:pPr>
            <w:r>
              <w:t>17.43</w:t>
            </w:r>
          </w:p>
        </w:tc>
        <w:tc>
          <w:tcPr>
            <w:tcW w:w="1134" w:type="dxa"/>
            <w:vAlign w:val="center"/>
          </w:tcPr>
          <w:p>
            <w:pPr>
              <w:pStyle w:val="11"/>
            </w:pPr>
            <w:r>
              <w:t>17.43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6</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312.19</w:t>
            </w:r>
          </w:p>
        </w:tc>
        <w:tc>
          <w:tcPr>
            <w:tcW w:w="1361" w:type="dxa"/>
            <w:vAlign w:val="center"/>
          </w:tcPr>
          <w:p>
            <w:pPr>
              <w:pStyle w:val="15"/>
            </w:pPr>
            <w:r>
              <w:t>85.19</w:t>
            </w:r>
          </w:p>
        </w:tc>
        <w:tc>
          <w:tcPr>
            <w:tcW w:w="1361" w:type="dxa"/>
            <w:vAlign w:val="center"/>
          </w:tcPr>
          <w:p>
            <w:pPr>
              <w:pStyle w:val="15"/>
            </w:pPr>
            <w:r>
              <w:t>227.00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244.43</w:t>
            </w:r>
          </w:p>
        </w:tc>
        <w:tc>
          <w:tcPr>
            <w:tcW w:w="1361" w:type="dxa"/>
            <w:vAlign w:val="center"/>
          </w:tcPr>
          <w:p>
            <w:pPr>
              <w:pStyle w:val="11"/>
            </w:pPr>
            <w:r>
              <w:t>17.43</w:t>
            </w:r>
          </w:p>
        </w:tc>
        <w:tc>
          <w:tcPr>
            <w:tcW w:w="1361" w:type="dxa"/>
            <w:vAlign w:val="center"/>
          </w:tcPr>
          <w:p>
            <w:pPr>
              <w:pStyle w:val="11"/>
            </w:pPr>
            <w:r>
              <w:t>227.00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244.43</w:t>
            </w:r>
          </w:p>
        </w:tc>
        <w:tc>
          <w:tcPr>
            <w:tcW w:w="1361" w:type="dxa"/>
            <w:vAlign w:val="center"/>
          </w:tcPr>
          <w:p>
            <w:pPr>
              <w:pStyle w:val="11"/>
            </w:pPr>
            <w:r>
              <w:t>17.43</w:t>
            </w:r>
          </w:p>
        </w:tc>
        <w:tc>
          <w:tcPr>
            <w:tcW w:w="1361" w:type="dxa"/>
            <w:vAlign w:val="center"/>
          </w:tcPr>
          <w:p>
            <w:pPr>
              <w:pStyle w:val="11"/>
            </w:pPr>
            <w:r>
              <w:t>227.00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17.43</w:t>
            </w:r>
          </w:p>
        </w:tc>
        <w:tc>
          <w:tcPr>
            <w:tcW w:w="1361" w:type="dxa"/>
            <w:vAlign w:val="center"/>
          </w:tcPr>
          <w:p>
            <w:pPr>
              <w:pStyle w:val="11"/>
            </w:pPr>
            <w:r>
              <w:t>17.43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67.64</w:t>
            </w:r>
          </w:p>
        </w:tc>
        <w:tc>
          <w:tcPr>
            <w:tcW w:w="1361" w:type="dxa"/>
            <w:vAlign w:val="center"/>
          </w:tcPr>
          <w:p>
            <w:pPr>
              <w:pStyle w:val="11"/>
            </w:pPr>
            <w:r>
              <w:t>67.64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67.64</w:t>
            </w:r>
          </w:p>
        </w:tc>
        <w:tc>
          <w:tcPr>
            <w:tcW w:w="1361" w:type="dxa"/>
            <w:vAlign w:val="center"/>
          </w:tcPr>
          <w:p>
            <w:pPr>
              <w:pStyle w:val="11"/>
            </w:pPr>
            <w:r>
              <w:t>67.64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67.64</w:t>
            </w:r>
          </w:p>
        </w:tc>
        <w:tc>
          <w:tcPr>
            <w:tcW w:w="1361" w:type="dxa"/>
            <w:vAlign w:val="center"/>
          </w:tcPr>
          <w:p>
            <w:pPr>
              <w:pStyle w:val="11"/>
            </w:pPr>
            <w:r>
              <w:t>67.64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0.12</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0.12</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0.12</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312.19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244.43</w:t>
            </w:r>
          </w:p>
        </w:tc>
        <w:tc>
          <w:tcPr>
            <w:tcW w:w="1474" w:type="dxa"/>
            <w:vAlign w:val="center"/>
          </w:tcPr>
          <w:p>
            <w:pPr>
              <w:pStyle w:val="11"/>
            </w:pPr>
            <w:r>
              <w:t>244.43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67.64</w:t>
            </w:r>
          </w:p>
        </w:tc>
        <w:tc>
          <w:tcPr>
            <w:tcW w:w="1474" w:type="dxa"/>
            <w:vAlign w:val="center"/>
          </w:tcPr>
          <w:p>
            <w:pPr>
              <w:pStyle w:val="11"/>
            </w:pPr>
            <w:r>
              <w:t>67.64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0.12</w:t>
            </w:r>
          </w:p>
        </w:tc>
        <w:tc>
          <w:tcPr>
            <w:tcW w:w="1474" w:type="dxa"/>
            <w:vAlign w:val="center"/>
          </w:tcPr>
          <w:p>
            <w:pPr>
              <w:pStyle w:val="11"/>
            </w:pPr>
            <w:r>
              <w:t>0.12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312.19</w:t>
            </w:r>
          </w:p>
        </w:tc>
        <w:tc>
          <w:tcPr>
            <w:tcW w:w="3402" w:type="dxa"/>
            <w:vAlign w:val="center"/>
          </w:tcPr>
          <w:p>
            <w:pPr>
              <w:pStyle w:val="14"/>
            </w:pPr>
            <w:r>
              <w:t>本年支出合计</w:t>
            </w:r>
          </w:p>
        </w:tc>
        <w:tc>
          <w:tcPr>
            <w:tcW w:w="1474" w:type="dxa"/>
            <w:vAlign w:val="center"/>
          </w:tcPr>
          <w:p>
            <w:pPr>
              <w:pStyle w:val="15"/>
            </w:pPr>
            <w:r>
              <w:t>312.19</w:t>
            </w:r>
          </w:p>
        </w:tc>
        <w:tc>
          <w:tcPr>
            <w:tcW w:w="1474" w:type="dxa"/>
            <w:vAlign w:val="center"/>
          </w:tcPr>
          <w:p>
            <w:pPr>
              <w:pStyle w:val="15"/>
            </w:pPr>
            <w:r>
              <w:t>312.19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312.19</w:t>
            </w:r>
          </w:p>
        </w:tc>
        <w:tc>
          <w:tcPr>
            <w:tcW w:w="3402" w:type="dxa"/>
            <w:vAlign w:val="center"/>
          </w:tcPr>
          <w:p>
            <w:pPr>
              <w:pStyle w:val="14"/>
            </w:pPr>
            <w:r>
              <w:t>支出总计</w:t>
            </w:r>
          </w:p>
        </w:tc>
        <w:tc>
          <w:tcPr>
            <w:tcW w:w="1474" w:type="dxa"/>
            <w:vAlign w:val="center"/>
          </w:tcPr>
          <w:p>
            <w:pPr>
              <w:pStyle w:val="15"/>
            </w:pPr>
            <w:r>
              <w:t>312.19</w:t>
            </w:r>
          </w:p>
        </w:tc>
        <w:tc>
          <w:tcPr>
            <w:tcW w:w="1474" w:type="dxa"/>
            <w:vAlign w:val="center"/>
          </w:tcPr>
          <w:p>
            <w:pPr>
              <w:pStyle w:val="15"/>
            </w:pPr>
            <w:r>
              <w:t>312.19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312.19</w:t>
            </w:r>
          </w:p>
        </w:tc>
        <w:tc>
          <w:tcPr>
            <w:tcW w:w="2551" w:type="dxa"/>
            <w:vAlign w:val="center"/>
          </w:tcPr>
          <w:p>
            <w:pPr>
              <w:pStyle w:val="15"/>
            </w:pPr>
            <w:r>
              <w:t>85.19</w:t>
            </w:r>
          </w:p>
        </w:tc>
        <w:tc>
          <w:tcPr>
            <w:tcW w:w="2551" w:type="dxa"/>
            <w:vAlign w:val="center"/>
          </w:tcPr>
          <w:p>
            <w:pPr>
              <w:pStyle w:val="15"/>
            </w:pPr>
            <w:r>
              <w:t>227.00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244.43</w:t>
            </w:r>
          </w:p>
        </w:tc>
        <w:tc>
          <w:tcPr>
            <w:tcW w:w="2551" w:type="dxa"/>
            <w:vAlign w:val="center"/>
          </w:tcPr>
          <w:p>
            <w:pPr>
              <w:pStyle w:val="11"/>
            </w:pPr>
            <w:r>
              <w:t>17.43</w:t>
            </w:r>
          </w:p>
        </w:tc>
        <w:tc>
          <w:tcPr>
            <w:tcW w:w="2551" w:type="dxa"/>
            <w:vAlign w:val="center"/>
          </w:tcPr>
          <w:p>
            <w:pPr>
              <w:pStyle w:val="11"/>
            </w:pPr>
            <w:r>
              <w:t>227.00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244.43</w:t>
            </w:r>
          </w:p>
        </w:tc>
        <w:tc>
          <w:tcPr>
            <w:tcW w:w="2551" w:type="dxa"/>
            <w:vAlign w:val="center"/>
          </w:tcPr>
          <w:p>
            <w:pPr>
              <w:pStyle w:val="11"/>
            </w:pPr>
            <w:r>
              <w:t>17.43</w:t>
            </w:r>
          </w:p>
        </w:tc>
        <w:tc>
          <w:tcPr>
            <w:tcW w:w="2551" w:type="dxa"/>
            <w:vAlign w:val="center"/>
          </w:tcPr>
          <w:p>
            <w:pPr>
              <w:pStyle w:val="11"/>
            </w:pPr>
            <w:r>
              <w:t>227.00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17.43</w:t>
            </w:r>
          </w:p>
        </w:tc>
        <w:tc>
          <w:tcPr>
            <w:tcW w:w="2551" w:type="dxa"/>
            <w:vAlign w:val="center"/>
          </w:tcPr>
          <w:p>
            <w:pPr>
              <w:pStyle w:val="11"/>
            </w:pPr>
            <w:r>
              <w:t>17.43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67.64</w:t>
            </w:r>
          </w:p>
        </w:tc>
        <w:tc>
          <w:tcPr>
            <w:tcW w:w="2551" w:type="dxa"/>
            <w:vAlign w:val="center"/>
          </w:tcPr>
          <w:p>
            <w:pPr>
              <w:pStyle w:val="11"/>
            </w:pPr>
            <w:r>
              <w:t>67.64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67.64</w:t>
            </w:r>
          </w:p>
        </w:tc>
        <w:tc>
          <w:tcPr>
            <w:tcW w:w="2551" w:type="dxa"/>
            <w:vAlign w:val="center"/>
          </w:tcPr>
          <w:p>
            <w:pPr>
              <w:pStyle w:val="11"/>
            </w:pPr>
            <w:r>
              <w:t>67.64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67.64</w:t>
            </w:r>
          </w:p>
        </w:tc>
        <w:tc>
          <w:tcPr>
            <w:tcW w:w="2551" w:type="dxa"/>
            <w:vAlign w:val="center"/>
          </w:tcPr>
          <w:p>
            <w:pPr>
              <w:pStyle w:val="11"/>
            </w:pPr>
            <w:r>
              <w:t>67.64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85.19</w:t>
            </w:r>
          </w:p>
        </w:tc>
        <w:tc>
          <w:tcPr>
            <w:tcW w:w="2551" w:type="dxa"/>
            <w:vAlign w:val="center"/>
          </w:tcPr>
          <w:p>
            <w:pPr>
              <w:pStyle w:val="15"/>
            </w:pPr>
            <w:r>
              <w:t>66.69</w:t>
            </w:r>
          </w:p>
        </w:tc>
        <w:tc>
          <w:tcPr>
            <w:tcW w:w="2551" w:type="dxa"/>
            <w:vAlign w:val="center"/>
          </w:tcPr>
          <w:p>
            <w:pPr>
              <w:pStyle w:val="15"/>
            </w:pPr>
            <w:r>
              <w:t>18.50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18.50</w:t>
            </w:r>
          </w:p>
        </w:tc>
        <w:tc>
          <w:tcPr>
            <w:tcW w:w="2551" w:type="dxa"/>
            <w:vAlign w:val="center"/>
          </w:tcPr>
          <w:p>
            <w:pPr>
              <w:pStyle w:val="11"/>
            </w:pPr>
          </w:p>
        </w:tc>
        <w:tc>
          <w:tcPr>
            <w:tcW w:w="2551" w:type="dxa"/>
            <w:vAlign w:val="center"/>
          </w:tcPr>
          <w:p>
            <w:pPr>
              <w:pStyle w:val="11"/>
            </w:pPr>
            <w:r>
              <w:t>18.50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6.48</w:t>
            </w:r>
          </w:p>
        </w:tc>
        <w:tc>
          <w:tcPr>
            <w:tcW w:w="2551" w:type="dxa"/>
            <w:vAlign w:val="center"/>
          </w:tcPr>
          <w:p>
            <w:pPr>
              <w:pStyle w:val="11"/>
            </w:pPr>
          </w:p>
        </w:tc>
        <w:tc>
          <w:tcPr>
            <w:tcW w:w="2551" w:type="dxa"/>
            <w:vAlign w:val="center"/>
          </w:tcPr>
          <w:p>
            <w:pPr>
              <w:pStyle w:val="11"/>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7.58</w:t>
            </w:r>
          </w:p>
        </w:tc>
        <w:tc>
          <w:tcPr>
            <w:tcW w:w="2551" w:type="dxa"/>
            <w:vAlign w:val="center"/>
          </w:tcPr>
          <w:p>
            <w:pPr>
              <w:pStyle w:val="11"/>
            </w:pPr>
          </w:p>
        </w:tc>
        <w:tc>
          <w:tcPr>
            <w:tcW w:w="2551"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3.47</w:t>
            </w:r>
          </w:p>
        </w:tc>
        <w:tc>
          <w:tcPr>
            <w:tcW w:w="2551" w:type="dxa"/>
            <w:vAlign w:val="center"/>
          </w:tcPr>
          <w:p>
            <w:pPr>
              <w:pStyle w:val="11"/>
            </w:pPr>
          </w:p>
        </w:tc>
        <w:tc>
          <w:tcPr>
            <w:tcW w:w="2551" w:type="dxa"/>
            <w:vAlign w:val="center"/>
          </w:tcPr>
          <w:p>
            <w:pPr>
              <w:pStyle w:val="11"/>
            </w:pPr>
            <w:r>
              <w:t>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65.84</w:t>
            </w:r>
          </w:p>
        </w:tc>
        <w:tc>
          <w:tcPr>
            <w:tcW w:w="2551" w:type="dxa"/>
            <w:vAlign w:val="center"/>
          </w:tcPr>
          <w:p>
            <w:pPr>
              <w:pStyle w:val="11"/>
            </w:pPr>
            <w:r>
              <w:t>65.84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保定市公安局徐水区分局交通管理大队本级2025年单位预算信息公开情况说明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按照《中华人民共和国预算法》、《地方预决算公开操作规程》和《关于进一步推进预算公开工作的实施意见》规定，现将保定市公安局徐水区分局交通管理大队本级2025年单位预算公开如下：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2025年保定市公安局徐水区分局交通管理大队依法负责全区道路交通安全管理工作，包括交通安全宣传教育、交通指挥、维护交通秩序、处理交通事故、机动车和驾驶员管理及交通警卫工作等。从源头上加强教育管理，有效预防和减少道路交通事故。保证交通有序、安全和畅通。完成全区道路交通管理工作任务，开展道路交通事故预防及专项治理工作，狠抓事故多发点段和安全隐患点段的排查治理工作，消除事故隐患，减少道路交通事故，加强城市交通管理，促进全市道路安全，确保道路安全畅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保定市公安局徐水区分局交通管理大队本级</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312.19万元，其中：一般公共预算收入312.19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保定市公安局徐水区分局交通管理大队本级年度单位预算中支出预算的总体情况。2025年支出预算312.19万元，其中基本支出85.19万元，包括人员经费66.69万元和日常公用经费18.50万元；项目支出227.00万元，主要为综合业务管理、提前下达2025年基层公检法司转移支付资金、提前下达2025年中央政法纪检监察转移支付资金。</w:t>
      </w:r>
    </w:p>
    <w:p>
      <w:pPr>
        <w:pStyle w:val="18"/>
      </w:pPr>
      <w:r>
        <w:t>3、比上年增减情况</w:t>
      </w:r>
    </w:p>
    <w:p>
      <w:pPr>
        <w:pStyle w:val="18"/>
      </w:pPr>
      <w:r>
        <w:t>2025年预算收支安排312.19万元，较2024年预算减少32.97万元，其中：基本支出增加0.01万元，主要为日常公用经费增加0.01万元。项目支出减少32.98万元，主要为2024年项目支出2022-2023年专项经费，2025年未安排。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2025年，我单位机关运行经费共计安排18.50万元，主要用于日常维修、办公用房水电费、办公用房取暖费、办公用房物业管理费等日常运行支出。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1、提前下达2025年基层公检法司转移支付资金绩效目标表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13062525P000049100063</w:t>
            </w:r>
          </w:p>
        </w:tc>
        <w:tc>
          <w:tcPr>
            <w:tcW w:w="2835" w:type="dxa"/>
            <w:vAlign w:val="center"/>
          </w:tcPr>
          <w:p>
            <w:pPr>
              <w:pStyle w:val="10"/>
            </w:pPr>
            <w:r>
              <w:t>项目名称</w:t>
            </w:r>
          </w:p>
        </w:tc>
        <w:tc>
          <w:tcPr>
            <w:tcW w:w="6095" w:type="dxa"/>
            <w:gridSpan w:val="3"/>
            <w:vAlign w:val="center"/>
          </w:tcPr>
          <w:p>
            <w:pPr>
              <w:pStyle w:val="12"/>
            </w:pPr>
            <w:r>
              <w:t>提前下达2025年基层公检法司转移支付资金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提前下达2025年基层公检法司转移支付资金，用于办案业务经费和业务装备经费支出。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1.办案业务经费，用于事故案件司法鉴定费，客观公众的保障事故当事人的权益，保障道路交通秩序。</w:t>
            </w:r>
            <w:r>
              <w:tab/>
            </w:r>
            <w:r>
              <w:tab/>
            </w:r>
            <w:r>
              <w:tab/>
            </w:r>
            <w:r>
              <w:tab/>
            </w:r>
            <w:r>
              <w:tab/>
            </w:r>
          </w:p>
          <w:p>
            <w:pPr>
              <w:pStyle w:val="12"/>
            </w:pPr>
            <w:r>
              <w:t>2.业务装备经费，用于购买警用装备，提高执法执勤人员工作效率，保障道路安全畅通。</w:t>
            </w:r>
            <w:r>
              <w:tab/>
            </w:r>
            <w:r>
              <w:tab/>
            </w:r>
            <w:r>
              <w:tab/>
            </w:r>
            <w:r>
              <w:tab/>
            </w:r>
            <w:r>
              <w:tab/>
            </w:r>
          </w:p>
          <w:p>
            <w:pPr>
              <w:pStyle w:val="12"/>
            </w:pPr>
            <w:r>
              <w:t>3.提前下达2025年基层公检法司转移支付资金21万元，用于办案业务经费和业务装备经费。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司法鉴定数量</w:t>
            </w:r>
          </w:p>
        </w:tc>
        <w:tc>
          <w:tcPr>
            <w:tcW w:w="5386" w:type="dxa"/>
            <w:vAlign w:val="center"/>
          </w:tcPr>
          <w:p>
            <w:pPr>
              <w:pStyle w:val="12"/>
            </w:pPr>
            <w:r>
              <w:t>司法鉴定案件数量</w:t>
            </w:r>
          </w:p>
        </w:tc>
        <w:tc>
          <w:tcPr>
            <w:tcW w:w="2268" w:type="dxa"/>
            <w:vAlign w:val="center"/>
          </w:tcPr>
          <w:p>
            <w:pPr>
              <w:pStyle w:val="12"/>
            </w:pPr>
            <w:r>
              <w:t>≥10次</w:t>
            </w:r>
          </w:p>
        </w:tc>
        <w:tc>
          <w:tcPr>
            <w:tcW w:w="1276" w:type="dxa"/>
            <w:vAlign w:val="center"/>
          </w:tcPr>
          <w:p>
            <w:pPr>
              <w:pStyle w:val="12"/>
            </w:pPr>
            <w:r>
              <w:t>提前下达2025年基层公检法司转移支付资金项目实施计划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警用装备的数量</w:t>
            </w:r>
          </w:p>
        </w:tc>
        <w:tc>
          <w:tcPr>
            <w:tcW w:w="5386" w:type="dxa"/>
            <w:vAlign w:val="center"/>
          </w:tcPr>
          <w:p>
            <w:pPr>
              <w:pStyle w:val="12"/>
            </w:pPr>
            <w:r>
              <w:t>购买警用装备的数量</w:t>
            </w:r>
          </w:p>
        </w:tc>
        <w:tc>
          <w:tcPr>
            <w:tcW w:w="2268" w:type="dxa"/>
            <w:vAlign w:val="center"/>
          </w:tcPr>
          <w:p>
            <w:pPr>
              <w:pStyle w:val="12"/>
            </w:pPr>
            <w:r>
              <w:t>≥1件</w:t>
            </w:r>
          </w:p>
        </w:tc>
        <w:tc>
          <w:tcPr>
            <w:tcW w:w="1276" w:type="dxa"/>
            <w:vAlign w:val="center"/>
          </w:tcPr>
          <w:p>
            <w:pPr>
              <w:pStyle w:val="12"/>
            </w:pPr>
            <w:r>
              <w:t>提前下达2025年基层公检法司转移支付资金项目实施计划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警用装备合格率</w:t>
            </w:r>
          </w:p>
        </w:tc>
        <w:tc>
          <w:tcPr>
            <w:tcW w:w="5386" w:type="dxa"/>
            <w:vAlign w:val="center"/>
          </w:tcPr>
          <w:p>
            <w:pPr>
              <w:pStyle w:val="12"/>
            </w:pPr>
            <w:r>
              <w:t>警用装备验收合格率</w:t>
            </w:r>
          </w:p>
        </w:tc>
        <w:tc>
          <w:tcPr>
            <w:tcW w:w="2268" w:type="dxa"/>
            <w:vAlign w:val="center"/>
          </w:tcPr>
          <w:p>
            <w:pPr>
              <w:pStyle w:val="12"/>
            </w:pPr>
            <w:r>
              <w:t>≥98%</w:t>
            </w:r>
          </w:p>
        </w:tc>
        <w:tc>
          <w:tcPr>
            <w:tcW w:w="1276" w:type="dxa"/>
            <w:vAlign w:val="center"/>
          </w:tcPr>
          <w:p>
            <w:pPr>
              <w:pStyle w:val="12"/>
            </w:pPr>
            <w:r>
              <w:t>提前下达2025年基层公检法司转移支付资金项目实施计划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办案业务完成率</w:t>
            </w:r>
          </w:p>
        </w:tc>
        <w:tc>
          <w:tcPr>
            <w:tcW w:w="5386" w:type="dxa"/>
            <w:vAlign w:val="center"/>
          </w:tcPr>
          <w:p>
            <w:pPr>
              <w:pStyle w:val="12"/>
            </w:pPr>
            <w:r>
              <w:t>办案业务支付完成率</w:t>
            </w:r>
          </w:p>
        </w:tc>
        <w:tc>
          <w:tcPr>
            <w:tcW w:w="2268" w:type="dxa"/>
            <w:vAlign w:val="center"/>
          </w:tcPr>
          <w:p>
            <w:pPr>
              <w:pStyle w:val="12"/>
            </w:pPr>
            <w:r>
              <w:t>≥100%</w:t>
            </w:r>
          </w:p>
        </w:tc>
        <w:tc>
          <w:tcPr>
            <w:tcW w:w="1276" w:type="dxa"/>
            <w:vAlign w:val="center"/>
          </w:tcPr>
          <w:p>
            <w:pPr>
              <w:pStyle w:val="12"/>
            </w:pPr>
            <w:r>
              <w:t>提前下达2025年基层公检法司转移支付资金项目实施计划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各项工作完成的及时率</w:t>
            </w:r>
          </w:p>
        </w:tc>
        <w:tc>
          <w:tcPr>
            <w:tcW w:w="2268" w:type="dxa"/>
            <w:vAlign w:val="center"/>
          </w:tcPr>
          <w:p>
            <w:pPr>
              <w:pStyle w:val="12"/>
            </w:pPr>
            <w:r>
              <w:t>≥95%</w:t>
            </w:r>
          </w:p>
        </w:tc>
        <w:tc>
          <w:tcPr>
            <w:tcW w:w="1276" w:type="dxa"/>
            <w:vAlign w:val="center"/>
          </w:tcPr>
          <w:p>
            <w:pPr>
              <w:pStyle w:val="12"/>
            </w:pPr>
            <w:r>
              <w:t>提前下达2025年基层公检法司转移支付资金项目实施计划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提前下达2025年基层公检法司转移支付资金成本控制率</w:t>
            </w:r>
          </w:p>
        </w:tc>
        <w:tc>
          <w:tcPr>
            <w:tcW w:w="2268" w:type="dxa"/>
            <w:vAlign w:val="center"/>
          </w:tcPr>
          <w:p>
            <w:pPr>
              <w:pStyle w:val="12"/>
            </w:pPr>
            <w:r>
              <w:t>100%</w:t>
            </w:r>
          </w:p>
        </w:tc>
        <w:tc>
          <w:tcPr>
            <w:tcW w:w="1276" w:type="dxa"/>
            <w:vAlign w:val="center"/>
          </w:tcPr>
          <w:p>
            <w:pPr>
              <w:pStyle w:val="12"/>
            </w:pPr>
            <w:r>
              <w:t>根据提前下达2025年基层公检法司转移支付资金项目实施计划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降低了重大伤亡事故发生率</w:t>
            </w:r>
          </w:p>
        </w:tc>
        <w:tc>
          <w:tcPr>
            <w:tcW w:w="5386" w:type="dxa"/>
            <w:vAlign w:val="center"/>
          </w:tcPr>
          <w:p>
            <w:pPr>
              <w:pStyle w:val="12"/>
            </w:pPr>
            <w:r>
              <w:t>降低了重大伤亡事故发生率</w:t>
            </w:r>
          </w:p>
        </w:tc>
        <w:tc>
          <w:tcPr>
            <w:tcW w:w="2268" w:type="dxa"/>
            <w:vAlign w:val="center"/>
          </w:tcPr>
          <w:p>
            <w:pPr>
              <w:pStyle w:val="12"/>
            </w:pPr>
            <w:r>
              <w:t>≥10%</w:t>
            </w:r>
          </w:p>
        </w:tc>
        <w:tc>
          <w:tcPr>
            <w:tcW w:w="1276" w:type="dxa"/>
            <w:vAlign w:val="center"/>
          </w:tcPr>
          <w:p>
            <w:pPr>
              <w:pStyle w:val="12"/>
            </w:pPr>
            <w:r>
              <w:t>上年度与本年度全年重大伤亡事故发生情况统计表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社会公众满意度指数</w:t>
            </w:r>
          </w:p>
        </w:tc>
        <w:tc>
          <w:tcPr>
            <w:tcW w:w="2268" w:type="dxa"/>
            <w:vAlign w:val="center"/>
          </w:tcPr>
          <w:p>
            <w:pPr>
              <w:pStyle w:val="12"/>
            </w:pPr>
            <w:r>
              <w:t>≥90%</w:t>
            </w:r>
          </w:p>
        </w:tc>
        <w:tc>
          <w:tcPr>
            <w:tcW w:w="1276" w:type="dxa"/>
            <w:vAlign w:val="center"/>
          </w:tcPr>
          <w:p>
            <w:pPr>
              <w:pStyle w:val="12"/>
            </w:pPr>
            <w:r>
              <w:t>依据服务对象问卷调查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2、提前下达2025年中央政法纪检监察转移支付资金绩效目标表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13062525P00004910007N</w:t>
            </w:r>
          </w:p>
        </w:tc>
        <w:tc>
          <w:tcPr>
            <w:tcW w:w="2835" w:type="dxa"/>
            <w:vAlign w:val="center"/>
          </w:tcPr>
          <w:p>
            <w:pPr>
              <w:pStyle w:val="10"/>
            </w:pPr>
            <w:r>
              <w:t>项目名称</w:t>
            </w:r>
          </w:p>
        </w:tc>
        <w:tc>
          <w:tcPr>
            <w:tcW w:w="6095" w:type="dxa"/>
            <w:gridSpan w:val="3"/>
            <w:vAlign w:val="center"/>
          </w:tcPr>
          <w:p>
            <w:pPr>
              <w:pStyle w:val="12"/>
            </w:pPr>
            <w:r>
              <w:t>提前下达2025年中央政法纪检监察转移支付资金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w:t>
            </w:r>
          </w:p>
        </w:tc>
        <w:tc>
          <w:tcPr>
            <w:tcW w:w="2835" w:type="dxa"/>
            <w:vAlign w:val="center"/>
          </w:tcPr>
          <w:p>
            <w:pPr>
              <w:pStyle w:val="10"/>
            </w:pPr>
            <w:r>
              <w:t>其中：财政    资金</w:t>
            </w:r>
          </w:p>
        </w:tc>
        <w:tc>
          <w:tcPr>
            <w:tcW w:w="2551" w:type="dxa"/>
            <w:vAlign w:val="center"/>
          </w:tcPr>
          <w:p>
            <w:pPr>
              <w:pStyle w:val="12"/>
            </w:pPr>
            <w:r>
              <w:t>46.00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提前下达2025年中央政法纪检监察转移支付资金，用于业务装备经费和办案业务经费支出。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1.业务装备经费，用于购买警用装备，提高执法执勤人员工作效率，保障道路安全畅通。</w:t>
            </w:r>
            <w:r>
              <w:tab/>
            </w:r>
            <w:r>
              <w:tab/>
            </w:r>
            <w:r>
              <w:tab/>
            </w:r>
            <w:r>
              <w:tab/>
            </w:r>
            <w:r>
              <w:tab/>
            </w:r>
          </w:p>
          <w:p>
            <w:pPr>
              <w:pStyle w:val="12"/>
            </w:pPr>
          </w:p>
          <w:p>
            <w:pPr>
              <w:pStyle w:val="12"/>
            </w:pPr>
            <w:r>
              <w:t>2.提前下达2025年中央政法纪检监察转移支付资金46万元，用于办案业务经费和业务装备经费。</w:t>
            </w:r>
            <w:r>
              <w:tab/>
            </w:r>
            <w:r>
              <w:tab/>
            </w:r>
            <w:r>
              <w:tab/>
            </w:r>
            <w:r>
              <w:tab/>
            </w:r>
            <w:r>
              <w:tab/>
            </w:r>
            <w:r>
              <w:tab/>
            </w:r>
          </w:p>
          <w:p>
            <w:pPr>
              <w:pStyle w:val="12"/>
            </w:pPr>
          </w:p>
          <w:p>
            <w:pPr>
              <w:pStyle w:val="12"/>
            </w:pPr>
            <w:r>
              <w:t>3.办案业务经费，用于事故案件司法鉴定费，客观公众的保障事故当事人的权益，保障道路交通秩序。</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司法鉴定数量</w:t>
            </w:r>
          </w:p>
        </w:tc>
        <w:tc>
          <w:tcPr>
            <w:tcW w:w="5386" w:type="dxa"/>
            <w:vAlign w:val="center"/>
          </w:tcPr>
          <w:p>
            <w:pPr>
              <w:pStyle w:val="12"/>
            </w:pPr>
            <w:r>
              <w:t>司法鉴定案件数量</w:t>
            </w:r>
          </w:p>
        </w:tc>
        <w:tc>
          <w:tcPr>
            <w:tcW w:w="2268" w:type="dxa"/>
            <w:vAlign w:val="center"/>
          </w:tcPr>
          <w:p>
            <w:pPr>
              <w:pStyle w:val="12"/>
            </w:pPr>
            <w:r>
              <w:t>≥10次</w:t>
            </w:r>
          </w:p>
        </w:tc>
        <w:tc>
          <w:tcPr>
            <w:tcW w:w="1276" w:type="dxa"/>
            <w:vAlign w:val="center"/>
          </w:tcPr>
          <w:p>
            <w:pPr>
              <w:pStyle w:val="12"/>
            </w:pPr>
            <w:r>
              <w:t>提前下达2025年中央政法纪检监察转移支付资金项目实施计划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警用装备的数量</w:t>
            </w:r>
          </w:p>
        </w:tc>
        <w:tc>
          <w:tcPr>
            <w:tcW w:w="5386" w:type="dxa"/>
            <w:vAlign w:val="center"/>
          </w:tcPr>
          <w:p>
            <w:pPr>
              <w:pStyle w:val="12"/>
            </w:pPr>
            <w:r>
              <w:t>购买警用装备的数量</w:t>
            </w:r>
          </w:p>
        </w:tc>
        <w:tc>
          <w:tcPr>
            <w:tcW w:w="2268" w:type="dxa"/>
            <w:vAlign w:val="center"/>
          </w:tcPr>
          <w:p>
            <w:pPr>
              <w:pStyle w:val="12"/>
            </w:pPr>
            <w:r>
              <w:t>≥1件</w:t>
            </w:r>
          </w:p>
        </w:tc>
        <w:tc>
          <w:tcPr>
            <w:tcW w:w="1276" w:type="dxa"/>
            <w:vAlign w:val="center"/>
          </w:tcPr>
          <w:p>
            <w:pPr>
              <w:pStyle w:val="12"/>
            </w:pPr>
            <w:r>
              <w:t>提前下达2025年中央政法纪检监察转移支付资金项目实施计划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警用装备合格率</w:t>
            </w:r>
          </w:p>
        </w:tc>
        <w:tc>
          <w:tcPr>
            <w:tcW w:w="5386" w:type="dxa"/>
            <w:vAlign w:val="center"/>
          </w:tcPr>
          <w:p>
            <w:pPr>
              <w:pStyle w:val="12"/>
            </w:pPr>
            <w:r>
              <w:t>警用装备验收合格率</w:t>
            </w:r>
          </w:p>
        </w:tc>
        <w:tc>
          <w:tcPr>
            <w:tcW w:w="2268" w:type="dxa"/>
            <w:vAlign w:val="center"/>
          </w:tcPr>
          <w:p>
            <w:pPr>
              <w:pStyle w:val="12"/>
            </w:pPr>
            <w:r>
              <w:t>≥98%</w:t>
            </w:r>
          </w:p>
        </w:tc>
        <w:tc>
          <w:tcPr>
            <w:tcW w:w="1276" w:type="dxa"/>
            <w:vAlign w:val="center"/>
          </w:tcPr>
          <w:p>
            <w:pPr>
              <w:pStyle w:val="12"/>
            </w:pPr>
            <w:r>
              <w:t>提前下达2025年中央政法纪检监察转移支付资金项目实施计划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办案业务完成率</w:t>
            </w:r>
          </w:p>
        </w:tc>
        <w:tc>
          <w:tcPr>
            <w:tcW w:w="5386" w:type="dxa"/>
            <w:vAlign w:val="center"/>
          </w:tcPr>
          <w:p>
            <w:pPr>
              <w:pStyle w:val="12"/>
            </w:pPr>
            <w:r>
              <w:t>办案业务支付完成率</w:t>
            </w:r>
          </w:p>
        </w:tc>
        <w:tc>
          <w:tcPr>
            <w:tcW w:w="2268" w:type="dxa"/>
            <w:vAlign w:val="center"/>
          </w:tcPr>
          <w:p>
            <w:pPr>
              <w:pStyle w:val="12"/>
            </w:pPr>
            <w:r>
              <w:t>≥100%</w:t>
            </w:r>
          </w:p>
        </w:tc>
        <w:tc>
          <w:tcPr>
            <w:tcW w:w="1276" w:type="dxa"/>
            <w:vAlign w:val="center"/>
          </w:tcPr>
          <w:p>
            <w:pPr>
              <w:pStyle w:val="12"/>
            </w:pPr>
            <w:r>
              <w:t>提前下达2025年中央政法纪检监察转移支付资金项目实施计划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各项工作完成的及时率</w:t>
            </w:r>
          </w:p>
        </w:tc>
        <w:tc>
          <w:tcPr>
            <w:tcW w:w="2268" w:type="dxa"/>
            <w:vAlign w:val="center"/>
          </w:tcPr>
          <w:p>
            <w:pPr>
              <w:pStyle w:val="12"/>
            </w:pPr>
            <w:r>
              <w:t>≥95%</w:t>
            </w:r>
          </w:p>
        </w:tc>
        <w:tc>
          <w:tcPr>
            <w:tcW w:w="1276" w:type="dxa"/>
            <w:vAlign w:val="center"/>
          </w:tcPr>
          <w:p>
            <w:pPr>
              <w:pStyle w:val="12"/>
            </w:pPr>
            <w:r>
              <w:t>提前下达2025年中央政法纪检监察转移支付资金项目实施计划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成本控制金额</w:t>
            </w:r>
          </w:p>
        </w:tc>
        <w:tc>
          <w:tcPr>
            <w:tcW w:w="5386" w:type="dxa"/>
            <w:vAlign w:val="center"/>
          </w:tcPr>
          <w:p>
            <w:pPr>
              <w:pStyle w:val="12"/>
            </w:pPr>
            <w:r>
              <w:t>提前下达2025年中央政法纪检监察转移支付资金成本控制金额</w:t>
            </w:r>
          </w:p>
        </w:tc>
        <w:tc>
          <w:tcPr>
            <w:tcW w:w="2268" w:type="dxa"/>
            <w:vAlign w:val="center"/>
          </w:tcPr>
          <w:p>
            <w:pPr>
              <w:pStyle w:val="12"/>
            </w:pPr>
            <w:r>
              <w:t>≤46万元</w:t>
            </w:r>
          </w:p>
        </w:tc>
        <w:tc>
          <w:tcPr>
            <w:tcW w:w="1276" w:type="dxa"/>
            <w:vAlign w:val="center"/>
          </w:tcPr>
          <w:p>
            <w:pPr>
              <w:pStyle w:val="12"/>
            </w:pPr>
            <w:r>
              <w:t>提前下达2025年中央政法纪检监察转移支付资金项目实施计划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降低了重大伤亡事故发生率</w:t>
            </w:r>
          </w:p>
        </w:tc>
        <w:tc>
          <w:tcPr>
            <w:tcW w:w="5386" w:type="dxa"/>
            <w:vAlign w:val="center"/>
          </w:tcPr>
          <w:p>
            <w:pPr>
              <w:pStyle w:val="12"/>
            </w:pPr>
            <w:r>
              <w:t>降低了重大伤亡事故发生率</w:t>
            </w:r>
          </w:p>
        </w:tc>
        <w:tc>
          <w:tcPr>
            <w:tcW w:w="2268" w:type="dxa"/>
            <w:vAlign w:val="center"/>
          </w:tcPr>
          <w:p>
            <w:pPr>
              <w:pStyle w:val="12"/>
            </w:pPr>
            <w:r>
              <w:t>≥10%</w:t>
            </w:r>
          </w:p>
        </w:tc>
        <w:tc>
          <w:tcPr>
            <w:tcW w:w="1276" w:type="dxa"/>
            <w:vAlign w:val="center"/>
          </w:tcPr>
          <w:p>
            <w:pPr>
              <w:pStyle w:val="12"/>
            </w:pPr>
            <w:r>
              <w:t>上年度与本年度全年重大伤亡事故发生情况统计表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社会公众满意度指数</w:t>
            </w:r>
          </w:p>
        </w:tc>
        <w:tc>
          <w:tcPr>
            <w:tcW w:w="2268" w:type="dxa"/>
            <w:vAlign w:val="center"/>
          </w:tcPr>
          <w:p>
            <w:pPr>
              <w:pStyle w:val="12"/>
            </w:pPr>
            <w:r>
              <w:t>≥90%</w:t>
            </w:r>
          </w:p>
        </w:tc>
        <w:tc>
          <w:tcPr>
            <w:tcW w:w="1276" w:type="dxa"/>
            <w:vAlign w:val="center"/>
          </w:tcPr>
          <w:p>
            <w:pPr>
              <w:pStyle w:val="12"/>
            </w:pPr>
            <w:r>
              <w:t>依据服务对象问卷调查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3、综合业务管理绩效目标表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13062525P00002410094U</w:t>
            </w:r>
          </w:p>
        </w:tc>
        <w:tc>
          <w:tcPr>
            <w:tcW w:w="2835" w:type="dxa"/>
            <w:vAlign w:val="center"/>
          </w:tcPr>
          <w:p>
            <w:pPr>
              <w:pStyle w:val="10"/>
            </w:pPr>
            <w:r>
              <w:t>项目名称</w:t>
            </w:r>
          </w:p>
        </w:tc>
        <w:tc>
          <w:tcPr>
            <w:tcW w:w="6095" w:type="dxa"/>
            <w:gridSpan w:val="3"/>
            <w:vAlign w:val="center"/>
          </w:tcPr>
          <w:p>
            <w:pPr>
              <w:pStyle w:val="12"/>
            </w:pPr>
            <w:r>
              <w:t>综合业务管理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该项目资金160万元，全部用于综合业务管理。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1.该项目金额160万元，2025年6月底支出进度达到50%，2025年12月底支出进度达到100%。</w:t>
            </w:r>
          </w:p>
          <w:p>
            <w:pPr>
              <w:pStyle w:val="12"/>
            </w:pPr>
            <w:r>
              <w:t>2.文明交通宣传覆盖面继续扩大，文明交通建设持续推进，农村交通安全宣传教育及中小学生安全防护知识传播逐步普及，提升城市道路管理工作水平，提高广大驾驶员守规意识，降低交通事故、道路违章发生率，确保我区道路交通管理工作有序开展。</w:t>
            </w:r>
          </w:p>
          <w:p>
            <w:pPr>
              <w:pStyle w:val="12"/>
            </w:pPr>
            <w:r>
              <w:t>3.组织城区及农村交通安全宣传教育及中小学生安全防护知识传播宣传活动次数在30次以上。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购买勤杂服务人次</w:t>
            </w:r>
          </w:p>
        </w:tc>
        <w:tc>
          <w:tcPr>
            <w:tcW w:w="5386" w:type="dxa"/>
            <w:vAlign w:val="center"/>
          </w:tcPr>
          <w:p>
            <w:pPr>
              <w:pStyle w:val="12"/>
            </w:pPr>
            <w:r>
              <w:t>反映购买勤杂服务人次</w:t>
            </w:r>
          </w:p>
        </w:tc>
        <w:tc>
          <w:tcPr>
            <w:tcW w:w="2268" w:type="dxa"/>
            <w:vAlign w:val="center"/>
          </w:tcPr>
          <w:p>
            <w:pPr>
              <w:pStyle w:val="12"/>
            </w:pPr>
            <w:r>
              <w:t>18人</w:t>
            </w:r>
          </w:p>
        </w:tc>
        <w:tc>
          <w:tcPr>
            <w:tcW w:w="1276" w:type="dxa"/>
            <w:vAlign w:val="center"/>
          </w:tcPr>
          <w:p>
            <w:pPr>
              <w:pStyle w:val="12"/>
            </w:pPr>
            <w:r>
              <w:t>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考勤出勤率</w:t>
            </w:r>
          </w:p>
        </w:tc>
        <w:tc>
          <w:tcPr>
            <w:tcW w:w="5386" w:type="dxa"/>
            <w:vAlign w:val="center"/>
          </w:tcPr>
          <w:p>
            <w:pPr>
              <w:pStyle w:val="12"/>
            </w:pPr>
            <w:r>
              <w:t>反映勤杂、保安、保洁人员出勤率</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资金支付频次</w:t>
            </w:r>
          </w:p>
        </w:tc>
        <w:tc>
          <w:tcPr>
            <w:tcW w:w="5386" w:type="dxa"/>
            <w:vAlign w:val="center"/>
          </w:tcPr>
          <w:p>
            <w:pPr>
              <w:pStyle w:val="12"/>
            </w:pPr>
            <w:r>
              <w:t>反映向第三方公司支付工资的频次</w:t>
            </w:r>
          </w:p>
        </w:tc>
        <w:tc>
          <w:tcPr>
            <w:tcW w:w="2268" w:type="dxa"/>
            <w:vAlign w:val="center"/>
          </w:tcPr>
          <w:p>
            <w:pPr>
              <w:pStyle w:val="12"/>
            </w:pPr>
            <w:r>
              <w:t>12次</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综合业务机关运转费用总成本</w:t>
            </w:r>
          </w:p>
        </w:tc>
        <w:tc>
          <w:tcPr>
            <w:tcW w:w="5386" w:type="dxa"/>
            <w:vAlign w:val="center"/>
          </w:tcPr>
          <w:p>
            <w:pPr>
              <w:pStyle w:val="12"/>
            </w:pPr>
            <w:r>
              <w:t>反映综合业务机关运转费用总成本</w:t>
            </w:r>
          </w:p>
        </w:tc>
        <w:tc>
          <w:tcPr>
            <w:tcW w:w="2268" w:type="dxa"/>
            <w:vAlign w:val="center"/>
          </w:tcPr>
          <w:p>
            <w:pPr>
              <w:pStyle w:val="12"/>
            </w:pPr>
            <w:r>
              <w:t>≤160万元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组织宣传活动次数</w:t>
            </w:r>
          </w:p>
        </w:tc>
        <w:tc>
          <w:tcPr>
            <w:tcW w:w="5386" w:type="dxa"/>
            <w:vAlign w:val="center"/>
          </w:tcPr>
          <w:p>
            <w:pPr>
              <w:pStyle w:val="12"/>
            </w:pPr>
            <w:r>
              <w:t>反映城区及农村交通安全宣传教育宣传活动次数</w:t>
            </w:r>
          </w:p>
        </w:tc>
        <w:tc>
          <w:tcPr>
            <w:tcW w:w="2268" w:type="dxa"/>
            <w:vAlign w:val="center"/>
          </w:tcPr>
          <w:p>
            <w:pPr>
              <w:pStyle w:val="12"/>
            </w:pPr>
            <w:r>
              <w:t>≥30次</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反映公众安全感指数</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20.76</w:t>
            </w:r>
          </w:p>
        </w:tc>
        <w:tc>
          <w:tcPr>
            <w:tcW w:w="964" w:type="dxa"/>
            <w:vAlign w:val="center"/>
          </w:tcPr>
          <w:p>
            <w:pPr>
              <w:pStyle w:val="15"/>
            </w:pPr>
            <w:r>
              <w:t>20.76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保定市公安局徐水区分局交通管理大队本级小计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20.76</w:t>
            </w:r>
          </w:p>
        </w:tc>
        <w:tc>
          <w:tcPr>
            <w:tcW w:w="964" w:type="dxa"/>
            <w:vAlign w:val="center"/>
          </w:tcPr>
          <w:p>
            <w:pPr>
              <w:pStyle w:val="15"/>
            </w:pPr>
            <w:r>
              <w:t>20.76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0.43</w:t>
            </w:r>
          </w:p>
        </w:tc>
        <w:tc>
          <w:tcPr>
            <w:tcW w:w="964" w:type="dxa"/>
            <w:vAlign w:val="center"/>
          </w:tcPr>
          <w:p>
            <w:pPr>
              <w:pStyle w:val="11"/>
            </w:pPr>
            <w:r>
              <w:t>0.85</w:t>
            </w:r>
          </w:p>
        </w:tc>
        <w:tc>
          <w:tcPr>
            <w:tcW w:w="964" w:type="dxa"/>
            <w:vAlign w:val="center"/>
          </w:tcPr>
          <w:p>
            <w:pPr>
              <w:pStyle w:val="11"/>
            </w:pPr>
            <w:r>
              <w:t>0.85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0.42</w:t>
            </w:r>
          </w:p>
        </w:tc>
        <w:tc>
          <w:tcPr>
            <w:tcW w:w="964" w:type="dxa"/>
            <w:vAlign w:val="center"/>
          </w:tcPr>
          <w:p>
            <w:pPr>
              <w:pStyle w:val="11"/>
            </w:pPr>
            <w:r>
              <w:t>1.68</w:t>
            </w:r>
          </w:p>
        </w:tc>
        <w:tc>
          <w:tcPr>
            <w:tcW w:w="964" w:type="dxa"/>
            <w:vAlign w:val="center"/>
          </w:tcPr>
          <w:p>
            <w:pPr>
              <w:pStyle w:val="11"/>
            </w:pPr>
            <w:r>
              <w:t>1.68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0.44</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0.43</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0.44</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0.43</w:t>
            </w:r>
          </w:p>
        </w:tc>
        <w:tc>
          <w:tcPr>
            <w:tcW w:w="964" w:type="dxa"/>
            <w:vAlign w:val="center"/>
          </w:tcPr>
          <w:p>
            <w:pPr>
              <w:pStyle w:val="11"/>
            </w:pPr>
            <w:r>
              <w:t>0.86</w:t>
            </w:r>
          </w:p>
        </w:tc>
        <w:tc>
          <w:tcPr>
            <w:tcW w:w="964" w:type="dxa"/>
            <w:vAlign w:val="center"/>
          </w:tcPr>
          <w:p>
            <w:pPr>
              <w:pStyle w:val="11"/>
            </w:pPr>
            <w:r>
              <w:t>0.86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0.17</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2.20</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0.34</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0.43</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0.43</w:t>
            </w:r>
          </w:p>
        </w:tc>
        <w:tc>
          <w:tcPr>
            <w:tcW w:w="964" w:type="dxa"/>
            <w:vAlign w:val="center"/>
          </w:tcPr>
          <w:p>
            <w:pPr>
              <w:pStyle w:val="11"/>
            </w:pPr>
            <w:r>
              <w:t>2.56</w:t>
            </w:r>
          </w:p>
        </w:tc>
        <w:tc>
          <w:tcPr>
            <w:tcW w:w="964" w:type="dxa"/>
            <w:vAlign w:val="center"/>
          </w:tcPr>
          <w:p>
            <w:pPr>
              <w:pStyle w:val="11"/>
            </w:pPr>
            <w:r>
              <w:t>2.56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3.05</w:t>
            </w:r>
          </w:p>
        </w:tc>
        <w:tc>
          <w:tcPr>
            <w:tcW w:w="964" w:type="dxa"/>
            <w:vAlign w:val="center"/>
          </w:tcPr>
          <w:p>
            <w:pPr>
              <w:pStyle w:val="11"/>
            </w:pPr>
            <w:r>
              <w:t>3.05</w:t>
            </w:r>
          </w:p>
        </w:tc>
        <w:tc>
          <w:tcPr>
            <w:tcW w:w="964" w:type="dxa"/>
            <w:vAlign w:val="center"/>
          </w:tcPr>
          <w:p>
            <w:pPr>
              <w:pStyle w:val="11"/>
            </w:pPr>
            <w:r>
              <w:t>3.05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0.04</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9</w:t>
            </w:r>
          </w:p>
        </w:tc>
        <w:tc>
          <w:tcPr>
            <w:tcW w:w="850" w:type="dxa"/>
            <w:vAlign w:val="center"/>
          </w:tcPr>
          <w:p>
            <w:pPr>
              <w:pStyle w:val="11"/>
            </w:pPr>
            <w:r>
              <w:t>0.03</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19</w:t>
            </w:r>
          </w:p>
        </w:tc>
        <w:tc>
          <w:tcPr>
            <w:tcW w:w="850" w:type="dxa"/>
            <w:vAlign w:val="center"/>
          </w:tcPr>
          <w:p>
            <w:pPr>
              <w:pStyle w:val="11"/>
            </w:pPr>
            <w:r>
              <w:t>0.07</w:t>
            </w:r>
          </w:p>
        </w:tc>
        <w:tc>
          <w:tcPr>
            <w:tcW w:w="964" w:type="dxa"/>
            <w:vAlign w:val="center"/>
          </w:tcPr>
          <w:p>
            <w:pPr>
              <w:pStyle w:val="11"/>
            </w:pPr>
            <w:r>
              <w:t>1.24</w:t>
            </w:r>
          </w:p>
        </w:tc>
        <w:tc>
          <w:tcPr>
            <w:tcW w:w="964" w:type="dxa"/>
            <w:vAlign w:val="center"/>
          </w:tcPr>
          <w:p>
            <w:pPr>
              <w:pStyle w:val="11"/>
            </w:pPr>
            <w:r>
              <w:t>1.24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12</w:t>
            </w:r>
          </w:p>
        </w:tc>
        <w:tc>
          <w:tcPr>
            <w:tcW w:w="850" w:type="dxa"/>
            <w:vAlign w:val="center"/>
          </w:tcPr>
          <w:p>
            <w:pPr>
              <w:pStyle w:val="11"/>
            </w:pPr>
            <w:r>
              <w:t>0.02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w:t>
            </w:r>
          </w:p>
        </w:tc>
        <w:tc>
          <w:tcPr>
            <w:tcW w:w="850" w:type="dxa"/>
            <w:vAlign w:val="center"/>
          </w:tcPr>
          <w:p>
            <w:pPr>
              <w:pStyle w:val="11"/>
            </w:pPr>
            <w:r>
              <w:t>0.02</w:t>
            </w:r>
          </w:p>
        </w:tc>
        <w:tc>
          <w:tcPr>
            <w:tcW w:w="964" w:type="dxa"/>
            <w:vAlign w:val="center"/>
          </w:tcPr>
          <w:p>
            <w:pPr>
              <w:pStyle w:val="11"/>
            </w:pPr>
            <w:r>
              <w:t>0.02</w:t>
            </w:r>
          </w:p>
        </w:tc>
        <w:tc>
          <w:tcPr>
            <w:tcW w:w="964" w:type="dxa"/>
            <w:vAlign w:val="center"/>
          </w:tcPr>
          <w:p>
            <w:pPr>
              <w:pStyle w:val="11"/>
            </w:pPr>
            <w:r>
              <w:t>0.02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6</w:t>
            </w:r>
          </w:p>
        </w:tc>
        <w:tc>
          <w:tcPr>
            <w:tcW w:w="850" w:type="dxa"/>
            <w:vAlign w:val="center"/>
          </w:tcPr>
          <w:p>
            <w:pPr>
              <w:pStyle w:val="11"/>
            </w:pPr>
            <w:r>
              <w:t>0.05</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2</w:t>
            </w:r>
          </w:p>
        </w:tc>
        <w:tc>
          <w:tcPr>
            <w:tcW w:w="850" w:type="dxa"/>
            <w:vAlign w:val="center"/>
          </w:tcPr>
          <w:p>
            <w:pPr>
              <w:pStyle w:val="11"/>
            </w:pPr>
            <w:r>
              <w:t>0.04</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w:t>
            </w:r>
          </w:p>
        </w:tc>
        <w:tc>
          <w:tcPr>
            <w:tcW w:w="850" w:type="dxa"/>
            <w:vAlign w:val="center"/>
          </w:tcPr>
          <w:p>
            <w:pPr>
              <w:pStyle w:val="11"/>
            </w:pPr>
            <w:r>
              <w:t>0.07</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12</w:t>
            </w:r>
          </w:p>
        </w:tc>
        <w:tc>
          <w:tcPr>
            <w:tcW w:w="850" w:type="dxa"/>
            <w:vAlign w:val="center"/>
          </w:tcPr>
          <w:p>
            <w:pPr>
              <w:pStyle w:val="11"/>
            </w:pPr>
            <w:r>
              <w:t>0.06</w:t>
            </w:r>
          </w:p>
        </w:tc>
        <w:tc>
          <w:tcPr>
            <w:tcW w:w="964" w:type="dxa"/>
            <w:vAlign w:val="center"/>
          </w:tcPr>
          <w:p>
            <w:pPr>
              <w:pStyle w:val="11"/>
            </w:pPr>
            <w:r>
              <w:t>0.71</w:t>
            </w:r>
          </w:p>
        </w:tc>
        <w:tc>
          <w:tcPr>
            <w:tcW w:w="964" w:type="dxa"/>
            <w:vAlign w:val="center"/>
          </w:tcPr>
          <w:p>
            <w:pPr>
              <w:pStyle w:val="11"/>
            </w:pPr>
            <w:r>
              <w:t>0.71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0.01</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35</w:t>
            </w:r>
          </w:p>
        </w:tc>
        <w:tc>
          <w:tcPr>
            <w:tcW w:w="850" w:type="dxa"/>
            <w:vAlign w:val="center"/>
          </w:tcPr>
          <w:p>
            <w:pPr>
              <w:pStyle w:val="11"/>
            </w:pPr>
            <w:r>
              <w:t>0.01</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w:t>
            </w:r>
          </w:p>
        </w:tc>
        <w:tc>
          <w:tcPr>
            <w:tcW w:w="850" w:type="dxa"/>
            <w:vAlign w:val="center"/>
          </w:tcPr>
          <w:p>
            <w:pPr>
              <w:pStyle w:val="11"/>
            </w:pPr>
            <w:r>
              <w:t>0.11</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三人沙发</w:t>
            </w:r>
          </w:p>
        </w:tc>
        <w:tc>
          <w:tcPr>
            <w:tcW w:w="1134" w:type="dxa"/>
            <w:vAlign w:val="center"/>
          </w:tcPr>
          <w:p>
            <w:pPr>
              <w:pStyle w:val="12"/>
            </w:pPr>
            <w:r>
              <w:t>A05010401</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0.12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单人沙发</w:t>
            </w:r>
          </w:p>
        </w:tc>
        <w:tc>
          <w:tcPr>
            <w:tcW w:w="1134" w:type="dxa"/>
            <w:vAlign w:val="center"/>
          </w:tcPr>
          <w:p>
            <w:pPr>
              <w:pStyle w:val="12"/>
            </w:pPr>
            <w:r>
              <w:t>A05010402</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0.07</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11</w:t>
            </w:r>
          </w:p>
        </w:tc>
        <w:tc>
          <w:tcPr>
            <w:tcW w:w="850" w:type="dxa"/>
            <w:vAlign w:val="center"/>
          </w:tcPr>
          <w:p>
            <w:pPr>
              <w:pStyle w:val="11"/>
            </w:pPr>
            <w:r>
              <w:t>0.06</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综合业务管理</w:t>
            </w:r>
          </w:p>
        </w:tc>
        <w:tc>
          <w:tcPr>
            <w:tcW w:w="964" w:type="dxa"/>
            <w:vAlign w:val="center"/>
          </w:tcPr>
          <w:p>
            <w:pPr>
              <w:pStyle w:val="11"/>
            </w:pPr>
            <w:r>
              <w:t>160.00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0.97</w:t>
            </w:r>
          </w:p>
        </w:tc>
        <w:tc>
          <w:tcPr>
            <w:tcW w:w="964" w:type="dxa"/>
            <w:vAlign w:val="center"/>
          </w:tcPr>
          <w:p>
            <w:pPr>
              <w:pStyle w:val="11"/>
            </w:pPr>
            <w:r>
              <w:t>0.97</w:t>
            </w:r>
          </w:p>
        </w:tc>
        <w:tc>
          <w:tcPr>
            <w:tcW w:w="964" w:type="dxa"/>
            <w:vAlign w:val="center"/>
          </w:tcPr>
          <w:p>
            <w:pPr>
              <w:pStyle w:val="11"/>
            </w:pPr>
            <w:r>
              <w:t>0.97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0.97</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保定市公安局徐水区分局交通管理大队本级上年末固定资产金额为1323.98万元（详见下表）。本年度拟购置固定资产总额为0.00万元，已按要求列入政府采购预算，详见政府采购预算表。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1323.98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2706</w:t>
            </w:r>
          </w:p>
        </w:tc>
        <w:tc>
          <w:tcPr>
            <w:tcW w:w="2835" w:type="dxa"/>
            <w:vAlign w:val="center"/>
          </w:tcPr>
          <w:p>
            <w:pPr>
              <w:pStyle w:val="11"/>
            </w:pPr>
            <w:r>
              <w:t>84.67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23</w:t>
            </w:r>
          </w:p>
        </w:tc>
        <w:tc>
          <w:tcPr>
            <w:tcW w:w="2835"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15</w:t>
            </w:r>
          </w:p>
        </w:tc>
        <w:tc>
          <w:tcPr>
            <w:tcW w:w="2835" w:type="dxa"/>
            <w:vAlign w:val="center"/>
          </w:tcPr>
          <w:p>
            <w:pPr>
              <w:pStyle w:val="11"/>
            </w:pPr>
            <w:r>
              <w:t>233.99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3069</w:t>
            </w:r>
          </w:p>
        </w:tc>
        <w:tc>
          <w:tcPr>
            <w:tcW w:w="2835" w:type="dxa"/>
            <w:vAlign w:val="center"/>
          </w:tcPr>
          <w:p>
            <w:pPr>
              <w:pStyle w:val="11"/>
            </w:pPr>
            <w:r>
              <w:t>705.32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76F3B"/>
    <w:rsid w:val="13A31570"/>
    <w:rsid w:val="43B30916"/>
    <w:rsid w:val="555A57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7</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2025-02-24T10:17:00Z</dcterms:created>
  <dc:creator>Lenovo</dc:creator>
  <cp:lastModifiedBy>user</cp:lastModifiedBy>
  <dcterms:modified xsi:type="dcterms:W3CDTF">2025-02-24T06:23:57Z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7021E2189C9340AFB12A0EA2B805F299</vt:lpwstr>
  </property>
</Properties>
</file>