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lang w:val="en-US" w:eastAsia="zh-CN"/>
        </w:rPr>
        <w:t>单位预算收支总表...........................................................................................................................................</w:t>
      </w:r>
      <w:r>
        <w:rPr>
          <w:rFonts w:hint="default" w:ascii="Times New Roman" w:hAnsi="Times New Roman" w:eastAsia="方正仿宋_GBK" w:cs="Times New Roman"/>
          <w:sz w:val="28"/>
          <w:szCs w:val="28"/>
          <w:vertAlign w:val="baseline"/>
          <w:lang w:val="en-US" w:eastAsia="zh-CN"/>
        </w:rPr>
        <w:t>1</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ascii="方正仿宋_GBK" w:hAnsi="方正仿宋_GBK" w:eastAsia="方正仿宋_GBK" w:cs="方正仿宋_GBK"/>
          <w:sz w:val="28"/>
          <w:szCs w:val="28"/>
          <w:lang w:val="en-US" w:eastAsia="zh-CN"/>
        </w:rPr>
        <w:t>单位预算收入总表...........................................................................................................................................</w:t>
      </w:r>
      <w:r>
        <w:rPr>
          <w:rFonts w:hint="default"/>
          <w:sz w:val="28"/>
          <w:szCs w:val="28"/>
          <w:lang w:val="en-US" w:eastAsia="zh-CN"/>
        </w:rPr>
        <w:t>3</w:t>
      </w:r>
    </w:p>
    <w:p>
      <w:pPr>
        <w:keepNext w:val="0"/>
        <w:keepLines w:val="0"/>
        <w:pageBreakBefore w:val="0"/>
        <w:widowControl/>
        <w:kinsoku/>
        <w:wordWrap/>
        <w:overflowPunct/>
        <w:topLinePunct w:val="0"/>
        <w:autoSpaceDE/>
        <w:autoSpaceDN/>
        <w:bidi w:val="0"/>
        <w:adjustRightInd/>
        <w:snapToGrid/>
        <w:ind w:left="557" w:leftChars="232" w:firstLine="0" w:firstLineChars="0"/>
        <w:textAlignment w:val="auto"/>
        <w:rPr>
          <w:rFonts w:hint="default" w:ascii="Times New Roman" w:hAnsi="Times New Roman" w:eastAsia="方正仿宋_GBK" w:cs="Times New Roman"/>
          <w:sz w:val="28"/>
          <w:szCs w:val="28"/>
          <w:vertAlign w:val="baseline"/>
          <w:lang w:val="en-US" w:eastAsia="zh-CN"/>
        </w:rPr>
      </w:pPr>
      <w:r>
        <w:rPr>
          <w:rFonts w:hint="eastAsia" w:ascii="方正仿宋_GBK" w:hAnsi="方正仿宋_GBK" w:eastAsia="方正仿宋_GBK" w:cs="方正仿宋_GBK"/>
          <w:sz w:val="28"/>
          <w:szCs w:val="28"/>
          <w:lang w:val="en-US" w:eastAsia="zh-CN"/>
        </w:rPr>
        <w:t>单位预算支出总表...........................................................................................................................................</w:t>
      </w:r>
      <w:r>
        <w:rPr>
          <w:rFonts w:hint="default" w:ascii="Times New Roman" w:hAnsi="Times New Roman" w:eastAsia="方正仿宋_GBK" w:cs="Times New Roman"/>
          <w:sz w:val="28"/>
          <w:szCs w:val="28"/>
          <w:vertAlign w:val="baseline"/>
          <w:lang w:val="en-US" w:eastAsia="zh-CN"/>
        </w:rPr>
        <w:t>5</w:t>
      </w:r>
    </w:p>
    <w:p>
      <w:pPr>
        <w:keepNext w:val="0"/>
        <w:keepLines w:val="0"/>
        <w:pageBreakBefore w:val="0"/>
        <w:widowControl/>
        <w:kinsoku/>
        <w:wordWrap/>
        <w:overflowPunct/>
        <w:topLinePunct w:val="0"/>
        <w:autoSpaceDE/>
        <w:autoSpaceDN/>
        <w:bidi w:val="0"/>
        <w:adjustRightInd/>
        <w:snapToGrid/>
        <w:ind w:left="557" w:leftChars="232" w:firstLine="0" w:firstLineChars="0"/>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单位预算财政拨款收支总表</w:t>
      </w:r>
      <w:r>
        <w:rPr>
          <w:rFonts w:hint="eastAsia" w:ascii="方正仿宋_GBK" w:hAnsi="方正仿宋_GBK" w:eastAsia="方正仿宋_GBK" w:cs="方正仿宋_GBK"/>
          <w:sz w:val="28"/>
          <w:szCs w:val="28"/>
          <w:lang w:val="en-US" w:eastAsia="zh-CN"/>
        </w:rPr>
        <w:t>..............................................................................................................................</w:t>
      </w:r>
      <w:r>
        <w:rPr>
          <w:rFonts w:hint="eastAsia" w:ascii="Times New Roman" w:hAnsi="Times New Roman" w:eastAsia="方正仿宋_GBK" w:cs="Times New Roman"/>
          <w:sz w:val="28"/>
          <w:szCs w:val="28"/>
          <w:vertAlign w:val="baseline"/>
          <w:lang w:val="en-US" w:eastAsia="zh-CN"/>
        </w:rPr>
        <w:t>7</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方正仿宋_GBK" w:hAnsi="方正仿宋_GBK" w:eastAsia="方正仿宋_GBK" w:cs="方正仿宋_GBK"/>
          <w:sz w:val="28"/>
          <w:szCs w:val="28"/>
          <w:lang w:val="en-US"/>
        </w:rPr>
      </w:pPr>
      <w:r>
        <w:rPr>
          <w:rFonts w:hint="eastAsia" w:ascii="方正仿宋_GBK" w:hAnsi="方正仿宋_GBK" w:eastAsia="方正仿宋_GBK" w:cs="方正仿宋_GBK"/>
          <w:sz w:val="28"/>
          <w:szCs w:val="28"/>
          <w:vertAlign w:val="baseline"/>
          <w:lang w:val="en-US" w:eastAsia="zh-CN"/>
        </w:rPr>
        <w:t>单位预算一般公共预算财政拨款支出表</w:t>
      </w:r>
      <w:r>
        <w:rPr>
          <w:rFonts w:hint="eastAsia" w:ascii="方正仿宋_GBK" w:hAnsi="方正仿宋_GBK" w:eastAsia="方正仿宋_GBK" w:cs="方正仿宋_GBK"/>
          <w:sz w:val="28"/>
          <w:szCs w:val="28"/>
          <w:lang w:val="en-US" w:eastAsia="zh-CN"/>
        </w:rPr>
        <w:t>...........................................................................................................</w:t>
      </w:r>
      <w:r>
        <w:rPr>
          <w:rFonts w:hint="eastAsia" w:ascii="Times New Roman" w:hAnsi="Times New Roman" w:eastAsia="方正仿宋_GBK" w:cs="Times New Roman"/>
          <w:sz w:val="28"/>
          <w:szCs w:val="28"/>
          <w:vertAlign w:val="baseline"/>
          <w:lang w:val="en-US" w:eastAsia="zh-CN"/>
        </w:rPr>
        <w:t>10</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方正仿宋_GBK" w:hAnsi="方正仿宋_GBK" w:eastAsia="方正仿宋_GBK" w:cs="方正仿宋_GBK"/>
          <w:sz w:val="28"/>
          <w:szCs w:val="28"/>
          <w:lang w:val="en-US"/>
        </w:rPr>
      </w:pPr>
      <w:r>
        <w:rPr>
          <w:rFonts w:hint="eastAsia" w:ascii="方正仿宋_GBK" w:hAnsi="方正仿宋_GBK" w:eastAsia="方正仿宋_GBK" w:cs="方正仿宋_GBK"/>
          <w:sz w:val="28"/>
          <w:szCs w:val="28"/>
          <w:vertAlign w:val="baseline"/>
          <w:lang w:val="en-US" w:eastAsia="zh-CN"/>
        </w:rPr>
        <w:t>单位预算一般公共预算财政拨款基本支出表</w:t>
      </w:r>
      <w:r>
        <w:rPr>
          <w:rFonts w:hint="eastAsia" w:ascii="方正仿宋_GBK" w:hAnsi="方正仿宋_GBK" w:eastAsia="方正仿宋_GBK" w:cs="方正仿宋_GBK"/>
          <w:sz w:val="28"/>
          <w:szCs w:val="28"/>
          <w:lang w:val="en-US" w:eastAsia="zh-CN"/>
        </w:rPr>
        <w:t>....................................................................................................</w:t>
      </w:r>
      <w:r>
        <w:rPr>
          <w:rFonts w:hint="default" w:ascii="Times New Roman" w:hAnsi="Times New Roman" w:eastAsia="方正仿宋_GBK" w:cs="Times New Roman"/>
          <w:sz w:val="28"/>
          <w:szCs w:val="28"/>
          <w:lang w:val="en-US" w:eastAsia="zh-CN"/>
        </w:rPr>
        <w:t>11</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方正仿宋_GBK" w:hAnsi="方正仿宋_GBK" w:eastAsia="方正仿宋_GBK" w:cs="方正仿宋_GBK"/>
          <w:sz w:val="28"/>
          <w:szCs w:val="28"/>
          <w:lang w:val="en-US"/>
        </w:rPr>
      </w:pPr>
      <w:r>
        <w:rPr>
          <w:rFonts w:hint="eastAsia" w:ascii="方正仿宋_GBK" w:hAnsi="方正仿宋_GBK" w:eastAsia="方正仿宋_GBK" w:cs="方正仿宋_GBK"/>
          <w:sz w:val="28"/>
          <w:szCs w:val="28"/>
          <w:lang w:eastAsia="zh-CN"/>
        </w:rPr>
        <w:t>单位预算政府性基金预算财政拨款支出表</w:t>
      </w:r>
      <w:r>
        <w:rPr>
          <w:rFonts w:hint="eastAsia" w:ascii="方正仿宋_GBK" w:hAnsi="方正仿宋_GBK" w:eastAsia="方正仿宋_GBK" w:cs="方正仿宋_GBK"/>
          <w:sz w:val="28"/>
          <w:szCs w:val="28"/>
          <w:lang w:val="en-US" w:eastAsia="zh-CN"/>
        </w:rPr>
        <w:t>.......................................................................................................</w:t>
      </w:r>
      <w:r>
        <w:rPr>
          <w:rFonts w:hint="default" w:ascii="Times New Roman" w:hAnsi="Times New Roman" w:eastAsia="方正仿宋_GBK" w:cs="Times New Roman"/>
          <w:sz w:val="28"/>
          <w:szCs w:val="28"/>
          <w:lang w:val="en-US" w:eastAsia="zh-CN"/>
        </w:rPr>
        <w:t>13</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单位预算国有资本经营预算财政拨款支出表</w:t>
      </w:r>
      <w:r>
        <w:rPr>
          <w:rFonts w:hint="eastAsia" w:ascii="方正仿宋_GBK" w:hAnsi="方正仿宋_GBK" w:eastAsia="方正仿宋_GBK" w:cs="方正仿宋_GBK"/>
          <w:sz w:val="28"/>
          <w:szCs w:val="28"/>
          <w:lang w:val="en-US" w:eastAsia="zh-CN"/>
        </w:rPr>
        <w:t>....................................................................................................</w:t>
      </w:r>
      <w:r>
        <w:rPr>
          <w:rFonts w:hint="default" w:ascii="Times New Roman" w:hAnsi="Times New Roman" w:eastAsia="方正仿宋_GBK" w:cs="Times New Roman"/>
          <w:sz w:val="28"/>
          <w:szCs w:val="28"/>
          <w:lang w:val="en-US" w:eastAsia="zh-CN"/>
        </w:rPr>
        <w:t>14</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lang w:eastAsia="zh-CN"/>
        </w:rPr>
        <w:t>单位预算财政拨款“三公”经费支出表</w:t>
      </w:r>
      <w:r>
        <w:rPr>
          <w:rFonts w:hint="eastAsia" w:ascii="方正仿宋_GBK" w:hAnsi="方正仿宋_GBK" w:eastAsia="方正仿宋_GBK" w:cs="方正仿宋_GBK"/>
          <w:sz w:val="28"/>
          <w:szCs w:val="28"/>
          <w:lang w:val="en-US" w:eastAsia="zh-CN"/>
        </w:rPr>
        <w:t>...........................................................................................................</w:t>
      </w:r>
      <w:r>
        <w:rPr>
          <w:rFonts w:hint="default" w:ascii="Times New Roman" w:hAnsi="Times New Roman" w:eastAsia="方正仿宋_GBK" w:cs="Times New Roman"/>
          <w:sz w:val="28"/>
          <w:szCs w:val="28"/>
          <w:lang w:val="en-US" w:eastAsia="zh-CN"/>
        </w:rPr>
        <w:t>15</w:t>
      </w:r>
    </w:p>
    <w:p>
      <w:pPr>
        <w:spacing w:before="0" w:after="0" w:line="240" w:lineRule="auto"/>
        <w:ind w:firstLine="0"/>
        <w:jc w:val="left"/>
        <w:outlineLvl w:val="9"/>
        <w:rPr>
          <w:u w:val="dotted"/>
        </w:rPr>
      </w:pPr>
      <w:r>
        <w:rPr>
          <w:rFonts w:hint="eastAsia" w:ascii="方正楷体_GBK" w:hAnsi="方正楷体_GBK" w:eastAsia="方正楷体_GBK" w:cs="方正楷体_GBK"/>
          <w:b/>
          <w:color w:val="000000"/>
          <w:sz w:val="28"/>
          <w:u w:val="dotted"/>
          <w:lang w:val="en-US" w:eastAsia="zh-CN"/>
        </w:rPr>
        <w:t>单位</w:t>
      </w:r>
      <w:r>
        <w:rPr>
          <w:rFonts w:ascii="方正楷体_GBK" w:hAnsi="方正楷体_GBK" w:eastAsia="方正楷体_GBK" w:cs="方正楷体_GBK"/>
          <w:b/>
          <w:color w:val="000000"/>
          <w:sz w:val="28"/>
          <w:u w:val="dotted"/>
        </w:rPr>
        <w:t>预算信息公开情况说明</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lang w:val="en-US" w:eastAsia="zh-CN"/>
        </w:rPr>
        <w:t>一、单位职责及机构设置情况........................................................................................................................</w:t>
      </w:r>
      <w:r>
        <w:rPr>
          <w:rFonts w:hint="default" w:ascii="Times New Roman" w:hAnsi="Times New Roman" w:eastAsia="方正仿宋_GBK" w:cs="Times New Roman"/>
          <w:sz w:val="28"/>
          <w:szCs w:val="28"/>
          <w:lang w:val="en-US" w:eastAsia="zh-CN"/>
        </w:rPr>
        <w:t>16</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lang w:val="en-US" w:eastAsia="zh-CN"/>
        </w:rPr>
        <w:t>二、单位预算安排的总体情况........................................................................................................................</w:t>
      </w:r>
      <w:r>
        <w:rPr>
          <w:rFonts w:hint="default" w:ascii="Times New Roman" w:hAnsi="Times New Roman" w:eastAsia="方正仿宋_GBK" w:cs="Times New Roman"/>
          <w:sz w:val="28"/>
          <w:szCs w:val="28"/>
          <w:lang w:val="en-US" w:eastAsia="zh-CN"/>
        </w:rPr>
        <w:t>17</w:t>
      </w:r>
      <w:bookmarkStart w:id="1" w:name="_GoBack"/>
      <w:bookmarkEnd w:id="1"/>
    </w:p>
    <w:p>
      <w:pPr>
        <w:pStyle w:val="2"/>
        <w:keepNext w:val="0"/>
        <w:keepLines w:val="0"/>
        <w:pageBreakBefore w:val="0"/>
        <w:widowControl/>
        <w:tabs>
          <w:tab w:val="right" w:leader="dot" w:pos="14562"/>
        </w:tabs>
        <w:kinsoku/>
        <w:wordWrap/>
        <w:overflowPunct/>
        <w:topLinePunct w:val="0"/>
        <w:autoSpaceDE/>
        <w:autoSpaceDN/>
        <w:bidi w:val="0"/>
        <w:adjustRightInd/>
        <w:snapToGrid/>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三、机关运行经费安排情况...........................................................................................................................</w:t>
      </w:r>
      <w:r>
        <w:rPr>
          <w:rFonts w:hint="default" w:ascii="Times New Roman" w:hAnsi="Times New Roman" w:cs="Times New Roman"/>
          <w:sz w:val="28"/>
          <w:szCs w:val="28"/>
          <w:lang w:val="en-US" w:eastAsia="zh-CN"/>
        </w:rPr>
        <w:t>17</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四、财政拨款“三公”经费预算情况及增减变化原因......................................................................................</w:t>
      </w:r>
      <w:r>
        <w:rPr>
          <w:rFonts w:hint="default" w:ascii="Times New Roman" w:hAnsi="Times New Roman" w:eastAsia="方正仿宋_GBK" w:cs="Times New Roman"/>
          <w:sz w:val="28"/>
          <w:szCs w:val="28"/>
          <w:lang w:val="en-US" w:eastAsia="zh-CN"/>
        </w:rPr>
        <w:t>18</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五、单位项目预算安排情况及绩效目标标.......................................................................................................</w:t>
      </w:r>
      <w:r>
        <w:rPr>
          <w:rFonts w:hint="default" w:ascii="Times New Roman" w:hAnsi="Times New Roman" w:eastAsia="方正仿宋_GBK" w:cs="Times New Roman"/>
          <w:sz w:val="28"/>
          <w:szCs w:val="28"/>
          <w:vertAlign w:val="baseline"/>
          <w:lang w:val="en-US" w:eastAsia="zh-CN"/>
        </w:rPr>
        <w:t>18</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sz w:val="28"/>
          <w:szCs w:val="28"/>
          <w:lang w:val="en-US" w:eastAsia="zh-CN"/>
        </w:rPr>
      </w:pPr>
      <w:r>
        <w:rPr>
          <w:rFonts w:hint="eastAsia" w:ascii="方正仿宋_GBK" w:hAnsi="方正仿宋_GBK" w:eastAsia="方正仿宋_GBK" w:cs="方正仿宋_GBK"/>
          <w:sz w:val="28"/>
          <w:szCs w:val="28"/>
          <w:lang w:val="en-US" w:eastAsia="zh-CN"/>
        </w:rPr>
        <w:t>六、政府采购预算情况..................................................................................................................................</w:t>
      </w:r>
      <w:r>
        <w:rPr>
          <w:rFonts w:hint="default" w:ascii="Times New Roman" w:hAnsi="Times New Roman" w:eastAsia="方正仿宋_GBK" w:cs="Times New Roman"/>
          <w:sz w:val="28"/>
          <w:szCs w:val="28"/>
          <w:vertAlign w:val="baseline"/>
          <w:lang w:val="en-US" w:eastAsia="zh-CN"/>
        </w:rPr>
        <w:t>19</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lang w:val="en-US" w:eastAsia="zh-CN"/>
        </w:rPr>
        <w:t>七、国有资产信息.........................................................................................................................................</w:t>
      </w:r>
      <w:r>
        <w:rPr>
          <w:rFonts w:hint="default" w:ascii="Times New Roman" w:hAnsi="Times New Roman" w:eastAsia="方正仿宋_GBK" w:cs="Times New Roman"/>
          <w:sz w:val="28"/>
          <w:szCs w:val="28"/>
          <w:vertAlign w:val="baseline"/>
          <w:lang w:val="en-US" w:eastAsia="zh-CN"/>
        </w:rPr>
        <w:t>19</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八、名词解释...............................................................................................................................................</w:t>
      </w:r>
      <w:r>
        <w:rPr>
          <w:rFonts w:hint="default" w:ascii="Times New Roman" w:hAnsi="Times New Roman" w:eastAsia="方正仿宋_GBK" w:cs="Times New Roman"/>
          <w:sz w:val="28"/>
          <w:szCs w:val="28"/>
          <w:lang w:val="en-US" w:eastAsia="zh-CN"/>
        </w:rPr>
        <w:t>20</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九、其他需要说明的事项..............................................................................................................................</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vertAlign w:val="baseline"/>
          <w:lang w:val="en-US" w:eastAsia="zh-CN"/>
        </w:rPr>
        <w:t>1</w:t>
      </w:r>
    </w:p>
    <w:p>
      <w:pPr>
        <w:pStyle w:val="2"/>
        <w:tabs>
          <w:tab w:val="right" w:leader="dot" w:pos="14562"/>
        </w:tabs>
      </w:pPr>
      <w:r>
        <w:fldChar w:fldCharType="begin"/>
      </w:r>
      <w:r>
        <w:instrText xml:space="preserve">TOC \o "3-3" \h \z \u</w:instrText>
      </w:r>
      <w:r>
        <w:fldChar w:fldCharType="separate"/>
      </w:r>
    </w:p>
    <w:p>
      <w:pPr>
        <w:pStyle w:val="2"/>
        <w:tabs>
          <w:tab w:val="right" w:leader="dot" w:pos="14562"/>
        </w:tabs>
      </w:pPr>
      <w:r>
        <w:fldChar w:fldCharType="end"/>
      </w: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一、保定市徐水区市场建设服务中心本级收支预算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521001保定市徐水区市场建设服务中心本级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611.67</w:t>
            </w:r>
          </w:p>
        </w:tc>
        <w:tc>
          <w:tcPr>
            <w:tcW w:w="4535" w:type="dxa"/>
            <w:vAlign w:val="center"/>
          </w:tcPr>
          <w:p>
            <w:pPr>
              <w:pStyle w:val="12"/>
            </w:pPr>
            <w:r>
              <w:t>一、一般公共服务支出</w:t>
            </w:r>
          </w:p>
        </w:tc>
        <w:tc>
          <w:tcPr>
            <w:tcW w:w="2126" w:type="dxa"/>
            <w:vAlign w:val="center"/>
          </w:tcPr>
          <w:p>
            <w:pPr>
              <w:pStyle w:val="11"/>
            </w:pPr>
            <w:r>
              <w:t>454.07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96.54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18.21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42.86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611.67</w:t>
            </w:r>
          </w:p>
        </w:tc>
        <w:tc>
          <w:tcPr>
            <w:tcW w:w="4535" w:type="dxa"/>
            <w:vAlign w:val="center"/>
          </w:tcPr>
          <w:p>
            <w:pPr>
              <w:pStyle w:val="14"/>
            </w:pPr>
            <w:r>
              <w:t>本年支出合计</w:t>
            </w:r>
          </w:p>
        </w:tc>
        <w:tc>
          <w:tcPr>
            <w:tcW w:w="2126" w:type="dxa"/>
            <w:vAlign w:val="center"/>
          </w:tcPr>
          <w:p>
            <w:pPr>
              <w:pStyle w:val="15"/>
            </w:pPr>
            <w:r>
              <w:t>611.67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611.67</w:t>
            </w:r>
          </w:p>
        </w:tc>
        <w:tc>
          <w:tcPr>
            <w:tcW w:w="4535" w:type="dxa"/>
            <w:vAlign w:val="center"/>
          </w:tcPr>
          <w:p>
            <w:pPr>
              <w:pStyle w:val="14"/>
            </w:pPr>
            <w:r>
              <w:t>支出总计</w:t>
            </w:r>
          </w:p>
        </w:tc>
        <w:tc>
          <w:tcPr>
            <w:tcW w:w="2126" w:type="dxa"/>
            <w:vAlign w:val="center"/>
          </w:tcPr>
          <w:p>
            <w:pPr>
              <w:pStyle w:val="15"/>
            </w:pPr>
            <w:r>
              <w:t>611.67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521001保定市徐水区市场建设服务中心本级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611.67</w:t>
            </w:r>
          </w:p>
        </w:tc>
        <w:tc>
          <w:tcPr>
            <w:tcW w:w="1134" w:type="dxa"/>
            <w:vAlign w:val="center"/>
          </w:tcPr>
          <w:p>
            <w:pPr>
              <w:pStyle w:val="15"/>
            </w:pPr>
            <w:r>
              <w:t>611.67</w:t>
            </w:r>
          </w:p>
        </w:tc>
        <w:tc>
          <w:tcPr>
            <w:tcW w:w="1134" w:type="dxa"/>
            <w:vAlign w:val="center"/>
          </w:tcPr>
          <w:p>
            <w:pPr>
              <w:pStyle w:val="15"/>
            </w:pPr>
            <w:r>
              <w:t>611.67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454.07</w:t>
            </w:r>
          </w:p>
        </w:tc>
        <w:tc>
          <w:tcPr>
            <w:tcW w:w="1134" w:type="dxa"/>
            <w:vAlign w:val="center"/>
          </w:tcPr>
          <w:p>
            <w:pPr>
              <w:pStyle w:val="11"/>
            </w:pPr>
            <w:r>
              <w:t>454.07</w:t>
            </w:r>
          </w:p>
        </w:tc>
        <w:tc>
          <w:tcPr>
            <w:tcW w:w="1134" w:type="dxa"/>
            <w:vAlign w:val="center"/>
          </w:tcPr>
          <w:p>
            <w:pPr>
              <w:pStyle w:val="11"/>
            </w:pPr>
            <w:r>
              <w:t>454.07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20138</w:t>
            </w:r>
          </w:p>
        </w:tc>
        <w:tc>
          <w:tcPr>
            <w:tcW w:w="1559" w:type="dxa"/>
            <w:vAlign w:val="center"/>
          </w:tcPr>
          <w:p>
            <w:pPr>
              <w:pStyle w:val="12"/>
            </w:pPr>
            <w:r>
              <w:t>市场监督管理事务</w:t>
            </w:r>
          </w:p>
        </w:tc>
        <w:tc>
          <w:tcPr>
            <w:tcW w:w="1134" w:type="dxa"/>
            <w:vAlign w:val="center"/>
          </w:tcPr>
          <w:p>
            <w:pPr>
              <w:pStyle w:val="11"/>
            </w:pPr>
            <w:r>
              <w:t>454.07</w:t>
            </w:r>
          </w:p>
        </w:tc>
        <w:tc>
          <w:tcPr>
            <w:tcW w:w="1134" w:type="dxa"/>
            <w:vAlign w:val="center"/>
          </w:tcPr>
          <w:p>
            <w:pPr>
              <w:pStyle w:val="11"/>
            </w:pPr>
            <w:r>
              <w:t>454.07</w:t>
            </w:r>
          </w:p>
        </w:tc>
        <w:tc>
          <w:tcPr>
            <w:tcW w:w="1134" w:type="dxa"/>
            <w:vAlign w:val="center"/>
          </w:tcPr>
          <w:p>
            <w:pPr>
              <w:pStyle w:val="11"/>
            </w:pPr>
            <w:r>
              <w:t>454.07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2013850</w:t>
            </w:r>
          </w:p>
        </w:tc>
        <w:tc>
          <w:tcPr>
            <w:tcW w:w="1559" w:type="dxa"/>
            <w:vAlign w:val="center"/>
          </w:tcPr>
          <w:p>
            <w:pPr>
              <w:pStyle w:val="12"/>
            </w:pPr>
            <w:r>
              <w:t>事业运行</w:t>
            </w:r>
          </w:p>
        </w:tc>
        <w:tc>
          <w:tcPr>
            <w:tcW w:w="1134" w:type="dxa"/>
            <w:vAlign w:val="center"/>
          </w:tcPr>
          <w:p>
            <w:pPr>
              <w:pStyle w:val="11"/>
            </w:pPr>
            <w:r>
              <w:t>454.07</w:t>
            </w:r>
          </w:p>
        </w:tc>
        <w:tc>
          <w:tcPr>
            <w:tcW w:w="1134" w:type="dxa"/>
            <w:vAlign w:val="center"/>
          </w:tcPr>
          <w:p>
            <w:pPr>
              <w:pStyle w:val="11"/>
            </w:pPr>
            <w:r>
              <w:t>454.07</w:t>
            </w:r>
          </w:p>
        </w:tc>
        <w:tc>
          <w:tcPr>
            <w:tcW w:w="1134" w:type="dxa"/>
            <w:vAlign w:val="center"/>
          </w:tcPr>
          <w:p>
            <w:pPr>
              <w:pStyle w:val="11"/>
            </w:pPr>
            <w:r>
              <w:t>454.07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96.54</w:t>
            </w:r>
          </w:p>
        </w:tc>
        <w:tc>
          <w:tcPr>
            <w:tcW w:w="1134" w:type="dxa"/>
            <w:vAlign w:val="center"/>
          </w:tcPr>
          <w:p>
            <w:pPr>
              <w:pStyle w:val="11"/>
            </w:pPr>
            <w:r>
              <w:t>96.54</w:t>
            </w:r>
          </w:p>
        </w:tc>
        <w:tc>
          <w:tcPr>
            <w:tcW w:w="1134" w:type="dxa"/>
            <w:vAlign w:val="center"/>
          </w:tcPr>
          <w:p>
            <w:pPr>
              <w:pStyle w:val="11"/>
            </w:pPr>
            <w:r>
              <w:t>96.54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96.54</w:t>
            </w:r>
          </w:p>
        </w:tc>
        <w:tc>
          <w:tcPr>
            <w:tcW w:w="1134" w:type="dxa"/>
            <w:vAlign w:val="center"/>
          </w:tcPr>
          <w:p>
            <w:pPr>
              <w:pStyle w:val="11"/>
            </w:pPr>
            <w:r>
              <w:t>96.54</w:t>
            </w:r>
          </w:p>
        </w:tc>
        <w:tc>
          <w:tcPr>
            <w:tcW w:w="1134" w:type="dxa"/>
            <w:vAlign w:val="center"/>
          </w:tcPr>
          <w:p>
            <w:pPr>
              <w:pStyle w:val="11"/>
            </w:pPr>
            <w:r>
              <w:t>96.54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18.69</w:t>
            </w:r>
          </w:p>
        </w:tc>
        <w:tc>
          <w:tcPr>
            <w:tcW w:w="1134" w:type="dxa"/>
            <w:vAlign w:val="center"/>
          </w:tcPr>
          <w:p>
            <w:pPr>
              <w:pStyle w:val="11"/>
            </w:pPr>
            <w:r>
              <w:t>18.69</w:t>
            </w:r>
          </w:p>
        </w:tc>
        <w:tc>
          <w:tcPr>
            <w:tcW w:w="1134" w:type="dxa"/>
            <w:vAlign w:val="center"/>
          </w:tcPr>
          <w:p>
            <w:pPr>
              <w:pStyle w:val="11"/>
            </w:pPr>
            <w:r>
              <w:t>18.69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51.90</w:t>
            </w:r>
          </w:p>
        </w:tc>
        <w:tc>
          <w:tcPr>
            <w:tcW w:w="1134" w:type="dxa"/>
            <w:vAlign w:val="center"/>
          </w:tcPr>
          <w:p>
            <w:pPr>
              <w:pStyle w:val="11"/>
            </w:pPr>
            <w:r>
              <w:t>51.90</w:t>
            </w:r>
          </w:p>
        </w:tc>
        <w:tc>
          <w:tcPr>
            <w:tcW w:w="1134" w:type="dxa"/>
            <w:vAlign w:val="center"/>
          </w:tcPr>
          <w:p>
            <w:pPr>
              <w:pStyle w:val="11"/>
            </w:pPr>
            <w:r>
              <w:t>51.90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25.95</w:t>
            </w:r>
          </w:p>
        </w:tc>
        <w:tc>
          <w:tcPr>
            <w:tcW w:w="1134" w:type="dxa"/>
            <w:vAlign w:val="center"/>
          </w:tcPr>
          <w:p>
            <w:pPr>
              <w:pStyle w:val="11"/>
            </w:pPr>
            <w:r>
              <w:t>25.95</w:t>
            </w:r>
          </w:p>
        </w:tc>
        <w:tc>
          <w:tcPr>
            <w:tcW w:w="1134" w:type="dxa"/>
            <w:vAlign w:val="center"/>
          </w:tcPr>
          <w:p>
            <w:pPr>
              <w:pStyle w:val="11"/>
            </w:pPr>
            <w:r>
              <w:t>25.95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18.21</w:t>
            </w:r>
          </w:p>
        </w:tc>
        <w:tc>
          <w:tcPr>
            <w:tcW w:w="1134" w:type="dxa"/>
            <w:vAlign w:val="center"/>
          </w:tcPr>
          <w:p>
            <w:pPr>
              <w:pStyle w:val="11"/>
            </w:pPr>
            <w:r>
              <w:t>18.21</w:t>
            </w:r>
          </w:p>
        </w:tc>
        <w:tc>
          <w:tcPr>
            <w:tcW w:w="1134" w:type="dxa"/>
            <w:vAlign w:val="center"/>
          </w:tcPr>
          <w:p>
            <w:pPr>
              <w:pStyle w:val="11"/>
            </w:pPr>
            <w:r>
              <w:t>18.21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18.21</w:t>
            </w:r>
          </w:p>
        </w:tc>
        <w:tc>
          <w:tcPr>
            <w:tcW w:w="1134" w:type="dxa"/>
            <w:vAlign w:val="center"/>
          </w:tcPr>
          <w:p>
            <w:pPr>
              <w:pStyle w:val="11"/>
            </w:pPr>
            <w:r>
              <w:t>18.21</w:t>
            </w:r>
          </w:p>
        </w:tc>
        <w:tc>
          <w:tcPr>
            <w:tcW w:w="1134" w:type="dxa"/>
            <w:vAlign w:val="center"/>
          </w:tcPr>
          <w:p>
            <w:pPr>
              <w:pStyle w:val="11"/>
            </w:pPr>
            <w:r>
              <w:t>18.21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18.21</w:t>
            </w:r>
          </w:p>
        </w:tc>
        <w:tc>
          <w:tcPr>
            <w:tcW w:w="1134" w:type="dxa"/>
            <w:vAlign w:val="center"/>
          </w:tcPr>
          <w:p>
            <w:pPr>
              <w:pStyle w:val="11"/>
            </w:pPr>
            <w:r>
              <w:t>18.21</w:t>
            </w:r>
          </w:p>
        </w:tc>
        <w:tc>
          <w:tcPr>
            <w:tcW w:w="1134" w:type="dxa"/>
            <w:vAlign w:val="center"/>
          </w:tcPr>
          <w:p>
            <w:pPr>
              <w:pStyle w:val="11"/>
            </w:pPr>
            <w:r>
              <w:t>18.21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42.86</w:t>
            </w:r>
          </w:p>
        </w:tc>
        <w:tc>
          <w:tcPr>
            <w:tcW w:w="1134" w:type="dxa"/>
            <w:vAlign w:val="center"/>
          </w:tcPr>
          <w:p>
            <w:pPr>
              <w:pStyle w:val="11"/>
            </w:pPr>
            <w:r>
              <w:t>42.86</w:t>
            </w:r>
          </w:p>
        </w:tc>
        <w:tc>
          <w:tcPr>
            <w:tcW w:w="1134" w:type="dxa"/>
            <w:vAlign w:val="center"/>
          </w:tcPr>
          <w:p>
            <w:pPr>
              <w:pStyle w:val="11"/>
            </w:pPr>
            <w:r>
              <w:t>42.86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42.86</w:t>
            </w:r>
          </w:p>
        </w:tc>
        <w:tc>
          <w:tcPr>
            <w:tcW w:w="1134" w:type="dxa"/>
            <w:vAlign w:val="center"/>
          </w:tcPr>
          <w:p>
            <w:pPr>
              <w:pStyle w:val="11"/>
            </w:pPr>
            <w:r>
              <w:t>42.86</w:t>
            </w:r>
          </w:p>
        </w:tc>
        <w:tc>
          <w:tcPr>
            <w:tcW w:w="1134" w:type="dxa"/>
            <w:vAlign w:val="center"/>
          </w:tcPr>
          <w:p>
            <w:pPr>
              <w:pStyle w:val="11"/>
            </w:pPr>
            <w:r>
              <w:t>42.86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42.86</w:t>
            </w:r>
          </w:p>
        </w:tc>
        <w:tc>
          <w:tcPr>
            <w:tcW w:w="1134" w:type="dxa"/>
            <w:vAlign w:val="center"/>
          </w:tcPr>
          <w:p>
            <w:pPr>
              <w:pStyle w:val="11"/>
            </w:pPr>
            <w:r>
              <w:t>42.86</w:t>
            </w:r>
          </w:p>
        </w:tc>
        <w:tc>
          <w:tcPr>
            <w:tcW w:w="1134" w:type="dxa"/>
            <w:vAlign w:val="center"/>
          </w:tcPr>
          <w:p>
            <w:pPr>
              <w:pStyle w:val="11"/>
            </w:pPr>
            <w:r>
              <w:t>42.86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521001保定市徐水区市场建设服务中心本级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611.67</w:t>
            </w:r>
          </w:p>
        </w:tc>
        <w:tc>
          <w:tcPr>
            <w:tcW w:w="1361" w:type="dxa"/>
            <w:vAlign w:val="center"/>
          </w:tcPr>
          <w:p>
            <w:pPr>
              <w:pStyle w:val="15"/>
            </w:pPr>
            <w:r>
              <w:t>611.67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454.07</w:t>
            </w:r>
          </w:p>
        </w:tc>
        <w:tc>
          <w:tcPr>
            <w:tcW w:w="1361" w:type="dxa"/>
            <w:vAlign w:val="center"/>
          </w:tcPr>
          <w:p>
            <w:pPr>
              <w:pStyle w:val="11"/>
            </w:pPr>
            <w:r>
              <w:t>454.07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20138</w:t>
            </w:r>
          </w:p>
        </w:tc>
        <w:tc>
          <w:tcPr>
            <w:tcW w:w="4535" w:type="dxa"/>
            <w:vAlign w:val="center"/>
          </w:tcPr>
          <w:p>
            <w:pPr>
              <w:pStyle w:val="12"/>
            </w:pPr>
            <w:r>
              <w:t>市场监督管理事务</w:t>
            </w:r>
          </w:p>
        </w:tc>
        <w:tc>
          <w:tcPr>
            <w:tcW w:w="1361" w:type="dxa"/>
            <w:vAlign w:val="center"/>
          </w:tcPr>
          <w:p>
            <w:pPr>
              <w:pStyle w:val="11"/>
            </w:pPr>
            <w:r>
              <w:t>454.07</w:t>
            </w:r>
          </w:p>
        </w:tc>
        <w:tc>
          <w:tcPr>
            <w:tcW w:w="1361" w:type="dxa"/>
            <w:vAlign w:val="center"/>
          </w:tcPr>
          <w:p>
            <w:pPr>
              <w:pStyle w:val="11"/>
            </w:pPr>
            <w:r>
              <w:t>454.07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2013850</w:t>
            </w:r>
          </w:p>
        </w:tc>
        <w:tc>
          <w:tcPr>
            <w:tcW w:w="4535" w:type="dxa"/>
            <w:vAlign w:val="center"/>
          </w:tcPr>
          <w:p>
            <w:pPr>
              <w:pStyle w:val="12"/>
            </w:pPr>
            <w:r>
              <w:t>事业运行</w:t>
            </w:r>
          </w:p>
        </w:tc>
        <w:tc>
          <w:tcPr>
            <w:tcW w:w="1361" w:type="dxa"/>
            <w:vAlign w:val="center"/>
          </w:tcPr>
          <w:p>
            <w:pPr>
              <w:pStyle w:val="11"/>
            </w:pPr>
            <w:r>
              <w:t>454.07</w:t>
            </w:r>
          </w:p>
        </w:tc>
        <w:tc>
          <w:tcPr>
            <w:tcW w:w="1361" w:type="dxa"/>
            <w:vAlign w:val="center"/>
          </w:tcPr>
          <w:p>
            <w:pPr>
              <w:pStyle w:val="11"/>
            </w:pPr>
            <w:r>
              <w:t>454.07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96.54</w:t>
            </w:r>
          </w:p>
        </w:tc>
        <w:tc>
          <w:tcPr>
            <w:tcW w:w="1361" w:type="dxa"/>
            <w:vAlign w:val="center"/>
          </w:tcPr>
          <w:p>
            <w:pPr>
              <w:pStyle w:val="11"/>
            </w:pPr>
            <w:r>
              <w:t>96.54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96.54</w:t>
            </w:r>
          </w:p>
        </w:tc>
        <w:tc>
          <w:tcPr>
            <w:tcW w:w="1361" w:type="dxa"/>
            <w:vAlign w:val="center"/>
          </w:tcPr>
          <w:p>
            <w:pPr>
              <w:pStyle w:val="11"/>
            </w:pPr>
            <w:r>
              <w:t>96.54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18.69</w:t>
            </w:r>
          </w:p>
        </w:tc>
        <w:tc>
          <w:tcPr>
            <w:tcW w:w="1361" w:type="dxa"/>
            <w:vAlign w:val="center"/>
          </w:tcPr>
          <w:p>
            <w:pPr>
              <w:pStyle w:val="11"/>
            </w:pPr>
            <w:r>
              <w:t>18.69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51.90</w:t>
            </w:r>
          </w:p>
        </w:tc>
        <w:tc>
          <w:tcPr>
            <w:tcW w:w="1361" w:type="dxa"/>
            <w:vAlign w:val="center"/>
          </w:tcPr>
          <w:p>
            <w:pPr>
              <w:pStyle w:val="11"/>
            </w:pPr>
            <w:r>
              <w:t>51.90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25.95</w:t>
            </w:r>
          </w:p>
        </w:tc>
        <w:tc>
          <w:tcPr>
            <w:tcW w:w="1361" w:type="dxa"/>
            <w:vAlign w:val="center"/>
          </w:tcPr>
          <w:p>
            <w:pPr>
              <w:pStyle w:val="11"/>
            </w:pPr>
            <w:r>
              <w:t>25.95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18.21</w:t>
            </w:r>
          </w:p>
        </w:tc>
        <w:tc>
          <w:tcPr>
            <w:tcW w:w="1361" w:type="dxa"/>
            <w:vAlign w:val="center"/>
          </w:tcPr>
          <w:p>
            <w:pPr>
              <w:pStyle w:val="11"/>
            </w:pPr>
            <w:r>
              <w:t>18.21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18.21</w:t>
            </w:r>
          </w:p>
        </w:tc>
        <w:tc>
          <w:tcPr>
            <w:tcW w:w="1361" w:type="dxa"/>
            <w:vAlign w:val="center"/>
          </w:tcPr>
          <w:p>
            <w:pPr>
              <w:pStyle w:val="11"/>
            </w:pPr>
            <w:r>
              <w:t>18.21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18.21</w:t>
            </w:r>
          </w:p>
        </w:tc>
        <w:tc>
          <w:tcPr>
            <w:tcW w:w="1361" w:type="dxa"/>
            <w:vAlign w:val="center"/>
          </w:tcPr>
          <w:p>
            <w:pPr>
              <w:pStyle w:val="11"/>
            </w:pPr>
            <w:r>
              <w:t>18.21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42.86</w:t>
            </w:r>
          </w:p>
        </w:tc>
        <w:tc>
          <w:tcPr>
            <w:tcW w:w="1361" w:type="dxa"/>
            <w:vAlign w:val="center"/>
          </w:tcPr>
          <w:p>
            <w:pPr>
              <w:pStyle w:val="11"/>
            </w:pPr>
            <w:r>
              <w:t>42.86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42.86</w:t>
            </w:r>
          </w:p>
        </w:tc>
        <w:tc>
          <w:tcPr>
            <w:tcW w:w="1361" w:type="dxa"/>
            <w:vAlign w:val="center"/>
          </w:tcPr>
          <w:p>
            <w:pPr>
              <w:pStyle w:val="11"/>
            </w:pPr>
            <w:r>
              <w:t>42.86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42.86</w:t>
            </w:r>
          </w:p>
        </w:tc>
        <w:tc>
          <w:tcPr>
            <w:tcW w:w="1361" w:type="dxa"/>
            <w:vAlign w:val="center"/>
          </w:tcPr>
          <w:p>
            <w:pPr>
              <w:pStyle w:val="11"/>
            </w:pPr>
            <w:r>
              <w:t>42.86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521001保定市徐水区市场建设服务中心本级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611.67</w:t>
            </w:r>
          </w:p>
        </w:tc>
        <w:tc>
          <w:tcPr>
            <w:tcW w:w="3402" w:type="dxa"/>
            <w:vAlign w:val="center"/>
          </w:tcPr>
          <w:p>
            <w:pPr>
              <w:pStyle w:val="12"/>
            </w:pPr>
            <w:r>
              <w:t>一、一般公共服务支出</w:t>
            </w:r>
          </w:p>
        </w:tc>
        <w:tc>
          <w:tcPr>
            <w:tcW w:w="1474" w:type="dxa"/>
            <w:vAlign w:val="center"/>
          </w:tcPr>
          <w:p>
            <w:pPr>
              <w:pStyle w:val="11"/>
            </w:pPr>
            <w:r>
              <w:t>454.07</w:t>
            </w:r>
          </w:p>
        </w:tc>
        <w:tc>
          <w:tcPr>
            <w:tcW w:w="1474" w:type="dxa"/>
            <w:vAlign w:val="center"/>
          </w:tcPr>
          <w:p>
            <w:pPr>
              <w:pStyle w:val="11"/>
            </w:pPr>
            <w:r>
              <w:t>454.07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96.54</w:t>
            </w:r>
          </w:p>
        </w:tc>
        <w:tc>
          <w:tcPr>
            <w:tcW w:w="1474" w:type="dxa"/>
            <w:vAlign w:val="center"/>
          </w:tcPr>
          <w:p>
            <w:pPr>
              <w:pStyle w:val="11"/>
            </w:pPr>
            <w:r>
              <w:t>96.54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18.21</w:t>
            </w:r>
          </w:p>
        </w:tc>
        <w:tc>
          <w:tcPr>
            <w:tcW w:w="1474" w:type="dxa"/>
            <w:vAlign w:val="center"/>
          </w:tcPr>
          <w:p>
            <w:pPr>
              <w:pStyle w:val="11"/>
            </w:pPr>
            <w:r>
              <w:t>18.21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42.86</w:t>
            </w:r>
          </w:p>
        </w:tc>
        <w:tc>
          <w:tcPr>
            <w:tcW w:w="1474" w:type="dxa"/>
            <w:vAlign w:val="center"/>
          </w:tcPr>
          <w:p>
            <w:pPr>
              <w:pStyle w:val="11"/>
            </w:pPr>
            <w:r>
              <w:t>42.86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611.67</w:t>
            </w:r>
          </w:p>
        </w:tc>
        <w:tc>
          <w:tcPr>
            <w:tcW w:w="3402" w:type="dxa"/>
            <w:vAlign w:val="center"/>
          </w:tcPr>
          <w:p>
            <w:pPr>
              <w:pStyle w:val="14"/>
            </w:pPr>
            <w:r>
              <w:t>本年支出合计</w:t>
            </w:r>
          </w:p>
        </w:tc>
        <w:tc>
          <w:tcPr>
            <w:tcW w:w="1474" w:type="dxa"/>
            <w:vAlign w:val="center"/>
          </w:tcPr>
          <w:p>
            <w:pPr>
              <w:pStyle w:val="15"/>
            </w:pPr>
            <w:r>
              <w:t>611.67</w:t>
            </w:r>
          </w:p>
        </w:tc>
        <w:tc>
          <w:tcPr>
            <w:tcW w:w="1474" w:type="dxa"/>
            <w:vAlign w:val="center"/>
          </w:tcPr>
          <w:p>
            <w:pPr>
              <w:pStyle w:val="15"/>
            </w:pPr>
            <w:r>
              <w:t>611.67</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611.67</w:t>
            </w:r>
          </w:p>
        </w:tc>
        <w:tc>
          <w:tcPr>
            <w:tcW w:w="3402" w:type="dxa"/>
            <w:vAlign w:val="center"/>
          </w:tcPr>
          <w:p>
            <w:pPr>
              <w:pStyle w:val="14"/>
            </w:pPr>
            <w:r>
              <w:t>支出总计</w:t>
            </w:r>
          </w:p>
        </w:tc>
        <w:tc>
          <w:tcPr>
            <w:tcW w:w="1474" w:type="dxa"/>
            <w:vAlign w:val="center"/>
          </w:tcPr>
          <w:p>
            <w:pPr>
              <w:pStyle w:val="15"/>
            </w:pPr>
            <w:r>
              <w:t>611.67</w:t>
            </w:r>
          </w:p>
        </w:tc>
        <w:tc>
          <w:tcPr>
            <w:tcW w:w="1474" w:type="dxa"/>
            <w:vAlign w:val="center"/>
          </w:tcPr>
          <w:p>
            <w:pPr>
              <w:pStyle w:val="15"/>
            </w:pPr>
            <w:r>
              <w:t>611.67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521001保定市徐水区市场建设服务中心本级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611.67</w:t>
            </w:r>
          </w:p>
        </w:tc>
        <w:tc>
          <w:tcPr>
            <w:tcW w:w="2551" w:type="dxa"/>
            <w:vAlign w:val="center"/>
          </w:tcPr>
          <w:p>
            <w:pPr>
              <w:pStyle w:val="15"/>
            </w:pPr>
            <w:r>
              <w:t>611.67</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454.07</w:t>
            </w:r>
          </w:p>
        </w:tc>
        <w:tc>
          <w:tcPr>
            <w:tcW w:w="2551" w:type="dxa"/>
            <w:vAlign w:val="center"/>
          </w:tcPr>
          <w:p>
            <w:pPr>
              <w:pStyle w:val="11"/>
            </w:pPr>
            <w:r>
              <w:t>454.07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20138</w:t>
            </w:r>
          </w:p>
        </w:tc>
        <w:tc>
          <w:tcPr>
            <w:tcW w:w="4535" w:type="dxa"/>
            <w:vAlign w:val="center"/>
          </w:tcPr>
          <w:p>
            <w:pPr>
              <w:pStyle w:val="12"/>
            </w:pPr>
            <w:r>
              <w:t>市场监督管理事务</w:t>
            </w:r>
          </w:p>
        </w:tc>
        <w:tc>
          <w:tcPr>
            <w:tcW w:w="2551" w:type="dxa"/>
            <w:vAlign w:val="center"/>
          </w:tcPr>
          <w:p>
            <w:pPr>
              <w:pStyle w:val="11"/>
            </w:pPr>
            <w:r>
              <w:t>454.07</w:t>
            </w:r>
          </w:p>
        </w:tc>
        <w:tc>
          <w:tcPr>
            <w:tcW w:w="2551" w:type="dxa"/>
            <w:vAlign w:val="center"/>
          </w:tcPr>
          <w:p>
            <w:pPr>
              <w:pStyle w:val="11"/>
            </w:pPr>
            <w:r>
              <w:t>454.07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2013850</w:t>
            </w:r>
          </w:p>
        </w:tc>
        <w:tc>
          <w:tcPr>
            <w:tcW w:w="4535" w:type="dxa"/>
            <w:vAlign w:val="center"/>
          </w:tcPr>
          <w:p>
            <w:pPr>
              <w:pStyle w:val="12"/>
            </w:pPr>
            <w:r>
              <w:t>事业运行</w:t>
            </w:r>
          </w:p>
        </w:tc>
        <w:tc>
          <w:tcPr>
            <w:tcW w:w="2551" w:type="dxa"/>
            <w:vAlign w:val="center"/>
          </w:tcPr>
          <w:p>
            <w:pPr>
              <w:pStyle w:val="11"/>
            </w:pPr>
            <w:r>
              <w:t>454.07</w:t>
            </w:r>
          </w:p>
        </w:tc>
        <w:tc>
          <w:tcPr>
            <w:tcW w:w="2551" w:type="dxa"/>
            <w:vAlign w:val="center"/>
          </w:tcPr>
          <w:p>
            <w:pPr>
              <w:pStyle w:val="11"/>
            </w:pPr>
            <w:r>
              <w:t>454.07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96.54</w:t>
            </w:r>
          </w:p>
        </w:tc>
        <w:tc>
          <w:tcPr>
            <w:tcW w:w="2551" w:type="dxa"/>
            <w:vAlign w:val="center"/>
          </w:tcPr>
          <w:p>
            <w:pPr>
              <w:pStyle w:val="11"/>
            </w:pPr>
            <w:r>
              <w:t>96.54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96.54</w:t>
            </w:r>
          </w:p>
        </w:tc>
        <w:tc>
          <w:tcPr>
            <w:tcW w:w="2551" w:type="dxa"/>
            <w:vAlign w:val="center"/>
          </w:tcPr>
          <w:p>
            <w:pPr>
              <w:pStyle w:val="11"/>
            </w:pPr>
            <w:r>
              <w:t>96.54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18.69</w:t>
            </w:r>
          </w:p>
        </w:tc>
        <w:tc>
          <w:tcPr>
            <w:tcW w:w="2551" w:type="dxa"/>
            <w:vAlign w:val="center"/>
          </w:tcPr>
          <w:p>
            <w:pPr>
              <w:pStyle w:val="11"/>
            </w:pPr>
            <w:r>
              <w:t>18.69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51.90</w:t>
            </w:r>
          </w:p>
        </w:tc>
        <w:tc>
          <w:tcPr>
            <w:tcW w:w="2551" w:type="dxa"/>
            <w:vAlign w:val="center"/>
          </w:tcPr>
          <w:p>
            <w:pPr>
              <w:pStyle w:val="11"/>
            </w:pPr>
            <w:r>
              <w:t>51.90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25.95</w:t>
            </w:r>
          </w:p>
        </w:tc>
        <w:tc>
          <w:tcPr>
            <w:tcW w:w="2551" w:type="dxa"/>
            <w:vAlign w:val="center"/>
          </w:tcPr>
          <w:p>
            <w:pPr>
              <w:pStyle w:val="11"/>
            </w:pPr>
            <w:r>
              <w:t>25.95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18.21</w:t>
            </w:r>
          </w:p>
        </w:tc>
        <w:tc>
          <w:tcPr>
            <w:tcW w:w="2551" w:type="dxa"/>
            <w:vAlign w:val="center"/>
          </w:tcPr>
          <w:p>
            <w:pPr>
              <w:pStyle w:val="11"/>
            </w:pPr>
            <w:r>
              <w:t>18.21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18.21</w:t>
            </w:r>
          </w:p>
        </w:tc>
        <w:tc>
          <w:tcPr>
            <w:tcW w:w="2551" w:type="dxa"/>
            <w:vAlign w:val="center"/>
          </w:tcPr>
          <w:p>
            <w:pPr>
              <w:pStyle w:val="11"/>
            </w:pPr>
            <w:r>
              <w:t>18.21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18.21</w:t>
            </w:r>
          </w:p>
        </w:tc>
        <w:tc>
          <w:tcPr>
            <w:tcW w:w="2551" w:type="dxa"/>
            <w:vAlign w:val="center"/>
          </w:tcPr>
          <w:p>
            <w:pPr>
              <w:pStyle w:val="11"/>
            </w:pPr>
            <w:r>
              <w:t>18.21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42.86</w:t>
            </w:r>
          </w:p>
        </w:tc>
        <w:tc>
          <w:tcPr>
            <w:tcW w:w="2551" w:type="dxa"/>
            <w:vAlign w:val="center"/>
          </w:tcPr>
          <w:p>
            <w:pPr>
              <w:pStyle w:val="11"/>
            </w:pPr>
            <w:r>
              <w:t>42.86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42.86</w:t>
            </w:r>
          </w:p>
        </w:tc>
        <w:tc>
          <w:tcPr>
            <w:tcW w:w="2551" w:type="dxa"/>
            <w:vAlign w:val="center"/>
          </w:tcPr>
          <w:p>
            <w:pPr>
              <w:pStyle w:val="11"/>
            </w:pPr>
            <w:r>
              <w:t>42.86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42.86</w:t>
            </w:r>
          </w:p>
        </w:tc>
        <w:tc>
          <w:tcPr>
            <w:tcW w:w="2551" w:type="dxa"/>
            <w:vAlign w:val="center"/>
          </w:tcPr>
          <w:p>
            <w:pPr>
              <w:pStyle w:val="11"/>
            </w:pPr>
            <w:r>
              <w:t>42.86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521001保定市徐水区市场建设服务中心本级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611.67</w:t>
            </w:r>
          </w:p>
        </w:tc>
        <w:tc>
          <w:tcPr>
            <w:tcW w:w="2551" w:type="dxa"/>
            <w:vAlign w:val="center"/>
          </w:tcPr>
          <w:p>
            <w:pPr>
              <w:pStyle w:val="15"/>
            </w:pPr>
            <w:r>
              <w:t>586.41</w:t>
            </w:r>
          </w:p>
        </w:tc>
        <w:tc>
          <w:tcPr>
            <w:tcW w:w="2551" w:type="dxa"/>
            <w:vAlign w:val="center"/>
          </w:tcPr>
          <w:p>
            <w:pPr>
              <w:pStyle w:val="15"/>
            </w:pPr>
            <w:r>
              <w:t>25.26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566.36</w:t>
            </w:r>
          </w:p>
        </w:tc>
        <w:tc>
          <w:tcPr>
            <w:tcW w:w="2551" w:type="dxa"/>
            <w:vAlign w:val="center"/>
          </w:tcPr>
          <w:p>
            <w:pPr>
              <w:pStyle w:val="11"/>
            </w:pPr>
            <w:r>
              <w:t>566.36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183.60</w:t>
            </w:r>
          </w:p>
        </w:tc>
        <w:tc>
          <w:tcPr>
            <w:tcW w:w="2551" w:type="dxa"/>
            <w:vAlign w:val="center"/>
          </w:tcPr>
          <w:p>
            <w:pPr>
              <w:pStyle w:val="11"/>
            </w:pPr>
            <w:r>
              <w:t>183.60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29.84</w:t>
            </w:r>
          </w:p>
        </w:tc>
        <w:tc>
          <w:tcPr>
            <w:tcW w:w="2551" w:type="dxa"/>
            <w:vAlign w:val="center"/>
          </w:tcPr>
          <w:p>
            <w:pPr>
              <w:pStyle w:val="11"/>
            </w:pPr>
            <w:r>
              <w:t>29.84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210.85</w:t>
            </w:r>
          </w:p>
        </w:tc>
        <w:tc>
          <w:tcPr>
            <w:tcW w:w="2551" w:type="dxa"/>
            <w:vAlign w:val="center"/>
          </w:tcPr>
          <w:p>
            <w:pPr>
              <w:pStyle w:val="11"/>
            </w:pPr>
            <w:r>
              <w:t>210.85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51.90</w:t>
            </w:r>
          </w:p>
        </w:tc>
        <w:tc>
          <w:tcPr>
            <w:tcW w:w="2551" w:type="dxa"/>
            <w:vAlign w:val="center"/>
          </w:tcPr>
          <w:p>
            <w:pPr>
              <w:pStyle w:val="11"/>
            </w:pPr>
            <w:r>
              <w:t>51.90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25.95</w:t>
            </w:r>
          </w:p>
        </w:tc>
        <w:tc>
          <w:tcPr>
            <w:tcW w:w="2551" w:type="dxa"/>
            <w:vAlign w:val="center"/>
          </w:tcPr>
          <w:p>
            <w:pPr>
              <w:pStyle w:val="11"/>
            </w:pPr>
            <w:r>
              <w:t>25.95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18.21</w:t>
            </w:r>
          </w:p>
        </w:tc>
        <w:tc>
          <w:tcPr>
            <w:tcW w:w="2551" w:type="dxa"/>
            <w:vAlign w:val="center"/>
          </w:tcPr>
          <w:p>
            <w:pPr>
              <w:pStyle w:val="11"/>
            </w:pPr>
            <w:r>
              <w:t>18.21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3.15</w:t>
            </w:r>
          </w:p>
        </w:tc>
        <w:tc>
          <w:tcPr>
            <w:tcW w:w="2551" w:type="dxa"/>
            <w:vAlign w:val="center"/>
          </w:tcPr>
          <w:p>
            <w:pPr>
              <w:pStyle w:val="11"/>
            </w:pPr>
            <w:r>
              <w:t>3.15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42.86</w:t>
            </w:r>
          </w:p>
        </w:tc>
        <w:tc>
          <w:tcPr>
            <w:tcW w:w="2551" w:type="dxa"/>
            <w:vAlign w:val="center"/>
          </w:tcPr>
          <w:p>
            <w:pPr>
              <w:pStyle w:val="11"/>
            </w:pPr>
            <w:r>
              <w:t>42.86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25.26</w:t>
            </w:r>
          </w:p>
        </w:tc>
        <w:tc>
          <w:tcPr>
            <w:tcW w:w="2551" w:type="dxa"/>
            <w:vAlign w:val="center"/>
          </w:tcPr>
          <w:p>
            <w:pPr>
              <w:pStyle w:val="11"/>
            </w:pPr>
          </w:p>
        </w:tc>
        <w:tc>
          <w:tcPr>
            <w:tcW w:w="2551" w:type="dxa"/>
            <w:vAlign w:val="center"/>
          </w:tcPr>
          <w:p>
            <w:pPr>
              <w:pStyle w:val="11"/>
            </w:pPr>
            <w:r>
              <w:t>25.26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11.99</w:t>
            </w:r>
          </w:p>
        </w:tc>
        <w:tc>
          <w:tcPr>
            <w:tcW w:w="2551" w:type="dxa"/>
            <w:vAlign w:val="center"/>
          </w:tcPr>
          <w:p>
            <w:pPr>
              <w:pStyle w:val="11"/>
            </w:pPr>
          </w:p>
        </w:tc>
        <w:tc>
          <w:tcPr>
            <w:tcW w:w="2551" w:type="dxa"/>
            <w:vAlign w:val="center"/>
          </w:tcPr>
          <w:p>
            <w:pPr>
              <w:pStyle w:val="11"/>
            </w:pPr>
            <w:r>
              <w:t>11.99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0.64</w:t>
            </w:r>
          </w:p>
        </w:tc>
        <w:tc>
          <w:tcPr>
            <w:tcW w:w="2551" w:type="dxa"/>
            <w:vAlign w:val="center"/>
          </w:tcPr>
          <w:p>
            <w:pPr>
              <w:pStyle w:val="11"/>
            </w:pPr>
          </w:p>
        </w:tc>
        <w:tc>
          <w:tcPr>
            <w:tcW w:w="2551" w:type="dxa"/>
            <w:vAlign w:val="center"/>
          </w:tcPr>
          <w:p>
            <w:pPr>
              <w:pStyle w:val="11"/>
            </w:pPr>
            <w:r>
              <w:t>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5.24</w:t>
            </w:r>
          </w:p>
        </w:tc>
        <w:tc>
          <w:tcPr>
            <w:tcW w:w="2551" w:type="dxa"/>
            <w:vAlign w:val="center"/>
          </w:tcPr>
          <w:p>
            <w:pPr>
              <w:pStyle w:val="11"/>
            </w:pPr>
          </w:p>
        </w:tc>
        <w:tc>
          <w:tcPr>
            <w:tcW w:w="2551" w:type="dxa"/>
            <w:vAlign w:val="center"/>
          </w:tcPr>
          <w:p>
            <w:pPr>
              <w:pStyle w:val="11"/>
            </w:pPr>
            <w:r>
              <w:t>5.24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3.76</w:t>
            </w:r>
          </w:p>
        </w:tc>
        <w:tc>
          <w:tcPr>
            <w:tcW w:w="2551" w:type="dxa"/>
            <w:vAlign w:val="center"/>
          </w:tcPr>
          <w:p>
            <w:pPr>
              <w:pStyle w:val="11"/>
            </w:pPr>
          </w:p>
        </w:tc>
        <w:tc>
          <w:tcPr>
            <w:tcW w:w="2551" w:type="dxa"/>
            <w:vAlign w:val="center"/>
          </w:tcPr>
          <w:p>
            <w:pPr>
              <w:pStyle w:val="11"/>
            </w:pPr>
            <w:r>
              <w:t>3.76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2.43</w:t>
            </w:r>
          </w:p>
        </w:tc>
        <w:tc>
          <w:tcPr>
            <w:tcW w:w="2551" w:type="dxa"/>
            <w:vAlign w:val="center"/>
          </w:tcPr>
          <w:p>
            <w:pPr>
              <w:pStyle w:val="11"/>
            </w:pPr>
          </w:p>
        </w:tc>
        <w:tc>
          <w:tcPr>
            <w:tcW w:w="2551" w:type="dxa"/>
            <w:vAlign w:val="center"/>
          </w:tcPr>
          <w:p>
            <w:pPr>
              <w:pStyle w:val="11"/>
            </w:pPr>
            <w:r>
              <w:t>2.43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1.19</w:t>
            </w:r>
          </w:p>
        </w:tc>
        <w:tc>
          <w:tcPr>
            <w:tcW w:w="2551" w:type="dxa"/>
            <w:vAlign w:val="center"/>
          </w:tcPr>
          <w:p>
            <w:pPr>
              <w:pStyle w:val="11"/>
            </w:pPr>
          </w:p>
        </w:tc>
        <w:tc>
          <w:tcPr>
            <w:tcW w:w="2551" w:type="dxa"/>
            <w:vAlign w:val="center"/>
          </w:tcPr>
          <w:p>
            <w:pPr>
              <w:pStyle w:val="11"/>
            </w:pPr>
            <w:r>
              <w:t>1.19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20.05</w:t>
            </w:r>
          </w:p>
        </w:tc>
        <w:tc>
          <w:tcPr>
            <w:tcW w:w="2551" w:type="dxa"/>
            <w:vAlign w:val="center"/>
          </w:tcPr>
          <w:p>
            <w:pPr>
              <w:pStyle w:val="11"/>
            </w:pPr>
            <w:r>
              <w:t>20.05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18.60</w:t>
            </w:r>
          </w:p>
        </w:tc>
        <w:tc>
          <w:tcPr>
            <w:tcW w:w="2551" w:type="dxa"/>
            <w:vAlign w:val="center"/>
          </w:tcPr>
          <w:p>
            <w:pPr>
              <w:pStyle w:val="11"/>
            </w:pPr>
            <w:r>
              <w:t>18.60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1.45</w:t>
            </w:r>
          </w:p>
        </w:tc>
        <w:tc>
          <w:tcPr>
            <w:tcW w:w="2551" w:type="dxa"/>
            <w:vAlign w:val="center"/>
          </w:tcPr>
          <w:p>
            <w:pPr>
              <w:pStyle w:val="11"/>
            </w:pPr>
            <w:r>
              <w:t>1.45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521001保定市徐水区市场建设服务中心本级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521001保定市徐水区市场建设服务中心本级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521001保定市徐水区市场建设服务中心本级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2.43</w:t>
            </w:r>
          </w:p>
        </w:tc>
        <w:tc>
          <w:tcPr>
            <w:tcW w:w="2381" w:type="dxa"/>
            <w:vAlign w:val="center"/>
          </w:tcPr>
          <w:p>
            <w:pPr>
              <w:pStyle w:val="15"/>
            </w:pPr>
            <w:r>
              <w:t>2.43</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2.43</w:t>
            </w:r>
          </w:p>
        </w:tc>
        <w:tc>
          <w:tcPr>
            <w:tcW w:w="2381" w:type="dxa"/>
            <w:vAlign w:val="center"/>
          </w:tcPr>
          <w:p>
            <w:pPr>
              <w:pStyle w:val="11"/>
            </w:pPr>
            <w:r>
              <w:t>2.43</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2.43</w:t>
            </w:r>
          </w:p>
        </w:tc>
        <w:tc>
          <w:tcPr>
            <w:tcW w:w="2381" w:type="dxa"/>
            <w:vAlign w:val="center"/>
          </w:tcPr>
          <w:p>
            <w:pPr>
              <w:pStyle w:val="11"/>
            </w:pPr>
            <w:r>
              <w:t>2.43</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2.43</w:t>
            </w:r>
          </w:p>
        </w:tc>
        <w:tc>
          <w:tcPr>
            <w:tcW w:w="2381" w:type="dxa"/>
            <w:vAlign w:val="center"/>
          </w:tcPr>
          <w:p>
            <w:pPr>
              <w:pStyle w:val="11"/>
            </w:pPr>
            <w:r>
              <w:t>2.43</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保定市徐水区市场建设服务中心本级2025年单位预算信息公开情况说明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按照《中华人民共和国预算法》、《地方预决算公开操作规程》和《关于进一步推进预算公开工作的实施意见》规定，现将保定市徐水区市场建设服务中心本级2025年单位预算公开如下：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（一）负责制定全区市场布局的规划、市场建设、组织市场论证，负责市场登记工作。</w:t>
      </w:r>
    </w:p>
    <w:p>
      <w:pPr>
        <w:pStyle w:val="17"/>
      </w:pPr>
      <w:r>
        <w:t>（二）负责对所辖市场经营活动的日常管理，调节市场纠纷，管理市场物业，提供有偿服务，收取设施租赁费。</w:t>
      </w:r>
    </w:p>
    <w:p>
      <w:pPr>
        <w:pStyle w:val="17"/>
      </w:pPr>
      <w:r>
        <w:t>（三）配合有关执法部门或受有关执法部门委托，对市场经营者违法违章问题进行查处。</w:t>
      </w:r>
    </w:p>
    <w:p>
      <w:pPr>
        <w:pStyle w:val="17"/>
      </w:pPr>
      <w:r>
        <w:t>（四）负责所辖市场的防火、防盗工作，配合公安、消防等部门，对市场的日常安全和消防设施管理使用达标情况进行规范和检查。</w:t>
      </w:r>
    </w:p>
    <w:p>
      <w:pPr>
        <w:pStyle w:val="17"/>
      </w:pPr>
      <w:r>
        <w:t>（五）负责市场的培育开发、引进现代化商业业态，推动市场上档升级。</w:t>
      </w:r>
    </w:p>
    <w:p>
      <w:pPr>
        <w:pStyle w:val="17"/>
      </w:pPr>
      <w:r>
        <w:t>（六）组织各类庙会、商品交易会。</w:t>
      </w:r>
    </w:p>
    <w:p>
      <w:pPr>
        <w:pStyle w:val="17"/>
      </w:pPr>
      <w:r>
        <w:t>（七）负责市场统计与分析。</w:t>
      </w:r>
    </w:p>
    <w:p>
      <w:pPr>
        <w:pStyle w:val="17"/>
      </w:pPr>
      <w:r>
        <w:t>（八）组织市场检查评比、验收。</w:t>
      </w:r>
    </w:p>
    <w:p>
      <w:pPr>
        <w:pStyle w:val="17"/>
      </w:pPr>
      <w:r>
        <w:t>(九）承办区委、区政府交办的其它事项。</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保定市徐水区市场建设服务中心本级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611.67万元，其中：一般公共预算收入611.67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保定市徐水区市场建设服务中心本级年度单位预算中支出预算的总体情况。2025年支出预算611.67万元，其中基本支出611.67万元，包括人员经费586.41万元和日常公用经费25.26万元；项目支出0.00万元，主要为无项目。</w:t>
      </w:r>
    </w:p>
    <w:p>
      <w:pPr>
        <w:pStyle w:val="18"/>
      </w:pPr>
      <w:r>
        <w:t>3、比上年增减情况</w:t>
      </w:r>
    </w:p>
    <w:p>
      <w:pPr>
        <w:pStyle w:val="18"/>
      </w:pPr>
      <w:r>
        <w:t>2025年预算收支安排611.67万元，较2024年预算增加92.84万元，其中：基本支出增加92.84万元，主要为职工人数增加，基本支出增加。项目支出增加0.00万元，主要为无变化。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2025年，我单位机关运行经费共计安排25.26万元，主要用于日常维修、办公用房水电费、办公用房取暖费、办公用房物业管理费等日常运行支出。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2.43万元，其中因公出国（境）费0.00万元；公务用车购置及运维费2.43万元（其中：公务用车购置费为0.00万元，公务用车运维费2.43万元)；公务接待费0.00万元。与2024年相比增加0.00万元，增减变化的主要原因是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521001保定市徐水区市场建设服务中心本级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保定市徐水区市场建设服务中心本级上年末固定资产金额为1030.80万元（详见下表）。本年度拟购置固定资产总额为0.00万元，已按要求列入政府采购预算，详见政府采购预算表。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521001保定市徐水区市场建设服务中心本级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1030.80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4821.86</w:t>
            </w:r>
          </w:p>
        </w:tc>
        <w:tc>
          <w:tcPr>
            <w:tcW w:w="2835" w:type="dxa"/>
            <w:vAlign w:val="center"/>
          </w:tcPr>
          <w:p>
            <w:pPr>
              <w:pStyle w:val="11"/>
            </w:pPr>
            <w:r>
              <w:t>345.89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755.80</w:t>
            </w:r>
          </w:p>
        </w:tc>
        <w:tc>
          <w:tcPr>
            <w:tcW w:w="2835" w:type="dxa"/>
            <w:vAlign w:val="center"/>
          </w:tcPr>
          <w:p>
            <w:pPr>
              <w:pStyle w:val="11"/>
            </w:pPr>
            <w:r>
              <w:t>36.60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14.53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2</w:t>
            </w:r>
          </w:p>
        </w:tc>
        <w:tc>
          <w:tcPr>
            <w:tcW w:w="2835" w:type="dxa"/>
            <w:vAlign w:val="center"/>
          </w:tcPr>
          <w:p>
            <w:pPr>
              <w:pStyle w:val="11"/>
            </w:pPr>
            <w:r>
              <w:t>71.88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122</w:t>
            </w:r>
          </w:p>
        </w:tc>
        <w:tc>
          <w:tcPr>
            <w:tcW w:w="2835" w:type="dxa"/>
            <w:vAlign w:val="center"/>
          </w:tcPr>
          <w:p>
            <w:pPr>
              <w:pStyle w:val="11"/>
            </w:pPr>
            <w:r>
              <w:t>598.49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黑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 w:name="MS UI 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Yu Gothic Medium">
    <w:panose1 w:val="020B0500000000000000"/>
    <w:charset w:val="80"/>
    <w:family w:val="auto"/>
    <w:pitch w:val="default"/>
    <w:sig w:usb0="E00002FF" w:usb1="2AC7FDFF" w:usb2="00000016" w:usb3="00000000" w:csb0="2002009F" w:csb1="00000000"/>
  </w:font>
  <w:font w:name="Trebuchet MS">
    <w:panose1 w:val="020B0603020202020204"/>
    <w:charset w:val="00"/>
    <w:family w:val="auto"/>
    <w:pitch w:val="default"/>
    <w:sig w:usb0="00000687" w:usb1="00000000" w:usb2="00000000" w:usb3="00000000" w:csb0="200000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Arial Black">
    <w:panose1 w:val="020B0A04020102020204"/>
    <w:charset w:val="00"/>
    <w:family w:val="auto"/>
    <w:pitch w:val="default"/>
    <w:sig w:usb0="A00002AF" w:usb1="400078FB" w:usb2="00000000" w:usb3="00000000" w:csb0="6000009F" w:csb1="DFD70000"/>
  </w:font>
  <w:font w:name="Bahnschrift SemiCondensed">
    <w:panose1 w:val="020B0502040204020203"/>
    <w:charset w:val="00"/>
    <w:family w:val="auto"/>
    <w:pitch w:val="default"/>
    <w:sig w:usb0="A00002C7" w:usb1="00000002" w:usb2="00000000" w:usb3="00000000" w:csb0="2000019F" w:csb1="00000000"/>
  </w:font>
  <w:font w:name="Calibri Light">
    <w:panose1 w:val="020F0302020204030204"/>
    <w:charset w:val="00"/>
    <w:family w:val="auto"/>
    <w:pitch w:val="default"/>
    <w:sig w:usb0="E4002EFF" w:usb1="C000247B" w:usb2="00000009" w:usb3="00000000" w:csb0="200001FF" w:csb1="00000000"/>
  </w:font>
  <w:font w:name="Bahnschrift SemiLight Condensed">
    <w:panose1 w:val="020B0502040204020203"/>
    <w:charset w:val="00"/>
    <w:family w:val="auto"/>
    <w:pitch w:val="default"/>
    <w:sig w:usb0="A00002C7" w:usb1="00000002"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ylfaen">
    <w:panose1 w:val="010A0502050306030303"/>
    <w:charset w:val="00"/>
    <w:family w:val="auto"/>
    <w:pitch w:val="default"/>
    <w:sig w:usb0="04000687" w:usb1="00000000" w:usb2="00000000" w:usb3="00000000" w:csb0="2000009F" w:csb1="00000000"/>
  </w:font>
  <w:font w:name="Sitka Text">
    <w:panose1 w:val="02000505000000020004"/>
    <w:charset w:val="00"/>
    <w:family w:val="auto"/>
    <w:pitch w:val="default"/>
    <w:sig w:usb0="A00002EF" w:usb1="4000204B" w:usb2="00000000" w:usb3="00000000" w:csb0="2000019F" w:csb1="00000000"/>
  </w:font>
  <w:font w:name="Microsoft Himalaya">
    <w:panose1 w:val="01010100010101010101"/>
    <w:charset w:val="00"/>
    <w:family w:val="auto"/>
    <w:pitch w:val="default"/>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7621B16"/>
    <w:rsid w:val="198069CF"/>
    <w:rsid w:val="28660352"/>
    <w:rsid w:val="34814C49"/>
    <w:rsid w:val="389B5CB8"/>
    <w:rsid w:val="3C60281A"/>
    <w:rsid w:val="41045708"/>
    <w:rsid w:val="6D83250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TotalTime>0</TotalTime>
  <ScaleCrop>false</ScaleCrop>
  <LinksUpToDate>false</LinksUpToDate>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2025-02-24T09:54:00Z</dcterms:created>
  <dc:creator>Lenovo</dc:creator>
  <cp:lastModifiedBy>user</cp:lastModifiedBy>
  <cp:lastPrinted>2025-02-24T06:08:38Z</cp:lastPrinted>
  <dcterms:modified xsi:type="dcterms:W3CDTF">2025-02-24T06:16:38Z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