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501保定市徐水区信访局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311.82</w:t>
            </w:r>
          </w:p>
        </w:tc>
        <w:tc>
          <w:tcPr>
            <w:tcW w:w="4535" w:type="dxa"/>
            <w:vAlign w:val="center"/>
          </w:tcPr>
          <w:p>
            <w:pPr>
              <w:pStyle w:val="13"/>
            </w:pPr>
            <w:r>
              <w:t>一、一般公共服务支出</w:t>
            </w:r>
          </w:p>
        </w:tc>
        <w:tc>
          <w:tcPr>
            <w:tcW w:w="2126" w:type="dxa"/>
            <w:vAlign w:val="center"/>
          </w:tcPr>
          <w:p>
            <w:pPr>
              <w:pStyle w:val="12"/>
            </w:pPr>
            <w:r>
              <w:t>254.21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311.82</w:t>
            </w:r>
          </w:p>
        </w:tc>
        <w:tc>
          <w:tcPr>
            <w:tcW w:w="4535" w:type="dxa"/>
            <w:vAlign w:val="center"/>
          </w:tcPr>
          <w:p>
            <w:pPr>
              <w:pStyle w:val="15"/>
            </w:pPr>
            <w:r>
              <w:t>本年支出合计</w:t>
            </w:r>
          </w:p>
        </w:tc>
        <w:tc>
          <w:tcPr>
            <w:tcW w:w="2126" w:type="dxa"/>
            <w:vAlign w:val="center"/>
          </w:tcPr>
          <w:p>
            <w:pPr>
              <w:pStyle w:val="16"/>
            </w:pPr>
            <w:r>
              <w:t>311.82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311.82</w:t>
            </w:r>
          </w:p>
        </w:tc>
        <w:tc>
          <w:tcPr>
            <w:tcW w:w="4535" w:type="dxa"/>
            <w:vAlign w:val="center"/>
          </w:tcPr>
          <w:p>
            <w:pPr>
              <w:pStyle w:val="15"/>
            </w:pPr>
            <w:r>
              <w:t>支出总计</w:t>
            </w:r>
          </w:p>
        </w:tc>
        <w:tc>
          <w:tcPr>
            <w:tcW w:w="2126" w:type="dxa"/>
            <w:vAlign w:val="center"/>
          </w:tcPr>
          <w:p>
            <w:pPr>
              <w:pStyle w:val="16"/>
            </w:pPr>
            <w:r>
              <w:t>311.82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501保定市徐水区信访局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311.82</w:t>
            </w:r>
          </w:p>
        </w:tc>
        <w:tc>
          <w:tcPr>
            <w:tcW w:w="1134" w:type="dxa"/>
            <w:vAlign w:val="center"/>
          </w:tcPr>
          <w:p>
            <w:pPr>
              <w:pStyle w:val="16"/>
            </w:pPr>
            <w:r>
              <w:t>311.82</w:t>
            </w:r>
          </w:p>
        </w:tc>
        <w:tc>
          <w:tcPr>
            <w:tcW w:w="1134" w:type="dxa"/>
            <w:vAlign w:val="center"/>
          </w:tcPr>
          <w:p>
            <w:pPr>
              <w:pStyle w:val="16"/>
            </w:pPr>
            <w:r>
              <w:t>311.82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254.21</w:t>
            </w:r>
          </w:p>
        </w:tc>
        <w:tc>
          <w:tcPr>
            <w:tcW w:w="1134" w:type="dxa"/>
            <w:vAlign w:val="center"/>
          </w:tcPr>
          <w:p>
            <w:pPr>
              <w:pStyle w:val="12"/>
            </w:pPr>
            <w:r>
              <w:t>254.21</w:t>
            </w:r>
          </w:p>
        </w:tc>
        <w:tc>
          <w:tcPr>
            <w:tcW w:w="1134" w:type="dxa"/>
            <w:vAlign w:val="center"/>
          </w:tcPr>
          <w:p>
            <w:pPr>
              <w:pStyle w:val="12"/>
            </w:pPr>
            <w:r>
              <w:t>254.21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20136</w:t>
            </w:r>
          </w:p>
        </w:tc>
        <w:tc>
          <w:tcPr>
            <w:tcW w:w="1559" w:type="dxa"/>
            <w:vAlign w:val="center"/>
          </w:tcPr>
          <w:p>
            <w:pPr>
              <w:pStyle w:val="13"/>
            </w:pPr>
            <w:r>
              <w:t>其他共产党事务支出</w:t>
            </w:r>
          </w:p>
        </w:tc>
        <w:tc>
          <w:tcPr>
            <w:tcW w:w="1134" w:type="dxa"/>
            <w:vAlign w:val="center"/>
          </w:tcPr>
          <w:p>
            <w:pPr>
              <w:pStyle w:val="12"/>
            </w:pPr>
            <w:r>
              <w:t>254.21</w:t>
            </w:r>
          </w:p>
        </w:tc>
        <w:tc>
          <w:tcPr>
            <w:tcW w:w="1134" w:type="dxa"/>
            <w:vAlign w:val="center"/>
          </w:tcPr>
          <w:p>
            <w:pPr>
              <w:pStyle w:val="12"/>
            </w:pPr>
            <w:r>
              <w:t>254.21</w:t>
            </w:r>
          </w:p>
        </w:tc>
        <w:tc>
          <w:tcPr>
            <w:tcW w:w="1134" w:type="dxa"/>
            <w:vAlign w:val="center"/>
          </w:tcPr>
          <w:p>
            <w:pPr>
              <w:pStyle w:val="12"/>
            </w:pPr>
            <w:r>
              <w:t>254.21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2013601</w:t>
            </w:r>
          </w:p>
        </w:tc>
        <w:tc>
          <w:tcPr>
            <w:tcW w:w="1559" w:type="dxa"/>
            <w:vAlign w:val="center"/>
          </w:tcPr>
          <w:p>
            <w:pPr>
              <w:pStyle w:val="13"/>
            </w:pPr>
            <w:r>
              <w:t>行政运行</w:t>
            </w:r>
          </w:p>
        </w:tc>
        <w:tc>
          <w:tcPr>
            <w:tcW w:w="1134" w:type="dxa"/>
            <w:vAlign w:val="center"/>
          </w:tcPr>
          <w:p>
            <w:pPr>
              <w:pStyle w:val="12"/>
            </w:pPr>
            <w:r>
              <w:t>153.77</w:t>
            </w:r>
          </w:p>
        </w:tc>
        <w:tc>
          <w:tcPr>
            <w:tcW w:w="1134" w:type="dxa"/>
            <w:vAlign w:val="center"/>
          </w:tcPr>
          <w:p>
            <w:pPr>
              <w:pStyle w:val="12"/>
            </w:pPr>
            <w:r>
              <w:t>153.77</w:t>
            </w:r>
          </w:p>
        </w:tc>
        <w:tc>
          <w:tcPr>
            <w:tcW w:w="1134" w:type="dxa"/>
            <w:vAlign w:val="center"/>
          </w:tcPr>
          <w:p>
            <w:pPr>
              <w:pStyle w:val="12"/>
            </w:pPr>
            <w:r>
              <w:t>153.77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2013602</w:t>
            </w:r>
          </w:p>
        </w:tc>
        <w:tc>
          <w:tcPr>
            <w:tcW w:w="1559" w:type="dxa"/>
            <w:vAlign w:val="center"/>
          </w:tcPr>
          <w:p>
            <w:pPr>
              <w:pStyle w:val="13"/>
            </w:pPr>
            <w:r>
              <w:t>一般行政管理事务</w:t>
            </w:r>
          </w:p>
        </w:tc>
        <w:tc>
          <w:tcPr>
            <w:tcW w:w="1134" w:type="dxa"/>
            <w:vAlign w:val="center"/>
          </w:tcPr>
          <w:p>
            <w:pPr>
              <w:pStyle w:val="12"/>
            </w:pPr>
            <w:r>
              <w:t>100.44</w:t>
            </w:r>
          </w:p>
        </w:tc>
        <w:tc>
          <w:tcPr>
            <w:tcW w:w="1134" w:type="dxa"/>
            <w:vAlign w:val="center"/>
          </w:tcPr>
          <w:p>
            <w:pPr>
              <w:pStyle w:val="12"/>
            </w:pPr>
            <w:r>
              <w:t>100.44</w:t>
            </w:r>
          </w:p>
        </w:tc>
        <w:tc>
          <w:tcPr>
            <w:tcW w:w="1134" w:type="dxa"/>
            <w:vAlign w:val="center"/>
          </w:tcPr>
          <w:p>
            <w:pPr>
              <w:pStyle w:val="12"/>
            </w:pPr>
            <w:r>
              <w:t>100.44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39.50</w:t>
            </w:r>
          </w:p>
        </w:tc>
        <w:tc>
          <w:tcPr>
            <w:tcW w:w="1134" w:type="dxa"/>
            <w:vAlign w:val="center"/>
          </w:tcPr>
          <w:p>
            <w:pPr>
              <w:pStyle w:val="12"/>
            </w:pPr>
            <w:r>
              <w:t>39.50</w:t>
            </w:r>
          </w:p>
        </w:tc>
        <w:tc>
          <w:tcPr>
            <w:tcW w:w="1134" w:type="dxa"/>
            <w:vAlign w:val="center"/>
          </w:tcPr>
          <w:p>
            <w:pPr>
              <w:pStyle w:val="12"/>
            </w:pPr>
            <w:r>
              <w:t>39.50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39.50</w:t>
            </w:r>
          </w:p>
        </w:tc>
        <w:tc>
          <w:tcPr>
            <w:tcW w:w="1134" w:type="dxa"/>
            <w:vAlign w:val="center"/>
          </w:tcPr>
          <w:p>
            <w:pPr>
              <w:pStyle w:val="12"/>
            </w:pPr>
            <w:r>
              <w:t>39.50</w:t>
            </w:r>
          </w:p>
        </w:tc>
        <w:tc>
          <w:tcPr>
            <w:tcW w:w="1134" w:type="dxa"/>
            <w:vAlign w:val="center"/>
          </w:tcPr>
          <w:p>
            <w:pPr>
              <w:pStyle w:val="12"/>
            </w:pPr>
            <w:r>
              <w:t>39.50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23.76</w:t>
            </w:r>
          </w:p>
        </w:tc>
        <w:tc>
          <w:tcPr>
            <w:tcW w:w="1134" w:type="dxa"/>
            <w:vAlign w:val="center"/>
          </w:tcPr>
          <w:p>
            <w:pPr>
              <w:pStyle w:val="12"/>
            </w:pPr>
            <w:r>
              <w:t>23.76</w:t>
            </w:r>
          </w:p>
        </w:tc>
        <w:tc>
          <w:tcPr>
            <w:tcW w:w="1134" w:type="dxa"/>
            <w:vAlign w:val="center"/>
          </w:tcPr>
          <w:p>
            <w:pPr>
              <w:pStyle w:val="12"/>
            </w:pPr>
            <w:r>
              <w:t>23.76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15.74</w:t>
            </w:r>
          </w:p>
        </w:tc>
        <w:tc>
          <w:tcPr>
            <w:tcW w:w="1134" w:type="dxa"/>
            <w:vAlign w:val="center"/>
          </w:tcPr>
          <w:p>
            <w:pPr>
              <w:pStyle w:val="12"/>
            </w:pPr>
            <w:r>
              <w:t>15.74</w:t>
            </w:r>
          </w:p>
        </w:tc>
        <w:tc>
          <w:tcPr>
            <w:tcW w:w="1134" w:type="dxa"/>
            <w:vAlign w:val="center"/>
          </w:tcPr>
          <w:p>
            <w:pPr>
              <w:pStyle w:val="12"/>
            </w:pPr>
            <w:r>
              <w:t>15.74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5.24</w:t>
            </w:r>
          </w:p>
        </w:tc>
        <w:tc>
          <w:tcPr>
            <w:tcW w:w="1134" w:type="dxa"/>
            <w:vAlign w:val="center"/>
          </w:tcPr>
          <w:p>
            <w:pPr>
              <w:pStyle w:val="12"/>
            </w:pPr>
            <w:r>
              <w:t>5.24</w:t>
            </w:r>
          </w:p>
        </w:tc>
        <w:tc>
          <w:tcPr>
            <w:tcW w:w="1134" w:type="dxa"/>
            <w:vAlign w:val="center"/>
          </w:tcPr>
          <w:p>
            <w:pPr>
              <w:pStyle w:val="12"/>
            </w:pPr>
            <w:r>
              <w:t>5.24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5.24</w:t>
            </w:r>
          </w:p>
        </w:tc>
        <w:tc>
          <w:tcPr>
            <w:tcW w:w="1134" w:type="dxa"/>
            <w:vAlign w:val="center"/>
          </w:tcPr>
          <w:p>
            <w:pPr>
              <w:pStyle w:val="12"/>
            </w:pPr>
            <w:r>
              <w:t>5.24</w:t>
            </w:r>
          </w:p>
        </w:tc>
        <w:tc>
          <w:tcPr>
            <w:tcW w:w="1134" w:type="dxa"/>
            <w:vAlign w:val="center"/>
          </w:tcPr>
          <w:p>
            <w:pPr>
              <w:pStyle w:val="12"/>
            </w:pPr>
            <w:r>
              <w:t>5.24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5.24</w:t>
            </w:r>
          </w:p>
        </w:tc>
        <w:tc>
          <w:tcPr>
            <w:tcW w:w="1134" w:type="dxa"/>
            <w:vAlign w:val="center"/>
          </w:tcPr>
          <w:p>
            <w:pPr>
              <w:pStyle w:val="12"/>
            </w:pPr>
            <w:r>
              <w:t>5.24</w:t>
            </w:r>
          </w:p>
        </w:tc>
        <w:tc>
          <w:tcPr>
            <w:tcW w:w="1134" w:type="dxa"/>
            <w:vAlign w:val="center"/>
          </w:tcPr>
          <w:p>
            <w:pPr>
              <w:pStyle w:val="12"/>
            </w:pPr>
            <w:r>
              <w:t>5.24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12.87</w:t>
            </w:r>
          </w:p>
        </w:tc>
        <w:tc>
          <w:tcPr>
            <w:tcW w:w="1134" w:type="dxa"/>
            <w:vAlign w:val="center"/>
          </w:tcPr>
          <w:p>
            <w:pPr>
              <w:pStyle w:val="12"/>
            </w:pPr>
            <w:r>
              <w:t>12.87</w:t>
            </w:r>
          </w:p>
        </w:tc>
        <w:tc>
          <w:tcPr>
            <w:tcW w:w="1134" w:type="dxa"/>
            <w:vAlign w:val="center"/>
          </w:tcPr>
          <w:p>
            <w:pPr>
              <w:pStyle w:val="12"/>
            </w:pPr>
            <w:r>
              <w:t>12.87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12.87</w:t>
            </w:r>
          </w:p>
        </w:tc>
        <w:tc>
          <w:tcPr>
            <w:tcW w:w="1134" w:type="dxa"/>
            <w:vAlign w:val="center"/>
          </w:tcPr>
          <w:p>
            <w:pPr>
              <w:pStyle w:val="12"/>
            </w:pPr>
            <w:r>
              <w:t>12.87</w:t>
            </w:r>
          </w:p>
        </w:tc>
        <w:tc>
          <w:tcPr>
            <w:tcW w:w="1134" w:type="dxa"/>
            <w:vAlign w:val="center"/>
          </w:tcPr>
          <w:p>
            <w:pPr>
              <w:pStyle w:val="12"/>
            </w:pPr>
            <w:r>
              <w:t>12.87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12.87</w:t>
            </w:r>
          </w:p>
        </w:tc>
        <w:tc>
          <w:tcPr>
            <w:tcW w:w="1134" w:type="dxa"/>
            <w:vAlign w:val="center"/>
          </w:tcPr>
          <w:p>
            <w:pPr>
              <w:pStyle w:val="12"/>
            </w:pPr>
            <w:r>
              <w:t>12.87</w:t>
            </w:r>
          </w:p>
        </w:tc>
        <w:tc>
          <w:tcPr>
            <w:tcW w:w="1134" w:type="dxa"/>
            <w:vAlign w:val="center"/>
          </w:tcPr>
          <w:p>
            <w:pPr>
              <w:pStyle w:val="12"/>
            </w:pPr>
            <w:r>
              <w:t>12.87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311.82</w:t>
            </w:r>
          </w:p>
        </w:tc>
        <w:tc>
          <w:tcPr>
            <w:tcW w:w="1361" w:type="dxa"/>
            <w:vAlign w:val="center"/>
          </w:tcPr>
          <w:p>
            <w:pPr>
              <w:pStyle w:val="16"/>
            </w:pPr>
            <w:r>
              <w:t>211.38</w:t>
            </w:r>
          </w:p>
        </w:tc>
        <w:tc>
          <w:tcPr>
            <w:tcW w:w="1361" w:type="dxa"/>
            <w:vAlign w:val="center"/>
          </w:tcPr>
          <w:p>
            <w:pPr>
              <w:pStyle w:val="16"/>
            </w:pPr>
            <w:r>
              <w:t>100.44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254.21</w:t>
            </w:r>
          </w:p>
        </w:tc>
        <w:tc>
          <w:tcPr>
            <w:tcW w:w="1361" w:type="dxa"/>
            <w:vAlign w:val="center"/>
          </w:tcPr>
          <w:p>
            <w:pPr>
              <w:pStyle w:val="12"/>
            </w:pPr>
            <w:r>
              <w:t>153.77</w:t>
            </w:r>
          </w:p>
        </w:tc>
        <w:tc>
          <w:tcPr>
            <w:tcW w:w="1361" w:type="dxa"/>
            <w:vAlign w:val="center"/>
          </w:tcPr>
          <w:p>
            <w:pPr>
              <w:pStyle w:val="12"/>
            </w:pPr>
            <w:r>
              <w:t>100.44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20136</w:t>
            </w:r>
          </w:p>
        </w:tc>
        <w:tc>
          <w:tcPr>
            <w:tcW w:w="4535" w:type="dxa"/>
            <w:vAlign w:val="center"/>
          </w:tcPr>
          <w:p>
            <w:pPr>
              <w:pStyle w:val="13"/>
            </w:pPr>
            <w:r>
              <w:t>其他共产党事务支出</w:t>
            </w:r>
          </w:p>
        </w:tc>
        <w:tc>
          <w:tcPr>
            <w:tcW w:w="1361" w:type="dxa"/>
            <w:vAlign w:val="center"/>
          </w:tcPr>
          <w:p>
            <w:pPr>
              <w:pStyle w:val="12"/>
            </w:pPr>
            <w:r>
              <w:t>254.21</w:t>
            </w:r>
          </w:p>
        </w:tc>
        <w:tc>
          <w:tcPr>
            <w:tcW w:w="1361" w:type="dxa"/>
            <w:vAlign w:val="center"/>
          </w:tcPr>
          <w:p>
            <w:pPr>
              <w:pStyle w:val="12"/>
            </w:pPr>
            <w:r>
              <w:t>153.77</w:t>
            </w:r>
          </w:p>
        </w:tc>
        <w:tc>
          <w:tcPr>
            <w:tcW w:w="1361" w:type="dxa"/>
            <w:vAlign w:val="center"/>
          </w:tcPr>
          <w:p>
            <w:pPr>
              <w:pStyle w:val="12"/>
            </w:pPr>
            <w:r>
              <w:t>100.44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2013601</w:t>
            </w:r>
          </w:p>
        </w:tc>
        <w:tc>
          <w:tcPr>
            <w:tcW w:w="4535" w:type="dxa"/>
            <w:vAlign w:val="center"/>
          </w:tcPr>
          <w:p>
            <w:pPr>
              <w:pStyle w:val="13"/>
            </w:pPr>
            <w:r>
              <w:t>行政运行</w:t>
            </w:r>
          </w:p>
        </w:tc>
        <w:tc>
          <w:tcPr>
            <w:tcW w:w="1361" w:type="dxa"/>
            <w:vAlign w:val="center"/>
          </w:tcPr>
          <w:p>
            <w:pPr>
              <w:pStyle w:val="12"/>
            </w:pPr>
            <w:r>
              <w:t>153.77</w:t>
            </w:r>
          </w:p>
        </w:tc>
        <w:tc>
          <w:tcPr>
            <w:tcW w:w="1361" w:type="dxa"/>
            <w:vAlign w:val="center"/>
          </w:tcPr>
          <w:p>
            <w:pPr>
              <w:pStyle w:val="12"/>
            </w:pPr>
            <w:r>
              <w:t>153.77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2013602</w:t>
            </w:r>
          </w:p>
        </w:tc>
        <w:tc>
          <w:tcPr>
            <w:tcW w:w="4535" w:type="dxa"/>
            <w:vAlign w:val="center"/>
          </w:tcPr>
          <w:p>
            <w:pPr>
              <w:pStyle w:val="13"/>
            </w:pPr>
            <w:r>
              <w:t>一般行政管理事务</w:t>
            </w:r>
          </w:p>
        </w:tc>
        <w:tc>
          <w:tcPr>
            <w:tcW w:w="1361" w:type="dxa"/>
            <w:vAlign w:val="center"/>
          </w:tcPr>
          <w:p>
            <w:pPr>
              <w:pStyle w:val="12"/>
            </w:pPr>
            <w:r>
              <w:t>100.44</w:t>
            </w:r>
          </w:p>
        </w:tc>
        <w:tc>
          <w:tcPr>
            <w:tcW w:w="1361" w:type="dxa"/>
            <w:vAlign w:val="center"/>
          </w:tcPr>
          <w:p>
            <w:pPr>
              <w:pStyle w:val="12"/>
            </w:pPr>
          </w:p>
        </w:tc>
        <w:tc>
          <w:tcPr>
            <w:tcW w:w="1361" w:type="dxa"/>
            <w:vAlign w:val="center"/>
          </w:tcPr>
          <w:p>
            <w:pPr>
              <w:pStyle w:val="12"/>
            </w:pPr>
            <w:r>
              <w:t>100.44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39.50</w:t>
            </w:r>
          </w:p>
        </w:tc>
        <w:tc>
          <w:tcPr>
            <w:tcW w:w="1361" w:type="dxa"/>
            <w:vAlign w:val="center"/>
          </w:tcPr>
          <w:p>
            <w:pPr>
              <w:pStyle w:val="12"/>
            </w:pPr>
            <w:r>
              <w:t>39.50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39.50</w:t>
            </w:r>
          </w:p>
        </w:tc>
        <w:tc>
          <w:tcPr>
            <w:tcW w:w="1361" w:type="dxa"/>
            <w:vAlign w:val="center"/>
          </w:tcPr>
          <w:p>
            <w:pPr>
              <w:pStyle w:val="12"/>
            </w:pPr>
            <w:r>
              <w:t>39.50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23.76</w:t>
            </w:r>
          </w:p>
        </w:tc>
        <w:tc>
          <w:tcPr>
            <w:tcW w:w="1361" w:type="dxa"/>
            <w:vAlign w:val="center"/>
          </w:tcPr>
          <w:p>
            <w:pPr>
              <w:pStyle w:val="12"/>
            </w:pPr>
            <w:r>
              <w:t>23.76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15.74</w:t>
            </w:r>
          </w:p>
        </w:tc>
        <w:tc>
          <w:tcPr>
            <w:tcW w:w="1361" w:type="dxa"/>
            <w:vAlign w:val="center"/>
          </w:tcPr>
          <w:p>
            <w:pPr>
              <w:pStyle w:val="12"/>
            </w:pPr>
            <w:r>
              <w:t>15.74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5.24</w:t>
            </w:r>
          </w:p>
        </w:tc>
        <w:tc>
          <w:tcPr>
            <w:tcW w:w="1361" w:type="dxa"/>
            <w:vAlign w:val="center"/>
          </w:tcPr>
          <w:p>
            <w:pPr>
              <w:pStyle w:val="12"/>
            </w:pPr>
            <w:r>
              <w:t>5.24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5.24</w:t>
            </w:r>
          </w:p>
        </w:tc>
        <w:tc>
          <w:tcPr>
            <w:tcW w:w="1361" w:type="dxa"/>
            <w:vAlign w:val="center"/>
          </w:tcPr>
          <w:p>
            <w:pPr>
              <w:pStyle w:val="12"/>
            </w:pPr>
            <w:r>
              <w:t>5.24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5.24</w:t>
            </w:r>
          </w:p>
        </w:tc>
        <w:tc>
          <w:tcPr>
            <w:tcW w:w="1361" w:type="dxa"/>
            <w:vAlign w:val="center"/>
          </w:tcPr>
          <w:p>
            <w:pPr>
              <w:pStyle w:val="12"/>
            </w:pPr>
            <w:r>
              <w:t>5.24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12.87</w:t>
            </w:r>
          </w:p>
        </w:tc>
        <w:tc>
          <w:tcPr>
            <w:tcW w:w="1361" w:type="dxa"/>
            <w:vAlign w:val="center"/>
          </w:tcPr>
          <w:p>
            <w:pPr>
              <w:pStyle w:val="12"/>
            </w:pPr>
            <w:r>
              <w:t>12.87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12.87</w:t>
            </w:r>
          </w:p>
        </w:tc>
        <w:tc>
          <w:tcPr>
            <w:tcW w:w="1361" w:type="dxa"/>
            <w:vAlign w:val="center"/>
          </w:tcPr>
          <w:p>
            <w:pPr>
              <w:pStyle w:val="12"/>
            </w:pPr>
            <w:r>
              <w:t>12.87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12.87</w:t>
            </w:r>
          </w:p>
        </w:tc>
        <w:tc>
          <w:tcPr>
            <w:tcW w:w="1361" w:type="dxa"/>
            <w:vAlign w:val="center"/>
          </w:tcPr>
          <w:p>
            <w:pPr>
              <w:pStyle w:val="12"/>
            </w:pPr>
            <w:r>
              <w:t>12.87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311.82</w:t>
            </w:r>
          </w:p>
        </w:tc>
        <w:tc>
          <w:tcPr>
            <w:tcW w:w="3402" w:type="dxa"/>
            <w:vAlign w:val="center"/>
          </w:tcPr>
          <w:p>
            <w:pPr>
              <w:pStyle w:val="13"/>
            </w:pPr>
            <w:r>
              <w:t>一、一般公共服务支出</w:t>
            </w:r>
          </w:p>
        </w:tc>
        <w:tc>
          <w:tcPr>
            <w:tcW w:w="1474" w:type="dxa"/>
            <w:vAlign w:val="center"/>
          </w:tcPr>
          <w:p>
            <w:pPr>
              <w:pStyle w:val="12"/>
            </w:pPr>
            <w:r>
              <w:t>254.21</w:t>
            </w:r>
          </w:p>
        </w:tc>
        <w:tc>
          <w:tcPr>
            <w:tcW w:w="1474" w:type="dxa"/>
            <w:vAlign w:val="center"/>
          </w:tcPr>
          <w:p>
            <w:pPr>
              <w:pStyle w:val="12"/>
            </w:pPr>
            <w:r>
              <w:t>254.21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39.50</w:t>
            </w:r>
          </w:p>
        </w:tc>
        <w:tc>
          <w:tcPr>
            <w:tcW w:w="1474" w:type="dxa"/>
            <w:vAlign w:val="center"/>
          </w:tcPr>
          <w:p>
            <w:pPr>
              <w:pStyle w:val="12"/>
            </w:pPr>
            <w:r>
              <w:t>39.50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5.24</w:t>
            </w:r>
          </w:p>
        </w:tc>
        <w:tc>
          <w:tcPr>
            <w:tcW w:w="1474" w:type="dxa"/>
            <w:vAlign w:val="center"/>
          </w:tcPr>
          <w:p>
            <w:pPr>
              <w:pStyle w:val="12"/>
            </w:pPr>
            <w:r>
              <w:t>5.24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12.87</w:t>
            </w:r>
          </w:p>
        </w:tc>
        <w:tc>
          <w:tcPr>
            <w:tcW w:w="1474" w:type="dxa"/>
            <w:vAlign w:val="center"/>
          </w:tcPr>
          <w:p>
            <w:pPr>
              <w:pStyle w:val="12"/>
            </w:pPr>
            <w:r>
              <w:t>12.87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311.82</w:t>
            </w:r>
          </w:p>
        </w:tc>
        <w:tc>
          <w:tcPr>
            <w:tcW w:w="3402" w:type="dxa"/>
            <w:vAlign w:val="center"/>
          </w:tcPr>
          <w:p>
            <w:pPr>
              <w:pStyle w:val="15"/>
            </w:pPr>
            <w:r>
              <w:t>本年支出合计</w:t>
            </w:r>
          </w:p>
        </w:tc>
        <w:tc>
          <w:tcPr>
            <w:tcW w:w="1474" w:type="dxa"/>
            <w:vAlign w:val="center"/>
          </w:tcPr>
          <w:p>
            <w:pPr>
              <w:pStyle w:val="16"/>
            </w:pPr>
            <w:r>
              <w:t>311.82</w:t>
            </w:r>
          </w:p>
        </w:tc>
        <w:tc>
          <w:tcPr>
            <w:tcW w:w="1474" w:type="dxa"/>
            <w:vAlign w:val="center"/>
          </w:tcPr>
          <w:p>
            <w:pPr>
              <w:pStyle w:val="16"/>
            </w:pPr>
            <w:r>
              <w:t>311.82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311.82</w:t>
            </w:r>
          </w:p>
        </w:tc>
        <w:tc>
          <w:tcPr>
            <w:tcW w:w="3402" w:type="dxa"/>
            <w:vAlign w:val="center"/>
          </w:tcPr>
          <w:p>
            <w:pPr>
              <w:pStyle w:val="15"/>
            </w:pPr>
            <w:r>
              <w:t>支出总计</w:t>
            </w:r>
          </w:p>
        </w:tc>
        <w:tc>
          <w:tcPr>
            <w:tcW w:w="1474" w:type="dxa"/>
            <w:vAlign w:val="center"/>
          </w:tcPr>
          <w:p>
            <w:pPr>
              <w:pStyle w:val="16"/>
            </w:pPr>
            <w:r>
              <w:t>311.82</w:t>
            </w:r>
          </w:p>
        </w:tc>
        <w:tc>
          <w:tcPr>
            <w:tcW w:w="1474" w:type="dxa"/>
            <w:vAlign w:val="center"/>
          </w:tcPr>
          <w:p>
            <w:pPr>
              <w:pStyle w:val="16"/>
            </w:pPr>
            <w:r>
              <w:t>311.82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311.82</w:t>
            </w:r>
          </w:p>
        </w:tc>
        <w:tc>
          <w:tcPr>
            <w:tcW w:w="2551" w:type="dxa"/>
            <w:vAlign w:val="center"/>
          </w:tcPr>
          <w:p>
            <w:pPr>
              <w:pStyle w:val="16"/>
            </w:pPr>
            <w:r>
              <w:t>211.38</w:t>
            </w:r>
          </w:p>
        </w:tc>
        <w:tc>
          <w:tcPr>
            <w:tcW w:w="2551" w:type="dxa"/>
            <w:vAlign w:val="center"/>
          </w:tcPr>
          <w:p>
            <w:pPr>
              <w:pStyle w:val="16"/>
            </w:pPr>
            <w:r>
              <w:t>100.44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254.21</w:t>
            </w:r>
          </w:p>
        </w:tc>
        <w:tc>
          <w:tcPr>
            <w:tcW w:w="2551" w:type="dxa"/>
            <w:vAlign w:val="center"/>
          </w:tcPr>
          <w:p>
            <w:pPr>
              <w:pStyle w:val="12"/>
            </w:pPr>
            <w:r>
              <w:t>153.77</w:t>
            </w:r>
          </w:p>
        </w:tc>
        <w:tc>
          <w:tcPr>
            <w:tcW w:w="2551" w:type="dxa"/>
            <w:vAlign w:val="center"/>
          </w:tcPr>
          <w:p>
            <w:pPr>
              <w:pStyle w:val="12"/>
            </w:pPr>
            <w:r>
              <w:t>100.44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20136</w:t>
            </w:r>
          </w:p>
        </w:tc>
        <w:tc>
          <w:tcPr>
            <w:tcW w:w="4535" w:type="dxa"/>
            <w:vAlign w:val="center"/>
          </w:tcPr>
          <w:p>
            <w:pPr>
              <w:pStyle w:val="13"/>
            </w:pPr>
            <w:r>
              <w:t>其他共产党事务支出</w:t>
            </w:r>
          </w:p>
        </w:tc>
        <w:tc>
          <w:tcPr>
            <w:tcW w:w="2551" w:type="dxa"/>
            <w:vAlign w:val="center"/>
          </w:tcPr>
          <w:p>
            <w:pPr>
              <w:pStyle w:val="12"/>
            </w:pPr>
            <w:r>
              <w:t>254.21</w:t>
            </w:r>
          </w:p>
        </w:tc>
        <w:tc>
          <w:tcPr>
            <w:tcW w:w="2551" w:type="dxa"/>
            <w:vAlign w:val="center"/>
          </w:tcPr>
          <w:p>
            <w:pPr>
              <w:pStyle w:val="12"/>
            </w:pPr>
            <w:r>
              <w:t>153.77</w:t>
            </w:r>
          </w:p>
        </w:tc>
        <w:tc>
          <w:tcPr>
            <w:tcW w:w="2551" w:type="dxa"/>
            <w:vAlign w:val="center"/>
          </w:tcPr>
          <w:p>
            <w:pPr>
              <w:pStyle w:val="12"/>
            </w:pPr>
            <w:r>
              <w:t>100.44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2013601</w:t>
            </w:r>
          </w:p>
        </w:tc>
        <w:tc>
          <w:tcPr>
            <w:tcW w:w="4535" w:type="dxa"/>
            <w:vAlign w:val="center"/>
          </w:tcPr>
          <w:p>
            <w:pPr>
              <w:pStyle w:val="13"/>
            </w:pPr>
            <w:r>
              <w:t>行政运行</w:t>
            </w:r>
          </w:p>
        </w:tc>
        <w:tc>
          <w:tcPr>
            <w:tcW w:w="2551" w:type="dxa"/>
            <w:vAlign w:val="center"/>
          </w:tcPr>
          <w:p>
            <w:pPr>
              <w:pStyle w:val="12"/>
            </w:pPr>
            <w:r>
              <w:t>153.77</w:t>
            </w:r>
          </w:p>
        </w:tc>
        <w:tc>
          <w:tcPr>
            <w:tcW w:w="2551" w:type="dxa"/>
            <w:vAlign w:val="center"/>
          </w:tcPr>
          <w:p>
            <w:pPr>
              <w:pStyle w:val="12"/>
            </w:pPr>
            <w:r>
              <w:t>153.77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2013602</w:t>
            </w:r>
          </w:p>
        </w:tc>
        <w:tc>
          <w:tcPr>
            <w:tcW w:w="4535" w:type="dxa"/>
            <w:vAlign w:val="center"/>
          </w:tcPr>
          <w:p>
            <w:pPr>
              <w:pStyle w:val="13"/>
            </w:pPr>
            <w:r>
              <w:t>一般行政管理事务</w:t>
            </w:r>
          </w:p>
        </w:tc>
        <w:tc>
          <w:tcPr>
            <w:tcW w:w="2551" w:type="dxa"/>
            <w:vAlign w:val="center"/>
          </w:tcPr>
          <w:p>
            <w:pPr>
              <w:pStyle w:val="12"/>
            </w:pPr>
            <w:r>
              <w:t>100.44</w:t>
            </w:r>
          </w:p>
        </w:tc>
        <w:tc>
          <w:tcPr>
            <w:tcW w:w="2551" w:type="dxa"/>
            <w:vAlign w:val="center"/>
          </w:tcPr>
          <w:p>
            <w:pPr>
              <w:pStyle w:val="12"/>
            </w:pPr>
          </w:p>
        </w:tc>
        <w:tc>
          <w:tcPr>
            <w:tcW w:w="2551" w:type="dxa"/>
            <w:vAlign w:val="center"/>
          </w:tcPr>
          <w:p>
            <w:pPr>
              <w:pStyle w:val="12"/>
            </w:pPr>
            <w:r>
              <w:t>100.44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39.50</w:t>
            </w:r>
          </w:p>
        </w:tc>
        <w:tc>
          <w:tcPr>
            <w:tcW w:w="2551" w:type="dxa"/>
            <w:vAlign w:val="center"/>
          </w:tcPr>
          <w:p>
            <w:pPr>
              <w:pStyle w:val="12"/>
            </w:pPr>
            <w:r>
              <w:t>39.50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39.50</w:t>
            </w:r>
          </w:p>
        </w:tc>
        <w:tc>
          <w:tcPr>
            <w:tcW w:w="2551" w:type="dxa"/>
            <w:vAlign w:val="center"/>
          </w:tcPr>
          <w:p>
            <w:pPr>
              <w:pStyle w:val="12"/>
            </w:pPr>
            <w:r>
              <w:t>39.50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23.76</w:t>
            </w:r>
          </w:p>
        </w:tc>
        <w:tc>
          <w:tcPr>
            <w:tcW w:w="2551" w:type="dxa"/>
            <w:vAlign w:val="center"/>
          </w:tcPr>
          <w:p>
            <w:pPr>
              <w:pStyle w:val="12"/>
            </w:pPr>
            <w:r>
              <w:t>23.76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15.74</w:t>
            </w:r>
          </w:p>
        </w:tc>
        <w:tc>
          <w:tcPr>
            <w:tcW w:w="2551" w:type="dxa"/>
            <w:vAlign w:val="center"/>
          </w:tcPr>
          <w:p>
            <w:pPr>
              <w:pStyle w:val="12"/>
            </w:pPr>
            <w:r>
              <w:t>15.74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5.24</w:t>
            </w:r>
          </w:p>
        </w:tc>
        <w:tc>
          <w:tcPr>
            <w:tcW w:w="2551" w:type="dxa"/>
            <w:vAlign w:val="center"/>
          </w:tcPr>
          <w:p>
            <w:pPr>
              <w:pStyle w:val="12"/>
            </w:pPr>
            <w:r>
              <w:t>5.24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5.24</w:t>
            </w:r>
          </w:p>
        </w:tc>
        <w:tc>
          <w:tcPr>
            <w:tcW w:w="2551" w:type="dxa"/>
            <w:vAlign w:val="center"/>
          </w:tcPr>
          <w:p>
            <w:pPr>
              <w:pStyle w:val="12"/>
            </w:pPr>
            <w:r>
              <w:t>5.24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5.24</w:t>
            </w:r>
          </w:p>
        </w:tc>
        <w:tc>
          <w:tcPr>
            <w:tcW w:w="2551" w:type="dxa"/>
            <w:vAlign w:val="center"/>
          </w:tcPr>
          <w:p>
            <w:pPr>
              <w:pStyle w:val="12"/>
            </w:pPr>
            <w:r>
              <w:t>5.24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12.87</w:t>
            </w:r>
          </w:p>
        </w:tc>
        <w:tc>
          <w:tcPr>
            <w:tcW w:w="2551" w:type="dxa"/>
            <w:vAlign w:val="center"/>
          </w:tcPr>
          <w:p>
            <w:pPr>
              <w:pStyle w:val="12"/>
            </w:pPr>
            <w:r>
              <w:t>12.87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12.87</w:t>
            </w:r>
          </w:p>
        </w:tc>
        <w:tc>
          <w:tcPr>
            <w:tcW w:w="2551" w:type="dxa"/>
            <w:vAlign w:val="center"/>
          </w:tcPr>
          <w:p>
            <w:pPr>
              <w:pStyle w:val="12"/>
            </w:pPr>
            <w:r>
              <w:t>12.87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12.87</w:t>
            </w:r>
          </w:p>
        </w:tc>
        <w:tc>
          <w:tcPr>
            <w:tcW w:w="2551" w:type="dxa"/>
            <w:vAlign w:val="center"/>
          </w:tcPr>
          <w:p>
            <w:pPr>
              <w:pStyle w:val="12"/>
            </w:pPr>
            <w:r>
              <w:t>12.87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211.38</w:t>
            </w:r>
          </w:p>
        </w:tc>
        <w:tc>
          <w:tcPr>
            <w:tcW w:w="2551" w:type="dxa"/>
            <w:vAlign w:val="center"/>
          </w:tcPr>
          <w:p>
            <w:pPr>
              <w:pStyle w:val="16"/>
            </w:pPr>
            <w:r>
              <w:t>190.21</w:t>
            </w:r>
          </w:p>
        </w:tc>
        <w:tc>
          <w:tcPr>
            <w:tcW w:w="2551" w:type="dxa"/>
            <w:vAlign w:val="center"/>
          </w:tcPr>
          <w:p>
            <w:pPr>
              <w:pStyle w:val="16"/>
            </w:pPr>
            <w:r>
              <w:t>21.17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166.99</w:t>
            </w:r>
          </w:p>
        </w:tc>
        <w:tc>
          <w:tcPr>
            <w:tcW w:w="2551" w:type="dxa"/>
            <w:vAlign w:val="center"/>
          </w:tcPr>
          <w:p>
            <w:pPr>
              <w:pStyle w:val="12"/>
            </w:pPr>
            <w:r>
              <w:t>166.99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59.17</w:t>
            </w:r>
          </w:p>
        </w:tc>
        <w:tc>
          <w:tcPr>
            <w:tcW w:w="2551" w:type="dxa"/>
            <w:vAlign w:val="center"/>
          </w:tcPr>
          <w:p>
            <w:pPr>
              <w:pStyle w:val="12"/>
            </w:pPr>
            <w:r>
              <w:t>59.17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42.36</w:t>
            </w:r>
          </w:p>
        </w:tc>
        <w:tc>
          <w:tcPr>
            <w:tcW w:w="2551" w:type="dxa"/>
            <w:vAlign w:val="center"/>
          </w:tcPr>
          <w:p>
            <w:pPr>
              <w:pStyle w:val="12"/>
            </w:pPr>
            <w:r>
              <w:t>42.36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31.22</w:t>
            </w:r>
          </w:p>
        </w:tc>
        <w:tc>
          <w:tcPr>
            <w:tcW w:w="2551" w:type="dxa"/>
            <w:vAlign w:val="center"/>
          </w:tcPr>
          <w:p>
            <w:pPr>
              <w:pStyle w:val="12"/>
            </w:pPr>
            <w:r>
              <w:t>31.22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15.74</w:t>
            </w:r>
          </w:p>
        </w:tc>
        <w:tc>
          <w:tcPr>
            <w:tcW w:w="2551" w:type="dxa"/>
            <w:vAlign w:val="center"/>
          </w:tcPr>
          <w:p>
            <w:pPr>
              <w:pStyle w:val="12"/>
            </w:pPr>
            <w:r>
              <w:t>15.74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5.24</w:t>
            </w:r>
          </w:p>
        </w:tc>
        <w:tc>
          <w:tcPr>
            <w:tcW w:w="2551" w:type="dxa"/>
            <w:vAlign w:val="center"/>
          </w:tcPr>
          <w:p>
            <w:pPr>
              <w:pStyle w:val="12"/>
            </w:pPr>
            <w:r>
              <w:t>5.24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0.40</w:t>
            </w:r>
          </w:p>
        </w:tc>
        <w:tc>
          <w:tcPr>
            <w:tcW w:w="2551" w:type="dxa"/>
            <w:vAlign w:val="center"/>
          </w:tcPr>
          <w:p>
            <w:pPr>
              <w:pStyle w:val="12"/>
            </w:pPr>
            <w:r>
              <w:t>0.40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12.87</w:t>
            </w:r>
          </w:p>
        </w:tc>
        <w:tc>
          <w:tcPr>
            <w:tcW w:w="2551" w:type="dxa"/>
            <w:vAlign w:val="center"/>
          </w:tcPr>
          <w:p>
            <w:pPr>
              <w:pStyle w:val="12"/>
            </w:pPr>
            <w:r>
              <w:t>12.87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21.17</w:t>
            </w:r>
          </w:p>
        </w:tc>
        <w:tc>
          <w:tcPr>
            <w:tcW w:w="2551" w:type="dxa"/>
            <w:vAlign w:val="center"/>
          </w:tcPr>
          <w:p>
            <w:pPr>
              <w:pStyle w:val="12"/>
            </w:pPr>
          </w:p>
        </w:tc>
        <w:tc>
          <w:tcPr>
            <w:tcW w:w="2551" w:type="dxa"/>
            <w:vAlign w:val="center"/>
          </w:tcPr>
          <w:p>
            <w:pPr>
              <w:pStyle w:val="12"/>
            </w:pPr>
            <w:r>
              <w:t>21.17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2.61</w:t>
            </w:r>
          </w:p>
        </w:tc>
        <w:tc>
          <w:tcPr>
            <w:tcW w:w="2551" w:type="dxa"/>
            <w:vAlign w:val="center"/>
          </w:tcPr>
          <w:p>
            <w:pPr>
              <w:pStyle w:val="12"/>
            </w:pPr>
          </w:p>
        </w:tc>
        <w:tc>
          <w:tcPr>
            <w:tcW w:w="2551" w:type="dxa"/>
            <w:vAlign w:val="center"/>
          </w:tcPr>
          <w:p>
            <w:pPr>
              <w:pStyle w:val="12"/>
            </w:pPr>
            <w:r>
              <w:t>2.61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4.14</w:t>
            </w:r>
          </w:p>
        </w:tc>
        <w:tc>
          <w:tcPr>
            <w:tcW w:w="2551" w:type="dxa"/>
            <w:vAlign w:val="center"/>
          </w:tcPr>
          <w:p>
            <w:pPr>
              <w:pStyle w:val="12"/>
            </w:pPr>
          </w:p>
        </w:tc>
        <w:tc>
          <w:tcPr>
            <w:tcW w:w="2551" w:type="dxa"/>
            <w:vAlign w:val="center"/>
          </w:tcPr>
          <w:p>
            <w:pPr>
              <w:pStyle w:val="12"/>
            </w:pPr>
            <w:r>
              <w:t>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0.09</w:t>
            </w:r>
          </w:p>
        </w:tc>
        <w:tc>
          <w:tcPr>
            <w:tcW w:w="2551" w:type="dxa"/>
            <w:vAlign w:val="center"/>
          </w:tcPr>
          <w:p>
            <w:pPr>
              <w:pStyle w:val="12"/>
            </w:pPr>
          </w:p>
        </w:tc>
        <w:tc>
          <w:tcPr>
            <w:tcW w:w="2551" w:type="dxa"/>
            <w:vAlign w:val="center"/>
          </w:tcPr>
          <w:p>
            <w:pPr>
              <w:pStyle w:val="12"/>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1.47</w:t>
            </w:r>
          </w:p>
        </w:tc>
        <w:tc>
          <w:tcPr>
            <w:tcW w:w="2551" w:type="dxa"/>
            <w:vAlign w:val="center"/>
          </w:tcPr>
          <w:p>
            <w:pPr>
              <w:pStyle w:val="12"/>
            </w:pPr>
          </w:p>
        </w:tc>
        <w:tc>
          <w:tcPr>
            <w:tcW w:w="2551" w:type="dxa"/>
            <w:vAlign w:val="center"/>
          </w:tcPr>
          <w:p>
            <w:pPr>
              <w:pStyle w:val="12"/>
            </w:pPr>
            <w:r>
              <w:t>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6.90</w:t>
            </w:r>
          </w:p>
        </w:tc>
        <w:tc>
          <w:tcPr>
            <w:tcW w:w="2551" w:type="dxa"/>
            <w:vAlign w:val="center"/>
          </w:tcPr>
          <w:p>
            <w:pPr>
              <w:pStyle w:val="12"/>
            </w:pPr>
          </w:p>
        </w:tc>
        <w:tc>
          <w:tcPr>
            <w:tcW w:w="2551" w:type="dxa"/>
            <w:vAlign w:val="center"/>
          </w:tcPr>
          <w:p>
            <w:pPr>
              <w:pStyle w:val="12"/>
            </w:pPr>
            <w:r>
              <w:t>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1.93</w:t>
            </w:r>
          </w:p>
        </w:tc>
        <w:tc>
          <w:tcPr>
            <w:tcW w:w="2551" w:type="dxa"/>
            <w:vAlign w:val="center"/>
          </w:tcPr>
          <w:p>
            <w:pPr>
              <w:pStyle w:val="12"/>
            </w:pPr>
          </w:p>
        </w:tc>
        <w:tc>
          <w:tcPr>
            <w:tcW w:w="2551" w:type="dxa"/>
            <w:vAlign w:val="center"/>
          </w:tcPr>
          <w:p>
            <w:pPr>
              <w:pStyle w:val="12"/>
            </w:pPr>
            <w:r>
              <w:t>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23.22</w:t>
            </w:r>
          </w:p>
        </w:tc>
        <w:tc>
          <w:tcPr>
            <w:tcW w:w="2551" w:type="dxa"/>
            <w:vAlign w:val="center"/>
          </w:tcPr>
          <w:p>
            <w:pPr>
              <w:pStyle w:val="12"/>
            </w:pPr>
            <w:r>
              <w:t>23.22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23.22</w:t>
            </w:r>
          </w:p>
        </w:tc>
        <w:tc>
          <w:tcPr>
            <w:tcW w:w="2551" w:type="dxa"/>
            <w:vAlign w:val="center"/>
          </w:tcPr>
          <w:p>
            <w:pPr>
              <w:pStyle w:val="12"/>
            </w:pPr>
            <w:r>
              <w:t>23.22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2.52</w:t>
            </w:r>
          </w:p>
        </w:tc>
        <w:tc>
          <w:tcPr>
            <w:tcW w:w="2381" w:type="dxa"/>
            <w:vAlign w:val="center"/>
          </w:tcPr>
          <w:p>
            <w:pPr>
              <w:pStyle w:val="16"/>
            </w:pPr>
            <w:r>
              <w:t>2.52</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2.52</w:t>
            </w:r>
          </w:p>
        </w:tc>
        <w:tc>
          <w:tcPr>
            <w:tcW w:w="2381" w:type="dxa"/>
            <w:vAlign w:val="center"/>
          </w:tcPr>
          <w:p>
            <w:pPr>
              <w:pStyle w:val="12"/>
            </w:pPr>
            <w:r>
              <w:t>2.52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0.09</w:t>
            </w:r>
          </w:p>
        </w:tc>
        <w:tc>
          <w:tcPr>
            <w:tcW w:w="2381" w:type="dxa"/>
            <w:vAlign w:val="center"/>
          </w:tcPr>
          <w:p>
            <w:pPr>
              <w:pStyle w:val="12"/>
            </w:pPr>
            <w:r>
              <w:t>0.09</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保定市徐水区信访局2025年部门预算信息公开情况说明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保定市徐水区信访局2025年部门预算信息公开情况说明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按照《中华人民共和国预算法》、《地方预决算公开操作规程》和《关于进一步推进预算公开工作的实施意见》规定，现将保定市徐水区信访局2025年部门预算公开如下：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（一）研究提出全区信访工作思路，拟订信访工作规范性文件。</w:t>
      </w:r>
    </w:p>
    <w:p>
      <w:pPr>
        <w:pStyle w:val="18"/>
      </w:pPr>
      <w:r>
        <w:t>（二）办理人民群众来信，接待群众来访，受理群众网上投诉，督办信访案件，负责人民群众建议征集工作。</w:t>
      </w:r>
    </w:p>
    <w:p>
      <w:pPr>
        <w:pStyle w:val="18"/>
      </w:pPr>
      <w:r>
        <w:t>（三）调查研究和综合分析全区信访形势及信访工作状况，总结推广各乡镇（城区办）、区直各部门信访工作经验，提出改进和加强信访工作的意见和建议。</w:t>
      </w:r>
    </w:p>
    <w:p>
      <w:pPr>
        <w:pStyle w:val="18"/>
      </w:pPr>
      <w:r>
        <w:t>（四）参与处理影响社会政治稳定的突发性、群体性事件，协调保障国家和省、市、区重大政治活动顺利进行。</w:t>
      </w:r>
    </w:p>
    <w:p>
      <w:pPr>
        <w:pStyle w:val="18"/>
      </w:pPr>
      <w:r>
        <w:t>（五）督促检查和指导乡镇（城区办）党委、政府和区直部门的信访工作，对乡镇（城区办）党委、政府和区直部门信访工作年度责任目标进行考核，对全区社会治安综合治理和维护社会政治稳定年度责任目标中有关信访工作进行考核。</w:t>
      </w:r>
    </w:p>
    <w:p>
      <w:pPr>
        <w:pStyle w:val="18"/>
      </w:pPr>
      <w:r>
        <w:t>（六）协助国家、省、市信访局处理徐水区群众进京、赴省、到市上访，综合协调处理跨地区、跨部门、跨行业的重要信访问题。</w:t>
      </w:r>
    </w:p>
    <w:p>
      <w:pPr>
        <w:pStyle w:val="18"/>
      </w:pPr>
      <w:r>
        <w:t>（七）负责区级领导公开接访、包联督访和重点信访事项会商的组织协调工作。</w:t>
      </w:r>
    </w:p>
    <w:p>
      <w:pPr>
        <w:pStyle w:val="18"/>
      </w:pPr>
      <w:r>
        <w:t>（八）承担保定市徐水区信访工作联席会议的日常工作，督促落实联席会议决定的事项。</w:t>
      </w:r>
    </w:p>
    <w:p>
      <w:pPr>
        <w:pStyle w:val="18"/>
      </w:pPr>
      <w:r>
        <w:t>（九）负责保定市徐水区群众工作中心工作。</w:t>
      </w:r>
    </w:p>
    <w:p>
      <w:pPr>
        <w:pStyle w:val="18"/>
      </w:pPr>
      <w:r>
        <w:t>（十）承办区委、区政府以及国家信访局、省信访局、市信访局交办的其他任务。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保定市徐水区信访局本级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按照预算管理有关规定，目前部门预算的编制实行综合预算管理，即全部收入和支出都反映在预算中。保定市徐水区信访局机关及所属事业单位的收支包含在部门预算中。</w:t>
      </w:r>
    </w:p>
    <w:p>
      <w:pPr>
        <w:pStyle w:val="19"/>
      </w:pPr>
      <w:r>
        <w:t>1、收入说明</w:t>
      </w:r>
    </w:p>
    <w:p>
      <w:pPr>
        <w:pStyle w:val="19"/>
      </w:pPr>
      <w:r>
        <w:t>反映本部门当年全部收入。2025年预算收入311.82万元，其中：一般公共预算收入311.82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保定市徐水区信访局年度部门预算中支出预算的总体情况。2025年支出预算311.82万元，其中基本支出211.38万元，包括人员经费190.21万元和日常公用经费21.17万元；项目支出100.44万元，主要为（1）化解重点疑难信访案件专项经费，金额53.79万元；（2）徐水区群众工作中心运行经费，金额5.00万元；（3）国家、省、市重大会议及节假日值班经费，金额27.44万元；（4）选派劳务派遣人员经费，金额14.21万元。</w:t>
      </w:r>
    </w:p>
    <w:p>
      <w:pPr>
        <w:pStyle w:val="19"/>
      </w:pPr>
      <w:r>
        <w:t>3、比上年增减情况</w:t>
      </w:r>
    </w:p>
    <w:p>
      <w:pPr>
        <w:pStyle w:val="19"/>
      </w:pPr>
      <w:r>
        <w:t>2025年预算收支安排311.82万元，较2024年预算增加5.26万元，其中：基本支出增加5.26万元，主要为人员经费增加3.78万元，公用经费增加1.48万元。项目支出减少0.00万元，主要为无变化。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2025年，我部门机关运行经费共计安排21.17万元，主要用于日常维修、办公用房水电费、办公用房取暖费、办公用房物业管理费等日常运行支出。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2.52万元，其中因公出国（境）费0.00万元；公务用车购置及运维费2.43万元（其中：公务用车购置费为0.00万元，公务用车运维费2.43万元)；公务接待费0.09万元。与2024年相比增加0.00万元，增减变化的主要原因是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部门以落实《信访条例》为基准，畅通信访渠道，办理人民群众来信，接待群众来访，受理群众网上投诉，督办信访案件，负责人民群众建议征集工作，保障徐水区群众工作中心工作正常运转；协助国家、省、市信访局处理徐水区群众进京、赴省、到市上访，综合协调处理跨地区、跨部门、跨行业的重要信访问题；参与处理影响社会政治稳定的突发性、群体性事件，协调保障国家和省、市、区重大政治活动顺利进行；调查研究和综合分析全区信访形势及信访工作状况；督促检查和指导乡镇（城区办）党委、政府和区直部门的信访工作；负责区级领导公开接访、包联督访和重点信访事项会商的组织协调工作；承担保定市徐水区信访工作联席会议的日常工作，督促落实联席会议决定的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（一）畅通信访渠道，规范信访秩序</w:t>
      </w:r>
    </w:p>
    <w:p>
      <w:pPr>
        <w:pStyle w:val="23"/>
      </w:pPr>
      <w:r>
        <w:t>绩效目标：办理人民群众来信、来访、网上信访；协助上级信访局处理越级上访工作。畅通信访渠道，提高信访事项办理质量和效率。保障全区信访工作的正常开展和单位行政管理方面的工作正常运转。</w:t>
      </w:r>
    </w:p>
    <w:p>
      <w:pPr>
        <w:pStyle w:val="23"/>
      </w:pPr>
      <w:r>
        <w:t>绩效指标：购买办公用品不少于4批次，印刷宣传品不少于2批次，便于群众学习信访知识。购买办公用品达标率和印刷宣传品达标率不小于98%，保障全区信访工作的正常开展和单位行政管理方面的工作正常运转。</w:t>
      </w:r>
    </w:p>
    <w:p>
      <w:pPr>
        <w:pStyle w:val="23"/>
      </w:pPr>
      <w:r>
        <w:t>（二）处置非访、突发性及群体性事件</w:t>
      </w:r>
    </w:p>
    <w:p>
      <w:pPr>
        <w:pStyle w:val="23"/>
      </w:pPr>
      <w:r>
        <w:t>绩效目标：协助公安机关维护重点区域的正常工作秩序；处置影响社会政治稳定的各类非访、突发性、群体性事件；负责组织协调、稳控劝返、服务保障我区越级非访工作。</w:t>
      </w:r>
    </w:p>
    <w:p>
      <w:pPr>
        <w:pStyle w:val="23"/>
      </w:pPr>
      <w:r>
        <w:t>绩效指标：进京、赴省、到市出差人员不少于3人；信访案件妥善处置率达到95%以上；信访隐患排查率达到95%以上。</w:t>
      </w:r>
    </w:p>
    <w:p>
      <w:pPr>
        <w:pStyle w:val="23"/>
      </w:pPr>
      <w:r>
        <w:t>（三）强化解决信访问题</w:t>
      </w:r>
    </w:p>
    <w:p>
      <w:pPr>
        <w:pStyle w:val="23"/>
      </w:pPr>
      <w:r>
        <w:t>绩效目标：全力化解影响全区稳定的重点疑难信访案件和久拖未决的历史遗留问题。及时妥善处理突发性信访事件，最大限度解决问题、消除积案。</w:t>
      </w:r>
    </w:p>
    <w:p>
      <w:pPr>
        <w:pStyle w:val="23"/>
      </w:pPr>
      <w:r>
        <w:t>绩效指标：信访经费及时调剂到不少于3个相关需求部门；信访案件妥善处置率达到95%以上，疑难案件“回流率“控制在20%以内。</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为充分履行我单位部门职责，达到上述绩效目标要求，并保证年度发展规划目标的顺利实现，采取下列几项措施：</w:t>
      </w:r>
    </w:p>
    <w:p>
      <w:pPr>
        <w:pStyle w:val="24"/>
      </w:pPr>
      <w:r>
        <w:t>1、完善制度建设：通过不断完善支付制度，保证预算绩效目标顺利完成。</w:t>
      </w:r>
    </w:p>
    <w:p>
      <w:pPr>
        <w:pStyle w:val="24"/>
      </w:pPr>
      <w:r>
        <w:t>2、加强支出管理：通过优化支出结构、编细编实预算、加快履行政府采购手续、尽快启动项目、尽快支付资金等多项措施保证达到支出进度。</w:t>
      </w:r>
    </w:p>
    <w:p>
      <w:pPr>
        <w:pStyle w:val="24"/>
      </w:pPr>
      <w:r>
        <w:t>3、加强绩效运行监控：按要求开展绩效运行监控，发现问题及时采取措施，确保绩效目标保质如期实现。</w:t>
      </w:r>
    </w:p>
    <w:p>
      <w:pPr>
        <w:pStyle w:val="24"/>
      </w:pPr>
      <w:r>
        <w:t>4、做好绩效自评：按要求开展上一年度预算绩效自评和重点评价工作，对评价中发现的问题及时整改，调整优化支出结构，提高财政资金使用效益。</w:t>
      </w:r>
    </w:p>
    <w:p>
      <w:pPr>
        <w:pStyle w:val="24"/>
      </w:pPr>
      <w:r>
        <w:t>5、规范财务资产管理：完善财务管理制度，严格审批程序，加强固定资产登记、使用管理和报废处理管理，做到支出合理，物尽其用。</w:t>
      </w:r>
    </w:p>
    <w:p>
      <w:pPr>
        <w:pStyle w:val="24"/>
      </w:pPr>
      <w:r>
        <w:t>6、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7、加强宣传培训调研等：加强人员培训，提高本部门职工业务素质；加强调研，提出优化财政资金配置、提高资金使用效益的建议；加大宣传力度，强化预算绩效管理意识，促进预算绩效管理水平进一步提高。</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bidi w:val="0"/>
        <w:ind w:firstLine="1120" w:firstLineChars="400"/>
        <w:rPr>
          <w:rFonts w:hint="eastAsia" w:ascii="Times New Roman" w:hAnsi="Times New Roman" w:eastAsia="方正仿宋_GBK" w:cs="Times New Roman"/>
          <w:sz w:val="28"/>
          <w:szCs w:val="24"/>
          <w:lang w:val="en-US" w:eastAsia="zh-CN" w:bidi="ar-SA"/>
        </w:rPr>
      </w:pPr>
      <w:bookmarkStart w:id="20" w:name="_GoBack"/>
      <w:bookmarkEnd w:id="20"/>
      <w:r>
        <w:rPr>
          <w:rFonts w:hint="eastAsia" w:ascii="Times New Roman" w:hAnsi="Times New Roman" w:eastAsia="方正仿宋_GBK" w:cs="Times New Roman"/>
          <w:sz w:val="28"/>
          <w:szCs w:val="24"/>
          <w:lang w:val="en-US" w:eastAsia="zh-CN" w:bidi="ar-SA"/>
        </w:rPr>
        <w:t>我部门无</w:t>
      </w:r>
      <w:r>
        <w:rPr>
          <w:rFonts w:ascii="Times New Roman" w:hAnsi="Times New Roman" w:eastAsia="方正仿宋_GBK" w:cs="Times New Roman"/>
          <w:sz w:val="28"/>
          <w:szCs w:val="24"/>
          <w:lang w:val="en-US" w:eastAsia="uk-UA" w:bidi="ar-SA"/>
        </w:rPr>
        <w:t>主管专项资金预算安排</w:t>
      </w:r>
      <w:r>
        <w:rPr>
          <w:rFonts w:hint="eastAsia" w:ascii="Times New Roman" w:hAnsi="Times New Roman" w:eastAsia="方正仿宋_GBK" w:cs="Times New Roman"/>
          <w:sz w:val="28"/>
          <w:szCs w:val="24"/>
          <w:lang w:val="en-US" w:eastAsia="zh-CN" w:bidi="ar-SA"/>
        </w:rPr>
        <w:t>。</w:t>
      </w:r>
    </w:p>
    <w:p>
      <w:pPr>
        <w:bidi w:val="0"/>
        <w:rPr>
          <w:rFonts w:ascii="Times New Roman" w:hAnsi="Times New Roman" w:eastAsia="Times New Roman" w:cstheme="minorBidi"/>
          <w:sz w:val="24"/>
          <w:szCs w:val="24"/>
          <w:lang w:val="en-US" w:eastAsia="uk-UA" w:bidi="ar-SA"/>
        </w:rPr>
      </w:pPr>
    </w:p>
    <w:p>
      <w:pPr>
        <w:tabs>
          <w:tab w:val="left" w:pos="1190"/>
        </w:tabs>
        <w:bidi w:val="0"/>
        <w:jc w:val="left"/>
        <w:rPr>
          <w:rFonts w:hint="eastAsia"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1、国家、省、市重大会议及节假日值班经费绩效目标表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13062525P00003010014D</w:t>
            </w:r>
          </w:p>
        </w:tc>
        <w:tc>
          <w:tcPr>
            <w:tcW w:w="2835" w:type="dxa"/>
            <w:vAlign w:val="center"/>
          </w:tcPr>
          <w:p>
            <w:pPr>
              <w:pStyle w:val="11"/>
            </w:pPr>
            <w:r>
              <w:t>项目名称</w:t>
            </w:r>
          </w:p>
        </w:tc>
        <w:tc>
          <w:tcPr>
            <w:tcW w:w="6095" w:type="dxa"/>
            <w:gridSpan w:val="3"/>
            <w:vAlign w:val="center"/>
          </w:tcPr>
          <w:p>
            <w:pPr>
              <w:pStyle w:val="13"/>
            </w:pPr>
            <w:r>
              <w:t>国家、省、市重大会议及节假日值班经费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27.44</w:t>
            </w:r>
          </w:p>
        </w:tc>
        <w:tc>
          <w:tcPr>
            <w:tcW w:w="2835" w:type="dxa"/>
            <w:vAlign w:val="center"/>
          </w:tcPr>
          <w:p>
            <w:pPr>
              <w:pStyle w:val="11"/>
            </w:pPr>
            <w:r>
              <w:t>其中：财政    资金</w:t>
            </w:r>
          </w:p>
        </w:tc>
        <w:tc>
          <w:tcPr>
            <w:tcW w:w="2551" w:type="dxa"/>
            <w:vAlign w:val="center"/>
          </w:tcPr>
          <w:p>
            <w:pPr>
              <w:pStyle w:val="13"/>
            </w:pPr>
            <w:r>
              <w:t>27.44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及时支付出差人员差旅费，出差人员不少于3人。通过妥善处置信访案件，减少各种访量，维护社会和谐稳定。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65%</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1.及时支付出差人员差旅费，出差人员不少于3人，出差人员满意度提升。</w:t>
            </w:r>
          </w:p>
          <w:p>
            <w:pPr>
              <w:pStyle w:val="13"/>
            </w:pPr>
            <w:r>
              <w:t>2.通过妥善处置信访案件，减少各种访量，维护社会和谐稳定。进京访总量控制在30批次之内，信访隐患排查率不少于95%。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进京、赴省、到市出差人数</w:t>
            </w:r>
          </w:p>
        </w:tc>
        <w:tc>
          <w:tcPr>
            <w:tcW w:w="5386" w:type="dxa"/>
            <w:vAlign w:val="center"/>
          </w:tcPr>
          <w:p>
            <w:pPr>
              <w:pStyle w:val="13"/>
            </w:pPr>
            <w:r>
              <w:t>反映进京、赴省、到市出差人员数量情况</w:t>
            </w:r>
          </w:p>
        </w:tc>
        <w:tc>
          <w:tcPr>
            <w:tcW w:w="2268" w:type="dxa"/>
            <w:vAlign w:val="center"/>
          </w:tcPr>
          <w:p>
            <w:pPr>
              <w:pStyle w:val="13"/>
            </w:pPr>
            <w:r>
              <w:t>≥3人</w:t>
            </w:r>
          </w:p>
        </w:tc>
        <w:tc>
          <w:tcPr>
            <w:tcW w:w="1276" w:type="dxa"/>
            <w:vAlign w:val="center"/>
          </w:tcPr>
          <w:p>
            <w:pPr>
              <w:pStyle w:val="13"/>
            </w:pPr>
            <w:r>
              <w:t>关于追加信访值班协调经费的请示；国家、省、市重大会议及节假日值班经费项目实施计划。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进京访总量</w:t>
            </w:r>
          </w:p>
        </w:tc>
        <w:tc>
          <w:tcPr>
            <w:tcW w:w="5386" w:type="dxa"/>
            <w:vAlign w:val="center"/>
          </w:tcPr>
          <w:p>
            <w:pPr>
              <w:pStyle w:val="13"/>
            </w:pPr>
            <w:r>
              <w:t>反映进京上访总的数量情况</w:t>
            </w:r>
          </w:p>
        </w:tc>
        <w:tc>
          <w:tcPr>
            <w:tcW w:w="2268" w:type="dxa"/>
            <w:vAlign w:val="center"/>
          </w:tcPr>
          <w:p>
            <w:pPr>
              <w:pStyle w:val="13"/>
            </w:pPr>
            <w:r>
              <w:t>≤30批</w:t>
            </w:r>
          </w:p>
        </w:tc>
        <w:tc>
          <w:tcPr>
            <w:tcW w:w="1276" w:type="dxa"/>
            <w:vAlign w:val="center"/>
          </w:tcPr>
          <w:p>
            <w:pPr>
              <w:pStyle w:val="13"/>
            </w:pPr>
            <w:r>
              <w:t>关于追加信访值班协调经费的请示；国家、省、市重大会议及节假日值班经费项目实施计划。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信访案件案件处置率</w:t>
            </w:r>
          </w:p>
        </w:tc>
        <w:tc>
          <w:tcPr>
            <w:tcW w:w="5386" w:type="dxa"/>
            <w:vAlign w:val="center"/>
          </w:tcPr>
          <w:p>
            <w:pPr>
              <w:pStyle w:val="13"/>
            </w:pPr>
            <w:r>
              <w:t>反映信访案件妥善处置率情况</w:t>
            </w:r>
          </w:p>
        </w:tc>
        <w:tc>
          <w:tcPr>
            <w:tcW w:w="2268" w:type="dxa"/>
            <w:vAlign w:val="center"/>
          </w:tcPr>
          <w:p>
            <w:pPr>
              <w:pStyle w:val="13"/>
            </w:pPr>
            <w:r>
              <w:t>≥95%</w:t>
            </w:r>
          </w:p>
        </w:tc>
        <w:tc>
          <w:tcPr>
            <w:tcW w:w="1276" w:type="dxa"/>
            <w:vAlign w:val="center"/>
          </w:tcPr>
          <w:p>
            <w:pPr>
              <w:pStyle w:val="13"/>
            </w:pPr>
            <w:r>
              <w:t>关于追加信访值班协调经费的请示；国家、省、市重大会议及节假日值班经费项目实施计划。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差旅费支付及时程度</w:t>
            </w:r>
          </w:p>
        </w:tc>
        <w:tc>
          <w:tcPr>
            <w:tcW w:w="5386" w:type="dxa"/>
            <w:vAlign w:val="center"/>
          </w:tcPr>
          <w:p>
            <w:pPr>
              <w:pStyle w:val="13"/>
            </w:pPr>
            <w:r>
              <w:t>反映支付差旅费及时情况</w:t>
            </w:r>
          </w:p>
        </w:tc>
        <w:tc>
          <w:tcPr>
            <w:tcW w:w="2268" w:type="dxa"/>
            <w:vAlign w:val="center"/>
          </w:tcPr>
          <w:p>
            <w:pPr>
              <w:pStyle w:val="13"/>
            </w:pPr>
            <w:r>
              <w:t>≥98%</w:t>
            </w:r>
          </w:p>
        </w:tc>
        <w:tc>
          <w:tcPr>
            <w:tcW w:w="1276" w:type="dxa"/>
            <w:vAlign w:val="center"/>
          </w:tcPr>
          <w:p>
            <w:pPr>
              <w:pStyle w:val="13"/>
            </w:pPr>
            <w:r>
              <w:t>关于追加信访值班协调经费的请示；国家、省、市重大会议及节假日值班经费项目实施计划。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反映住宿补助费用情况</w:t>
            </w:r>
          </w:p>
        </w:tc>
        <w:tc>
          <w:tcPr>
            <w:tcW w:w="2268" w:type="dxa"/>
            <w:vAlign w:val="center"/>
          </w:tcPr>
          <w:p>
            <w:pPr>
              <w:pStyle w:val="13"/>
            </w:pPr>
            <w:r>
              <w:t>≤18.8万元</w:t>
            </w:r>
          </w:p>
        </w:tc>
        <w:tc>
          <w:tcPr>
            <w:tcW w:w="1276" w:type="dxa"/>
            <w:vAlign w:val="center"/>
          </w:tcPr>
          <w:p>
            <w:pPr>
              <w:pStyle w:val="13"/>
            </w:pPr>
            <w:r>
              <w:t>关于追加信访值班协调经费的请示；国家、省、市重大会议及节假日值班经费项目实施计划。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反映伙食补助费用情况</w:t>
            </w:r>
          </w:p>
        </w:tc>
        <w:tc>
          <w:tcPr>
            <w:tcW w:w="2268" w:type="dxa"/>
            <w:vAlign w:val="center"/>
          </w:tcPr>
          <w:p>
            <w:pPr>
              <w:pStyle w:val="13"/>
            </w:pPr>
            <w:r>
              <w:t>≤4.8万元</w:t>
            </w:r>
          </w:p>
        </w:tc>
        <w:tc>
          <w:tcPr>
            <w:tcW w:w="1276" w:type="dxa"/>
            <w:vAlign w:val="center"/>
          </w:tcPr>
          <w:p>
            <w:pPr>
              <w:pStyle w:val="13"/>
            </w:pPr>
            <w:r>
              <w:t>关于追加信访值班协调经费的请示；国家、省、市重大会议及节假日值班经费项目实施计划。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反映交通补助费用情况</w:t>
            </w:r>
          </w:p>
        </w:tc>
        <w:tc>
          <w:tcPr>
            <w:tcW w:w="2268" w:type="dxa"/>
            <w:vAlign w:val="center"/>
          </w:tcPr>
          <w:p>
            <w:pPr>
              <w:pStyle w:val="13"/>
            </w:pPr>
            <w:r>
              <w:t>≤3.84万元</w:t>
            </w:r>
          </w:p>
        </w:tc>
        <w:tc>
          <w:tcPr>
            <w:tcW w:w="1276" w:type="dxa"/>
            <w:vAlign w:val="center"/>
          </w:tcPr>
          <w:p>
            <w:pPr>
              <w:pStyle w:val="13"/>
            </w:pPr>
            <w:r>
              <w:t>关于追加信访值班协调经费的请示；国家、省、市重大会议及节假日值班经费项目实施计划。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信访隐患排查率</w:t>
            </w:r>
          </w:p>
        </w:tc>
        <w:tc>
          <w:tcPr>
            <w:tcW w:w="5386" w:type="dxa"/>
            <w:vAlign w:val="center"/>
          </w:tcPr>
          <w:p>
            <w:pPr>
              <w:pStyle w:val="13"/>
            </w:pPr>
            <w:r>
              <w:t>反映信访隐患排查率情况</w:t>
            </w:r>
          </w:p>
        </w:tc>
        <w:tc>
          <w:tcPr>
            <w:tcW w:w="2268" w:type="dxa"/>
            <w:vAlign w:val="center"/>
          </w:tcPr>
          <w:p>
            <w:pPr>
              <w:pStyle w:val="13"/>
            </w:pPr>
            <w:r>
              <w:t>≥95%</w:t>
            </w:r>
          </w:p>
        </w:tc>
        <w:tc>
          <w:tcPr>
            <w:tcW w:w="1276" w:type="dxa"/>
            <w:vAlign w:val="center"/>
          </w:tcPr>
          <w:p>
            <w:pPr>
              <w:pStyle w:val="13"/>
            </w:pPr>
            <w:r>
              <w:t>关于追加信访值班协调经费的请示；国家、省、市重大会议及节假日值班经费项目实施计划。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出差人员满意度</w:t>
            </w:r>
          </w:p>
        </w:tc>
        <w:tc>
          <w:tcPr>
            <w:tcW w:w="5386" w:type="dxa"/>
            <w:vAlign w:val="center"/>
          </w:tcPr>
          <w:p>
            <w:pPr>
              <w:pStyle w:val="13"/>
            </w:pPr>
            <w:r>
              <w:t>反映出差人员满意率情况</w:t>
            </w:r>
          </w:p>
        </w:tc>
        <w:tc>
          <w:tcPr>
            <w:tcW w:w="2268" w:type="dxa"/>
            <w:vAlign w:val="center"/>
          </w:tcPr>
          <w:p>
            <w:pPr>
              <w:pStyle w:val="13"/>
            </w:pPr>
            <w:r>
              <w:t>≥95%</w:t>
            </w:r>
          </w:p>
        </w:tc>
        <w:tc>
          <w:tcPr>
            <w:tcW w:w="1276"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2、化解重点疑难信访案件专项经费绩效目标表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13062525P00003010013R</w:t>
            </w:r>
          </w:p>
        </w:tc>
        <w:tc>
          <w:tcPr>
            <w:tcW w:w="2835" w:type="dxa"/>
            <w:vAlign w:val="center"/>
          </w:tcPr>
          <w:p>
            <w:pPr>
              <w:pStyle w:val="11"/>
            </w:pPr>
            <w:r>
              <w:t>项目名称</w:t>
            </w:r>
          </w:p>
        </w:tc>
        <w:tc>
          <w:tcPr>
            <w:tcW w:w="6095" w:type="dxa"/>
            <w:gridSpan w:val="3"/>
            <w:vAlign w:val="center"/>
          </w:tcPr>
          <w:p>
            <w:pPr>
              <w:pStyle w:val="13"/>
            </w:pPr>
            <w:r>
              <w:t>化解重点疑难信访案件专项经费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53.79</w:t>
            </w:r>
          </w:p>
        </w:tc>
        <w:tc>
          <w:tcPr>
            <w:tcW w:w="2835" w:type="dxa"/>
            <w:vAlign w:val="center"/>
          </w:tcPr>
          <w:p>
            <w:pPr>
              <w:pStyle w:val="11"/>
            </w:pPr>
            <w:r>
              <w:t>其中：财政    资金</w:t>
            </w:r>
          </w:p>
        </w:tc>
        <w:tc>
          <w:tcPr>
            <w:tcW w:w="2551" w:type="dxa"/>
            <w:vAlign w:val="center"/>
          </w:tcPr>
          <w:p>
            <w:pPr>
              <w:pStyle w:val="13"/>
            </w:pPr>
            <w:r>
              <w:t>53.79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根据乡镇和单位的请示，信访经费及时调剂到不少于3个相关需求部门。全力化解影响全区稳定的重点疑难信访案件和久拖未决的历史遗留问题，维护社会稳定。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1.根据乡镇和单位的请示，信访经费及时调剂到不少于3个相关需求部门。</w:t>
            </w:r>
          </w:p>
          <w:p>
            <w:pPr>
              <w:pStyle w:val="13"/>
            </w:pPr>
            <w:r>
              <w:t>2.用于全力化解影响全区稳定的重点疑难信访案件和久拖未决的历史遗留问题；及时妥善处理突发性信访案件，最大限度解决问题、消除积案；维护社会和谐稳定。疑难案件“”回流率“控制在20%以内。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调剂部门数量</w:t>
            </w:r>
          </w:p>
        </w:tc>
        <w:tc>
          <w:tcPr>
            <w:tcW w:w="5386" w:type="dxa"/>
            <w:vAlign w:val="center"/>
          </w:tcPr>
          <w:p>
            <w:pPr>
              <w:pStyle w:val="13"/>
            </w:pPr>
            <w:r>
              <w:t>反映调剂经费到各乡镇和其他单位数量情况</w:t>
            </w:r>
          </w:p>
        </w:tc>
        <w:tc>
          <w:tcPr>
            <w:tcW w:w="2268" w:type="dxa"/>
            <w:vAlign w:val="center"/>
          </w:tcPr>
          <w:p>
            <w:pPr>
              <w:pStyle w:val="13"/>
            </w:pPr>
            <w:r>
              <w:t>≥3个</w:t>
            </w:r>
          </w:p>
        </w:tc>
        <w:tc>
          <w:tcPr>
            <w:tcW w:w="1276" w:type="dxa"/>
            <w:vAlign w:val="center"/>
          </w:tcPr>
          <w:p>
            <w:pPr>
              <w:pStyle w:val="13"/>
            </w:pPr>
            <w:r>
              <w:t>关于化解重点疑难信访案件专项经费的请示及化解重点疑难信访案件专项经费项目实施计划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妥善处置率</w:t>
            </w:r>
          </w:p>
        </w:tc>
        <w:tc>
          <w:tcPr>
            <w:tcW w:w="5386" w:type="dxa"/>
            <w:vAlign w:val="center"/>
          </w:tcPr>
          <w:p>
            <w:pPr>
              <w:pStyle w:val="13"/>
            </w:pPr>
            <w:r>
              <w:t>反映信访案件妥善处置率情况</w:t>
            </w:r>
          </w:p>
        </w:tc>
        <w:tc>
          <w:tcPr>
            <w:tcW w:w="2268" w:type="dxa"/>
            <w:vAlign w:val="center"/>
          </w:tcPr>
          <w:p>
            <w:pPr>
              <w:pStyle w:val="13"/>
            </w:pPr>
            <w:r>
              <w:t>≥95%</w:t>
            </w:r>
          </w:p>
        </w:tc>
        <w:tc>
          <w:tcPr>
            <w:tcW w:w="1276" w:type="dxa"/>
            <w:vAlign w:val="center"/>
          </w:tcPr>
          <w:p>
            <w:pPr>
              <w:pStyle w:val="13"/>
            </w:pPr>
            <w:r>
              <w:t>关于化解重点疑难信访案件专项经费的请示及化解重点疑难信访案件专项经费项目实施计划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支付及时性</w:t>
            </w:r>
          </w:p>
        </w:tc>
        <w:tc>
          <w:tcPr>
            <w:tcW w:w="5386" w:type="dxa"/>
            <w:vAlign w:val="center"/>
          </w:tcPr>
          <w:p>
            <w:pPr>
              <w:pStyle w:val="13"/>
            </w:pPr>
            <w:r>
              <w:t>反映调剂经费及时性情况</w:t>
            </w:r>
          </w:p>
        </w:tc>
        <w:tc>
          <w:tcPr>
            <w:tcW w:w="2268" w:type="dxa"/>
            <w:vAlign w:val="center"/>
          </w:tcPr>
          <w:p>
            <w:pPr>
              <w:pStyle w:val="13"/>
            </w:pPr>
            <w:r>
              <w:t>≥95%</w:t>
            </w:r>
          </w:p>
        </w:tc>
        <w:tc>
          <w:tcPr>
            <w:tcW w:w="1276" w:type="dxa"/>
            <w:vAlign w:val="center"/>
          </w:tcPr>
          <w:p>
            <w:pPr>
              <w:pStyle w:val="13"/>
            </w:pPr>
            <w:r>
              <w:t>关于化解重点疑难信访案件专项经费的请示及化解重点疑难信访案件专项经费项目实施计划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化解疑难案件费用</w:t>
            </w:r>
          </w:p>
        </w:tc>
        <w:tc>
          <w:tcPr>
            <w:tcW w:w="5386" w:type="dxa"/>
            <w:vAlign w:val="center"/>
          </w:tcPr>
          <w:p>
            <w:pPr>
              <w:pStyle w:val="13"/>
            </w:pPr>
            <w:r>
              <w:t>反映化解疑难案件费用成本情况</w:t>
            </w:r>
          </w:p>
        </w:tc>
        <w:tc>
          <w:tcPr>
            <w:tcW w:w="2268" w:type="dxa"/>
            <w:vAlign w:val="center"/>
          </w:tcPr>
          <w:p>
            <w:pPr>
              <w:pStyle w:val="13"/>
            </w:pPr>
            <w:r>
              <w:t>≤537866元</w:t>
            </w:r>
          </w:p>
        </w:tc>
        <w:tc>
          <w:tcPr>
            <w:tcW w:w="1276" w:type="dxa"/>
            <w:vAlign w:val="center"/>
          </w:tcPr>
          <w:p>
            <w:pPr>
              <w:pStyle w:val="13"/>
            </w:pPr>
            <w:r>
              <w:t>关于化解重点疑难信访案件专项经费的请示及化解重点疑难信访案件专项经费项目实施计划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案件回流率</w:t>
            </w:r>
          </w:p>
        </w:tc>
        <w:tc>
          <w:tcPr>
            <w:tcW w:w="5386" w:type="dxa"/>
            <w:vAlign w:val="center"/>
          </w:tcPr>
          <w:p>
            <w:pPr>
              <w:pStyle w:val="13"/>
            </w:pPr>
            <w:r>
              <w:t>反映信访疑难案件回流率情况</w:t>
            </w:r>
          </w:p>
        </w:tc>
        <w:tc>
          <w:tcPr>
            <w:tcW w:w="2268" w:type="dxa"/>
            <w:vAlign w:val="center"/>
          </w:tcPr>
          <w:p>
            <w:pPr>
              <w:pStyle w:val="13"/>
            </w:pPr>
            <w:r>
              <w:t>≤20%</w:t>
            </w:r>
          </w:p>
        </w:tc>
        <w:tc>
          <w:tcPr>
            <w:tcW w:w="1276" w:type="dxa"/>
            <w:vAlign w:val="center"/>
          </w:tcPr>
          <w:p>
            <w:pPr>
              <w:pStyle w:val="13"/>
            </w:pPr>
            <w:r>
              <w:t>关于化解重点疑难信访案件专项经费的请示及化解重点疑难信访案件专项经费项目实施计划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反映信访群众满意度情况</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3、徐水区群众工作中心运行经费绩效目标表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13062525P000024100867</w:t>
            </w:r>
          </w:p>
        </w:tc>
        <w:tc>
          <w:tcPr>
            <w:tcW w:w="2835" w:type="dxa"/>
            <w:vAlign w:val="center"/>
          </w:tcPr>
          <w:p>
            <w:pPr>
              <w:pStyle w:val="11"/>
            </w:pPr>
            <w:r>
              <w:t>项目名称</w:t>
            </w:r>
          </w:p>
        </w:tc>
        <w:tc>
          <w:tcPr>
            <w:tcW w:w="6095" w:type="dxa"/>
            <w:gridSpan w:val="3"/>
            <w:vAlign w:val="center"/>
          </w:tcPr>
          <w:p>
            <w:pPr>
              <w:pStyle w:val="13"/>
            </w:pPr>
            <w:r>
              <w:t>徐水区群众工作中心运行经费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购买办公用品不少于4批次，印刷宣传品不少于2批次，便于群众学习信访知识。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1.购买办公用品不少于4批次，印刷宣传品不少于2批次，便于群众学习信访知识。</w:t>
            </w:r>
          </w:p>
          <w:p>
            <w:pPr>
              <w:pStyle w:val="13"/>
            </w:pPr>
            <w:r>
              <w:t>2.保障全区信访工作的正常开展和单位行政管理方面的工作正常运转。购买办公用品达标率和印刷宣传品达标率不小于98%。</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办公用品购买数量</w:t>
            </w:r>
          </w:p>
        </w:tc>
        <w:tc>
          <w:tcPr>
            <w:tcW w:w="5386" w:type="dxa"/>
            <w:vAlign w:val="center"/>
          </w:tcPr>
          <w:p>
            <w:pPr>
              <w:pStyle w:val="13"/>
            </w:pPr>
            <w:r>
              <w:t>反映购买办公用品数量情况</w:t>
            </w:r>
          </w:p>
        </w:tc>
        <w:tc>
          <w:tcPr>
            <w:tcW w:w="2268" w:type="dxa"/>
            <w:vAlign w:val="center"/>
          </w:tcPr>
          <w:p>
            <w:pPr>
              <w:pStyle w:val="13"/>
            </w:pPr>
            <w:r>
              <w:t>≥4批</w:t>
            </w:r>
          </w:p>
        </w:tc>
        <w:tc>
          <w:tcPr>
            <w:tcW w:w="1276" w:type="dxa"/>
            <w:vAlign w:val="center"/>
          </w:tcPr>
          <w:p>
            <w:pPr>
              <w:pStyle w:val="13"/>
            </w:pPr>
            <w:r>
              <w:t>关于成立徐水区群众工作中心的报告及徐水区群众工作中心运行经费项目实施计划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宣传品印刷数量</w:t>
            </w:r>
          </w:p>
        </w:tc>
        <w:tc>
          <w:tcPr>
            <w:tcW w:w="5386" w:type="dxa"/>
            <w:vAlign w:val="center"/>
          </w:tcPr>
          <w:p>
            <w:pPr>
              <w:pStyle w:val="13"/>
            </w:pPr>
            <w:r>
              <w:t>反映印刷宣传品数量情况</w:t>
            </w:r>
          </w:p>
        </w:tc>
        <w:tc>
          <w:tcPr>
            <w:tcW w:w="2268" w:type="dxa"/>
            <w:vAlign w:val="center"/>
          </w:tcPr>
          <w:p>
            <w:pPr>
              <w:pStyle w:val="13"/>
            </w:pPr>
            <w:r>
              <w:t>≥2批</w:t>
            </w:r>
          </w:p>
        </w:tc>
        <w:tc>
          <w:tcPr>
            <w:tcW w:w="1276" w:type="dxa"/>
            <w:vAlign w:val="center"/>
          </w:tcPr>
          <w:p>
            <w:pPr>
              <w:pStyle w:val="13"/>
            </w:pPr>
            <w:r>
              <w:t>关于成立徐水区群众工作中心的报告及徐水区群众工作中心运行经费项目实施计划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办公用品达标率</w:t>
            </w:r>
          </w:p>
        </w:tc>
        <w:tc>
          <w:tcPr>
            <w:tcW w:w="5386" w:type="dxa"/>
            <w:vAlign w:val="center"/>
          </w:tcPr>
          <w:p>
            <w:pPr>
              <w:pStyle w:val="13"/>
            </w:pPr>
            <w:r>
              <w:t>反映购买办公用品达标情况</w:t>
            </w:r>
          </w:p>
        </w:tc>
        <w:tc>
          <w:tcPr>
            <w:tcW w:w="2268" w:type="dxa"/>
            <w:vAlign w:val="center"/>
          </w:tcPr>
          <w:p>
            <w:pPr>
              <w:pStyle w:val="13"/>
            </w:pPr>
            <w:r>
              <w:t>≥98%</w:t>
            </w:r>
          </w:p>
        </w:tc>
        <w:tc>
          <w:tcPr>
            <w:tcW w:w="1276" w:type="dxa"/>
            <w:vAlign w:val="center"/>
          </w:tcPr>
          <w:p>
            <w:pPr>
              <w:pStyle w:val="13"/>
            </w:pPr>
            <w:r>
              <w:t>关于成立徐水区群众工作中心的报告及徐水区群众工作中心运行经费项目实施计划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印刷宣传品达标率</w:t>
            </w:r>
          </w:p>
        </w:tc>
        <w:tc>
          <w:tcPr>
            <w:tcW w:w="5386" w:type="dxa"/>
            <w:vAlign w:val="center"/>
          </w:tcPr>
          <w:p>
            <w:pPr>
              <w:pStyle w:val="13"/>
            </w:pPr>
            <w:r>
              <w:t>反映印刷宣传品达标情况</w:t>
            </w:r>
          </w:p>
        </w:tc>
        <w:tc>
          <w:tcPr>
            <w:tcW w:w="2268" w:type="dxa"/>
            <w:vAlign w:val="center"/>
          </w:tcPr>
          <w:p>
            <w:pPr>
              <w:pStyle w:val="13"/>
            </w:pPr>
            <w:r>
              <w:t>≥98%</w:t>
            </w:r>
          </w:p>
        </w:tc>
        <w:tc>
          <w:tcPr>
            <w:tcW w:w="1276" w:type="dxa"/>
            <w:vAlign w:val="center"/>
          </w:tcPr>
          <w:p>
            <w:pPr>
              <w:pStyle w:val="13"/>
            </w:pPr>
            <w:r>
              <w:t>关于成立徐水区群众工作中心的报告及徐水区群众工作中心运行经费项目实施计划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办公用品购买及时率</w:t>
            </w:r>
          </w:p>
        </w:tc>
        <w:tc>
          <w:tcPr>
            <w:tcW w:w="5386" w:type="dxa"/>
            <w:vAlign w:val="center"/>
          </w:tcPr>
          <w:p>
            <w:pPr>
              <w:pStyle w:val="13"/>
            </w:pPr>
            <w:r>
              <w:t>反映购买办公用品及时率情况</w:t>
            </w:r>
          </w:p>
        </w:tc>
        <w:tc>
          <w:tcPr>
            <w:tcW w:w="2268" w:type="dxa"/>
            <w:vAlign w:val="center"/>
          </w:tcPr>
          <w:p>
            <w:pPr>
              <w:pStyle w:val="13"/>
            </w:pPr>
            <w:r>
              <w:t>≥95%</w:t>
            </w:r>
          </w:p>
        </w:tc>
        <w:tc>
          <w:tcPr>
            <w:tcW w:w="1276" w:type="dxa"/>
            <w:vAlign w:val="center"/>
          </w:tcPr>
          <w:p>
            <w:pPr>
              <w:pStyle w:val="13"/>
            </w:pPr>
            <w:r>
              <w:t>关于成立徐水区群众工作中心的报告及徐水区群众工作中心运行经费项目实施计划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宣传品印刷及时率</w:t>
            </w:r>
          </w:p>
        </w:tc>
        <w:tc>
          <w:tcPr>
            <w:tcW w:w="5386" w:type="dxa"/>
            <w:vAlign w:val="center"/>
          </w:tcPr>
          <w:p>
            <w:pPr>
              <w:pStyle w:val="13"/>
            </w:pPr>
            <w:r>
              <w:t>反映印刷宣传品及时率情况</w:t>
            </w:r>
          </w:p>
        </w:tc>
        <w:tc>
          <w:tcPr>
            <w:tcW w:w="2268" w:type="dxa"/>
            <w:vAlign w:val="center"/>
          </w:tcPr>
          <w:p>
            <w:pPr>
              <w:pStyle w:val="13"/>
            </w:pPr>
            <w:r>
              <w:t>≥95%</w:t>
            </w:r>
          </w:p>
        </w:tc>
        <w:tc>
          <w:tcPr>
            <w:tcW w:w="1276" w:type="dxa"/>
            <w:vAlign w:val="center"/>
          </w:tcPr>
          <w:p>
            <w:pPr>
              <w:pStyle w:val="13"/>
            </w:pPr>
            <w:r>
              <w:t>关于成立徐水区群众工作中心的报告及徐水区群众工作中心运行经费项目实施计划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购买办公用品费用</w:t>
            </w:r>
          </w:p>
        </w:tc>
        <w:tc>
          <w:tcPr>
            <w:tcW w:w="5386" w:type="dxa"/>
            <w:vAlign w:val="center"/>
          </w:tcPr>
          <w:p>
            <w:pPr>
              <w:pStyle w:val="13"/>
            </w:pPr>
            <w:r>
              <w:t>反映办公用品项目成本费用情况</w:t>
            </w:r>
          </w:p>
        </w:tc>
        <w:tc>
          <w:tcPr>
            <w:tcW w:w="2268" w:type="dxa"/>
            <w:vAlign w:val="center"/>
          </w:tcPr>
          <w:p>
            <w:pPr>
              <w:pStyle w:val="13"/>
            </w:pPr>
            <w:r>
              <w:t>≤3.5万元</w:t>
            </w:r>
          </w:p>
        </w:tc>
        <w:tc>
          <w:tcPr>
            <w:tcW w:w="1276" w:type="dxa"/>
            <w:vAlign w:val="center"/>
          </w:tcPr>
          <w:p>
            <w:pPr>
              <w:pStyle w:val="13"/>
            </w:pPr>
            <w:r>
              <w:t>关于成立徐水区群众工作中心的报告及徐水区群众工作中心运行经费项目实施计划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印刷宣传品费用</w:t>
            </w:r>
          </w:p>
        </w:tc>
        <w:tc>
          <w:tcPr>
            <w:tcW w:w="5386" w:type="dxa"/>
            <w:vAlign w:val="center"/>
          </w:tcPr>
          <w:p>
            <w:pPr>
              <w:pStyle w:val="13"/>
            </w:pPr>
            <w:r>
              <w:t>反映印刷宣传品项目成本费用情况</w:t>
            </w:r>
          </w:p>
        </w:tc>
        <w:tc>
          <w:tcPr>
            <w:tcW w:w="2268" w:type="dxa"/>
            <w:vAlign w:val="center"/>
          </w:tcPr>
          <w:p>
            <w:pPr>
              <w:pStyle w:val="13"/>
            </w:pPr>
            <w:r>
              <w:t>≤1.5万元</w:t>
            </w:r>
          </w:p>
        </w:tc>
        <w:tc>
          <w:tcPr>
            <w:tcW w:w="1276" w:type="dxa"/>
            <w:vAlign w:val="center"/>
          </w:tcPr>
          <w:p>
            <w:pPr>
              <w:pStyle w:val="13"/>
            </w:pPr>
            <w:r>
              <w:t>关于成立徐水区群众工作中心的报告及徐水区群众工作中心运行经费项目实施计划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信访案件按期办结率</w:t>
            </w:r>
          </w:p>
        </w:tc>
        <w:tc>
          <w:tcPr>
            <w:tcW w:w="5386" w:type="dxa"/>
            <w:vAlign w:val="center"/>
          </w:tcPr>
          <w:p>
            <w:pPr>
              <w:pStyle w:val="13"/>
            </w:pPr>
            <w:r>
              <w:t>反映信访案件按期办结率情况</w:t>
            </w:r>
          </w:p>
        </w:tc>
        <w:tc>
          <w:tcPr>
            <w:tcW w:w="2268" w:type="dxa"/>
            <w:vAlign w:val="center"/>
          </w:tcPr>
          <w:p>
            <w:pPr>
              <w:pStyle w:val="13"/>
            </w:pPr>
            <w:r>
              <w:t>≥95%</w:t>
            </w:r>
          </w:p>
        </w:tc>
        <w:tc>
          <w:tcPr>
            <w:tcW w:w="1276" w:type="dxa"/>
            <w:vAlign w:val="center"/>
          </w:tcPr>
          <w:p>
            <w:pPr>
              <w:pStyle w:val="13"/>
            </w:pPr>
            <w:r>
              <w:t>关于成立徐水区群众工作中心的报告及徐水区群众工作中心运行经费项目实施计划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办公人员满意度</w:t>
            </w:r>
          </w:p>
        </w:tc>
        <w:tc>
          <w:tcPr>
            <w:tcW w:w="5386" w:type="dxa"/>
            <w:vAlign w:val="center"/>
          </w:tcPr>
          <w:p>
            <w:pPr>
              <w:pStyle w:val="13"/>
            </w:pPr>
            <w:r>
              <w:t>反映办公人员满意度情况</w:t>
            </w:r>
          </w:p>
        </w:tc>
        <w:tc>
          <w:tcPr>
            <w:tcW w:w="2268" w:type="dxa"/>
            <w:vAlign w:val="center"/>
          </w:tcPr>
          <w:p>
            <w:pPr>
              <w:pStyle w:val="13"/>
            </w:pPr>
            <w:r>
              <w:t>≥98%</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4、选派劳务派遣人员经费绩效目标表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13062525P00023210093K</w:t>
            </w:r>
          </w:p>
        </w:tc>
        <w:tc>
          <w:tcPr>
            <w:tcW w:w="2835" w:type="dxa"/>
            <w:vAlign w:val="center"/>
          </w:tcPr>
          <w:p>
            <w:pPr>
              <w:pStyle w:val="11"/>
            </w:pPr>
            <w:r>
              <w:t>项目名称</w:t>
            </w:r>
          </w:p>
        </w:tc>
        <w:tc>
          <w:tcPr>
            <w:tcW w:w="6095" w:type="dxa"/>
            <w:gridSpan w:val="3"/>
            <w:vAlign w:val="center"/>
          </w:tcPr>
          <w:p>
            <w:pPr>
              <w:pStyle w:val="13"/>
            </w:pPr>
            <w:r>
              <w:t>选派劳务派遣人员经费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14.21</w:t>
            </w:r>
          </w:p>
        </w:tc>
        <w:tc>
          <w:tcPr>
            <w:tcW w:w="2835" w:type="dxa"/>
            <w:vAlign w:val="center"/>
          </w:tcPr>
          <w:p>
            <w:pPr>
              <w:pStyle w:val="11"/>
            </w:pPr>
            <w:r>
              <w:t>其中：财政    资金</w:t>
            </w:r>
          </w:p>
        </w:tc>
        <w:tc>
          <w:tcPr>
            <w:tcW w:w="2551" w:type="dxa"/>
            <w:vAlign w:val="center"/>
          </w:tcPr>
          <w:p>
            <w:pPr>
              <w:pStyle w:val="13"/>
            </w:pPr>
            <w:r>
              <w:t>14.21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保障3名劳务派遣人员工资正常发放，保险及时缴纳。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1.配齐配强信访工作力量，劳务派遣人员本职工作需按时保质完成，工作完成率需达到100%。</w:t>
            </w:r>
          </w:p>
          <w:p>
            <w:pPr>
              <w:pStyle w:val="13"/>
            </w:pPr>
            <w:r>
              <w:t>2.及时受理信访事项，维护社会和谐稳定。</w:t>
            </w:r>
          </w:p>
          <w:p>
            <w:pPr>
              <w:pStyle w:val="13"/>
            </w:pPr>
            <w:r>
              <w:t>3.保障3名劳务派遣人员工资正常发放，保险及时缴纳。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反映劳务派遣人数情况</w:t>
            </w:r>
          </w:p>
        </w:tc>
        <w:tc>
          <w:tcPr>
            <w:tcW w:w="2268" w:type="dxa"/>
            <w:vAlign w:val="center"/>
          </w:tcPr>
          <w:p>
            <w:pPr>
              <w:pStyle w:val="13"/>
            </w:pPr>
            <w:r>
              <w:t>3人</w:t>
            </w:r>
          </w:p>
        </w:tc>
        <w:tc>
          <w:tcPr>
            <w:tcW w:w="1276" w:type="dxa"/>
            <w:vAlign w:val="center"/>
          </w:tcPr>
          <w:p>
            <w:pPr>
              <w:pStyle w:val="13"/>
            </w:pPr>
            <w:r>
              <w:t>关于选派劳务派遣人员经费的请示；劳务派遣协议；选派劳务派遣人员经费项目实施计划。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反映办理信访事项，督办信访案件，财务日常工作的完成程度情况</w:t>
            </w:r>
          </w:p>
        </w:tc>
        <w:tc>
          <w:tcPr>
            <w:tcW w:w="2268" w:type="dxa"/>
            <w:vAlign w:val="center"/>
          </w:tcPr>
          <w:p>
            <w:pPr>
              <w:pStyle w:val="13"/>
            </w:pPr>
            <w:r>
              <w:t>100%</w:t>
            </w:r>
          </w:p>
        </w:tc>
        <w:tc>
          <w:tcPr>
            <w:tcW w:w="1276" w:type="dxa"/>
            <w:vAlign w:val="center"/>
          </w:tcPr>
          <w:p>
            <w:pPr>
              <w:pStyle w:val="13"/>
            </w:pPr>
            <w:r>
              <w:t>关于选派劳务派遣人员经费的请示；劳务派遣协议；选派劳务派遣人员经费项目实施计划。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支付劳务费及时率</w:t>
            </w:r>
          </w:p>
        </w:tc>
        <w:tc>
          <w:tcPr>
            <w:tcW w:w="5386" w:type="dxa"/>
            <w:vAlign w:val="center"/>
          </w:tcPr>
          <w:p>
            <w:pPr>
              <w:pStyle w:val="13"/>
            </w:pPr>
            <w:r>
              <w:t>反映发放工资，缴纳保险、支付管理费及时率情况</w:t>
            </w:r>
          </w:p>
        </w:tc>
        <w:tc>
          <w:tcPr>
            <w:tcW w:w="2268" w:type="dxa"/>
            <w:vAlign w:val="center"/>
          </w:tcPr>
          <w:p>
            <w:pPr>
              <w:pStyle w:val="13"/>
            </w:pPr>
            <w:r>
              <w:t>≥95%</w:t>
            </w:r>
          </w:p>
        </w:tc>
        <w:tc>
          <w:tcPr>
            <w:tcW w:w="1276" w:type="dxa"/>
            <w:vAlign w:val="center"/>
          </w:tcPr>
          <w:p>
            <w:pPr>
              <w:pStyle w:val="13"/>
            </w:pPr>
            <w:r>
              <w:t>关于选派劳务派遣人员经费的请示；劳务派遣协议；选派劳务派遣人员经费项目实施计划。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反映劳务派遣人员工资费用情况</w:t>
            </w:r>
          </w:p>
        </w:tc>
        <w:tc>
          <w:tcPr>
            <w:tcW w:w="2268" w:type="dxa"/>
            <w:vAlign w:val="center"/>
          </w:tcPr>
          <w:p>
            <w:pPr>
              <w:pStyle w:val="13"/>
            </w:pPr>
            <w:r>
              <w:t>≤99000元</w:t>
            </w:r>
          </w:p>
        </w:tc>
        <w:tc>
          <w:tcPr>
            <w:tcW w:w="1276" w:type="dxa"/>
            <w:vAlign w:val="center"/>
          </w:tcPr>
          <w:p>
            <w:pPr>
              <w:pStyle w:val="13"/>
            </w:pPr>
            <w:r>
              <w:t>关于选派劳务派遣人员经费的请示；劳务派遣协议；选派劳务派遣人员经费项目实施计划。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反映劳务派遣人员保险费用情况</w:t>
            </w:r>
          </w:p>
        </w:tc>
        <w:tc>
          <w:tcPr>
            <w:tcW w:w="2268" w:type="dxa"/>
            <w:vAlign w:val="center"/>
          </w:tcPr>
          <w:p>
            <w:pPr>
              <w:pStyle w:val="13"/>
            </w:pPr>
            <w:r>
              <w:t>≤41333.76元</w:t>
            </w:r>
          </w:p>
        </w:tc>
        <w:tc>
          <w:tcPr>
            <w:tcW w:w="1276" w:type="dxa"/>
            <w:vAlign w:val="center"/>
          </w:tcPr>
          <w:p>
            <w:pPr>
              <w:pStyle w:val="13"/>
            </w:pPr>
            <w:r>
              <w:t>关于选派劳务派遣人员经费的请示；劳务派遣协议；选派劳务派遣人员经费项目实施计划。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反映支付给劳务工资的管理费情况</w:t>
            </w:r>
          </w:p>
        </w:tc>
        <w:tc>
          <w:tcPr>
            <w:tcW w:w="2268" w:type="dxa"/>
            <w:vAlign w:val="center"/>
          </w:tcPr>
          <w:p>
            <w:pPr>
              <w:pStyle w:val="13"/>
            </w:pPr>
            <w:r>
              <w:t>≤1800元</w:t>
            </w:r>
          </w:p>
        </w:tc>
        <w:tc>
          <w:tcPr>
            <w:tcW w:w="1276" w:type="dxa"/>
            <w:vAlign w:val="center"/>
          </w:tcPr>
          <w:p>
            <w:pPr>
              <w:pStyle w:val="13"/>
            </w:pPr>
            <w:r>
              <w:t>关于选派劳务派遣人员经费的请示；劳务派遣协议；选派劳务派遣人员经费项目实施计划。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案件受理率</w:t>
            </w:r>
          </w:p>
        </w:tc>
        <w:tc>
          <w:tcPr>
            <w:tcW w:w="5386" w:type="dxa"/>
            <w:vAlign w:val="center"/>
          </w:tcPr>
          <w:p>
            <w:pPr>
              <w:pStyle w:val="13"/>
            </w:pPr>
            <w:r>
              <w:t>反映及时按工作要求受理信访案件情况</w:t>
            </w:r>
          </w:p>
        </w:tc>
        <w:tc>
          <w:tcPr>
            <w:tcW w:w="2268" w:type="dxa"/>
            <w:vAlign w:val="center"/>
          </w:tcPr>
          <w:p>
            <w:pPr>
              <w:pStyle w:val="13"/>
            </w:pPr>
            <w:r>
              <w:t>≥95%</w:t>
            </w:r>
          </w:p>
        </w:tc>
        <w:tc>
          <w:tcPr>
            <w:tcW w:w="1276" w:type="dxa"/>
            <w:vAlign w:val="center"/>
          </w:tcPr>
          <w:p>
            <w:pPr>
              <w:pStyle w:val="13"/>
            </w:pPr>
            <w:r>
              <w:t>关于选派劳务派遣人员经费的请示；劳务派遣协议；选派劳务派遣人员经费项目实施计划。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反映劳务派遣人员满意度情况</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501保定市徐水区信访局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保定市徐水区信访局（含所属单位）上年末固定资产金额为50.25万元（详见下表）。本年度拟购置固定资产总额为0.00万元，已按要求列入政府采购预算，详见政府采购预算表。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501保定市徐水区信访局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71</w:t>
            </w:r>
          </w:p>
        </w:tc>
        <w:tc>
          <w:tcPr>
            <w:tcW w:w="2835" w:type="dxa"/>
            <w:vAlign w:val="center"/>
          </w:tcPr>
          <w:p>
            <w:pPr>
              <w:pStyle w:val="12"/>
            </w:pPr>
            <w:r>
              <w:t>34.08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1680"/>
    <w:rsid w:val="05636DDC"/>
    <w:rsid w:val="058670D7"/>
    <w:rsid w:val="0C6056F2"/>
    <w:rsid w:val="28D37118"/>
    <w:rsid w:val="29AE2FF8"/>
    <w:rsid w:val="2F3C39BF"/>
    <w:rsid w:val="42F82EDD"/>
    <w:rsid w:val="443F187F"/>
    <w:rsid w:val="53B66D40"/>
    <w:rsid w:val="636961F8"/>
    <w:rsid w:val="69EB4E5F"/>
    <w:rsid w:val="6A461095"/>
    <w:rsid w:val="7E43764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TotalTime>0</TotalTime>
  <ScaleCrop>false</ScaleCrop>
  <LinksUpToDate>false</LinksUpToDate>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2025-02-22T00:53:00Z</dcterms:created>
  <dc:creator>lenovo</dc:creator>
  <cp:lastModifiedBy>user</cp:lastModifiedBy>
  <dcterms:modified xsi:type="dcterms:W3CDTF">2025-02-21T16:58:22Z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