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default"/>
          <w:lang w:val="en-US"/>
        </w:rPr>
        <w:t>1</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default"/>
          <w:lang w:val="en-US"/>
        </w:rPr>
        <w:t>3</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default"/>
          <w:lang w:val="en-US"/>
        </w:rPr>
        <w:t>6</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default"/>
          <w:lang w:val="en-US"/>
        </w:rPr>
        <w:t>8</w:t>
      </w:r>
      <w:r>
        <w:fldChar w:fldCharType="end"/>
      </w:r>
    </w:p>
    <w:p>
      <w:pPr>
        <w:pStyle w:val="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1</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1</w:t>
      </w:r>
      <w:r>
        <w:fldChar w:fldCharType="end"/>
      </w:r>
      <w:r>
        <w:rPr>
          <w:rFonts w:hint="default"/>
          <w:lang w:val="en-US"/>
        </w:rPr>
        <w:t>3</w:t>
      </w:r>
    </w:p>
    <w:p>
      <w:pPr>
        <w:pStyle w:val="2"/>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default"/>
          <w:lang w:val="en-US"/>
        </w:rPr>
        <w:t>1</w:t>
      </w:r>
      <w:r>
        <w:fldChar w:fldCharType="end"/>
      </w:r>
      <w:r>
        <w:rPr>
          <w:rFonts w:hint="default"/>
          <w:lang w:val="en-US"/>
        </w:rPr>
        <w:t>5</w:t>
      </w:r>
    </w:p>
    <w:p>
      <w:pPr>
        <w:pStyle w:val="2"/>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1</w:t>
      </w:r>
      <w:r>
        <w:fldChar w:fldCharType="end"/>
      </w:r>
      <w:r>
        <w:rPr>
          <w:rFonts w:hint="default"/>
          <w:lang w:val="en-US"/>
        </w:rPr>
        <w:t>6</w:t>
      </w:r>
    </w:p>
    <w:p>
      <w:pPr>
        <w:pStyle w:val="2"/>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1</w:t>
      </w:r>
      <w:r>
        <w:fldChar w:fldCharType="end"/>
      </w:r>
      <w:r>
        <w:rPr>
          <w:rFonts w:hint="default"/>
          <w:lang w:val="en-US"/>
        </w:rPr>
        <w:t>7</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default"/>
          <w:lang w:val="en-US"/>
        </w:rPr>
        <w:t>1</w:t>
      </w:r>
      <w:r>
        <w:fldChar w:fldCharType="end"/>
      </w:r>
      <w:r>
        <w:rPr>
          <w:rFonts w:hint="default"/>
          <w:lang w:val="en-US"/>
        </w:rPr>
        <w:t>8</w:t>
      </w:r>
    </w:p>
    <w:p>
      <w:pPr>
        <w:pStyle w:val="2"/>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default"/>
          <w:lang w:val="en-US"/>
        </w:rPr>
        <w:t>1</w:t>
      </w:r>
      <w:r>
        <w:fldChar w:fldCharType="end"/>
      </w:r>
      <w:r>
        <w:rPr>
          <w:rFonts w:hint="default"/>
          <w:lang w:val="en-US"/>
        </w:rPr>
        <w:t>9</w:t>
      </w:r>
    </w:p>
    <w:p>
      <w:pPr>
        <w:pStyle w:val="2"/>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"_Toc_3_3_0000000014" </w:instrText>
      </w:r>
      <w:r>
        <w:fldChar w:fldCharType="separate"/>
      </w:r>
      <w:r>
        <w:t>五、</w:t>
      </w:r>
      <w:r>
        <w:rPr>
          <w:rFonts w:hint="eastAsia"/>
          <w:lang w:eastAsia="zh-CN"/>
        </w:rPr>
        <w:t>单位</w:t>
      </w:r>
      <w:r>
        <w:t>整体绩效目标</w:t>
      </w:r>
      <w:r>
        <w:tab/>
      </w:r>
      <w:r>
        <w:rPr>
          <w:rFonts w:hint="default"/>
          <w:lang w:val="en-US"/>
        </w:rPr>
        <w:t>2</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rPr>
          <w:rFonts w:hint="default"/>
          <w:lang w:val="en-US"/>
        </w:rPr>
        <w:t>2</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rPr>
          <w:rFonts w:hint="default"/>
          <w:lang w:val="en-US"/>
        </w:rPr>
        <w:t>2</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"_Toc_3_3_0000000017" </w:instrText>
      </w:r>
      <w:r>
        <w:fldChar w:fldCharType="separate"/>
      </w:r>
      <w:r>
        <w:t>八、政府采购预算情况</w:t>
      </w:r>
      <w:r>
        <w:tab/>
      </w:r>
      <w:r>
        <w:rPr>
          <w:rFonts w:hint="default"/>
          <w:lang w:val="en-US"/>
        </w:rPr>
        <w:t>4</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"_Toc_3_3_0000000018" </w:instrText>
      </w:r>
      <w:r>
        <w:fldChar w:fldCharType="separate"/>
      </w:r>
      <w:r>
        <w:t>九、国有资产信息</w:t>
      </w:r>
      <w:r>
        <w:tab/>
      </w:r>
      <w:r>
        <w:rPr>
          <w:rFonts w:hint="default"/>
          <w:lang w:val="en-US"/>
        </w:rPr>
        <w:t>4</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"_Toc_3_3_0000000019" </w:instrText>
      </w:r>
      <w:r>
        <w:fldChar w:fldCharType="separate"/>
      </w:r>
      <w:r>
        <w:t>十、名词解释</w:t>
      </w:r>
      <w:r>
        <w:tab/>
      </w:r>
      <w:r>
        <w:rPr>
          <w:rFonts w:hint="default"/>
          <w:lang w:val="en-US"/>
        </w:rPr>
        <w:t>4</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"_Toc_3_3_0000000020" </w:instrText>
      </w:r>
      <w:r>
        <w:fldChar w:fldCharType="separate"/>
      </w:r>
      <w:r>
        <w:t>十一、其他需要说明的事项</w:t>
      </w:r>
      <w:r>
        <w:tab/>
      </w:r>
      <w:r>
        <w:rPr>
          <w:rFonts w:hint="default"/>
          <w:lang w:val="en-US"/>
        </w:rPr>
        <w:t>4</w:t>
      </w:r>
      <w:r>
        <w:fldChar w:fldCharType="end"/>
      </w:r>
      <w:r>
        <w:rPr>
          <w:rFonts w:hint="default"/>
          <w:lang w:val="en-US"/>
        </w:rPr>
        <w:t>2</w:t>
      </w:r>
    </w:p>
    <w:p>
      <w:pPr>
        <w:sectPr>
          <w:pgSz w:w="16840" w:h="11900" w:orient="landscape"/>
          <w:pgMar w:top="1587" w:right="1134" w:bottom="1361" w:left="1134" w:header="720" w:footer="720" w:gutter="0"/>
          <w:pgNumType w:start="1"/>
          <w:cols w:space="720" w:num="1"/>
        </w:sectPr>
      </w:pPr>
      <w:r>
        <w:fldChar w:fldCharType="end"/>
      </w:r>
      <w:bookmarkStart w:id="0" w:name="_GoBack"/>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450001保定市徐水区医疗保障局本级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575.18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49.99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493.33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575.18</w:t>
            </w:r>
          </w:p>
        </w:tc>
        <w:tc>
          <w:tcPr>
            <w:tcW w:w="4535" w:type="dxa"/>
            <w:vAlign w:val="center"/>
          </w:tcPr>
          <w:p>
            <w:pPr>
              <w:pStyle w:val="14"/>
            </w:pPr>
            <w:r>
              <w:t>本年支出合计</w:t>
            </w:r>
          </w:p>
        </w:tc>
        <w:tc>
          <w:tcPr>
            <w:tcW w:w="2126" w:type="dxa"/>
            <w:vAlign w:val="center"/>
          </w:tcPr>
          <w:p>
            <w:pPr>
              <w:pStyle w:val="15"/>
            </w:pPr>
            <w:r>
              <w:t>575.18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575.18</w:t>
            </w:r>
          </w:p>
        </w:tc>
        <w:tc>
          <w:tcPr>
            <w:tcW w:w="4535" w:type="dxa"/>
            <w:vAlign w:val="center"/>
          </w:tcPr>
          <w:p>
            <w:pPr>
              <w:pStyle w:val="14"/>
            </w:pPr>
            <w:r>
              <w:t>支出总计</w:t>
            </w:r>
          </w:p>
        </w:tc>
        <w:tc>
          <w:tcPr>
            <w:tcW w:w="2126" w:type="dxa"/>
            <w:vAlign w:val="center"/>
          </w:tcPr>
          <w:p>
            <w:pPr>
              <w:pStyle w:val="15"/>
            </w:pPr>
            <w:r>
              <w:t>575.18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450001保定市徐水区医疗保障局本级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575.18</w:t>
            </w:r>
          </w:p>
        </w:tc>
        <w:tc>
          <w:tcPr>
            <w:tcW w:w="1134" w:type="dxa"/>
            <w:vAlign w:val="center"/>
          </w:tcPr>
          <w:p>
            <w:pPr>
              <w:pStyle w:val="15"/>
            </w:pPr>
            <w:r>
              <w:t>575.18</w:t>
            </w:r>
          </w:p>
        </w:tc>
        <w:tc>
          <w:tcPr>
            <w:tcW w:w="1134" w:type="dxa"/>
            <w:vAlign w:val="center"/>
          </w:tcPr>
          <w:p>
            <w:pPr>
              <w:pStyle w:val="15"/>
            </w:pPr>
            <w:r>
              <w:t>575.18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49.99</w:t>
            </w:r>
          </w:p>
        </w:tc>
        <w:tc>
          <w:tcPr>
            <w:tcW w:w="1134" w:type="dxa"/>
            <w:vAlign w:val="center"/>
          </w:tcPr>
          <w:p>
            <w:pPr>
              <w:pStyle w:val="11"/>
            </w:pPr>
            <w:r>
              <w:t>49.99</w:t>
            </w:r>
          </w:p>
        </w:tc>
        <w:tc>
          <w:tcPr>
            <w:tcW w:w="1134" w:type="dxa"/>
            <w:vAlign w:val="center"/>
          </w:tcPr>
          <w:p>
            <w:pPr>
              <w:pStyle w:val="11"/>
            </w:pPr>
            <w:r>
              <w:t>49.99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49.63</w:t>
            </w:r>
          </w:p>
        </w:tc>
        <w:tc>
          <w:tcPr>
            <w:tcW w:w="1134" w:type="dxa"/>
            <w:vAlign w:val="center"/>
          </w:tcPr>
          <w:p>
            <w:pPr>
              <w:pStyle w:val="11"/>
            </w:pPr>
            <w:r>
              <w:t>49.63</w:t>
            </w:r>
          </w:p>
        </w:tc>
        <w:tc>
          <w:tcPr>
            <w:tcW w:w="1134" w:type="dxa"/>
            <w:vAlign w:val="center"/>
          </w:tcPr>
          <w:p>
            <w:pPr>
              <w:pStyle w:val="11"/>
            </w:pPr>
            <w:r>
              <w:t>49.63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0.18</w:t>
            </w:r>
          </w:p>
        </w:tc>
        <w:tc>
          <w:tcPr>
            <w:tcW w:w="1134" w:type="dxa"/>
            <w:vAlign w:val="center"/>
          </w:tcPr>
          <w:p>
            <w:pPr>
              <w:pStyle w:val="11"/>
            </w:pPr>
            <w:r>
              <w:t>0.18</w:t>
            </w:r>
          </w:p>
        </w:tc>
        <w:tc>
          <w:tcPr>
            <w:tcW w:w="1134" w:type="dxa"/>
            <w:vAlign w:val="center"/>
          </w:tcPr>
          <w:p>
            <w:pPr>
              <w:pStyle w:val="11"/>
            </w:pPr>
            <w:r>
              <w:t>0.18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9.95</w:t>
            </w:r>
          </w:p>
        </w:tc>
        <w:tc>
          <w:tcPr>
            <w:tcW w:w="1134" w:type="dxa"/>
            <w:vAlign w:val="center"/>
          </w:tcPr>
          <w:p>
            <w:pPr>
              <w:pStyle w:val="11"/>
            </w:pPr>
            <w:r>
              <w:t>9.95</w:t>
            </w:r>
          </w:p>
        </w:tc>
        <w:tc>
          <w:tcPr>
            <w:tcW w:w="1134" w:type="dxa"/>
            <w:vAlign w:val="center"/>
          </w:tcPr>
          <w:p>
            <w:pPr>
              <w:pStyle w:val="11"/>
            </w:pPr>
            <w:r>
              <w:t>9.95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38.79</w:t>
            </w:r>
          </w:p>
        </w:tc>
        <w:tc>
          <w:tcPr>
            <w:tcW w:w="1134" w:type="dxa"/>
            <w:vAlign w:val="center"/>
          </w:tcPr>
          <w:p>
            <w:pPr>
              <w:pStyle w:val="11"/>
            </w:pPr>
            <w:r>
              <w:t>38.79</w:t>
            </w:r>
          </w:p>
        </w:tc>
        <w:tc>
          <w:tcPr>
            <w:tcW w:w="1134" w:type="dxa"/>
            <w:vAlign w:val="center"/>
          </w:tcPr>
          <w:p>
            <w:pPr>
              <w:pStyle w:val="11"/>
            </w:pPr>
            <w:r>
              <w:t>38.79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0.71</w:t>
            </w:r>
          </w:p>
        </w:tc>
        <w:tc>
          <w:tcPr>
            <w:tcW w:w="1134" w:type="dxa"/>
            <w:vAlign w:val="center"/>
          </w:tcPr>
          <w:p>
            <w:pPr>
              <w:pStyle w:val="11"/>
            </w:pPr>
            <w:r>
              <w:t>0.71</w:t>
            </w:r>
          </w:p>
        </w:tc>
        <w:tc>
          <w:tcPr>
            <w:tcW w:w="1134" w:type="dxa"/>
            <w:vAlign w:val="center"/>
          </w:tcPr>
          <w:p>
            <w:pPr>
              <w:pStyle w:val="11"/>
            </w:pPr>
            <w:r>
              <w:t>0.71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0.36</w:t>
            </w:r>
          </w:p>
        </w:tc>
        <w:tc>
          <w:tcPr>
            <w:tcW w:w="1134" w:type="dxa"/>
            <w:vAlign w:val="center"/>
          </w:tcPr>
          <w:p>
            <w:pPr>
              <w:pStyle w:val="11"/>
            </w:pPr>
            <w:r>
              <w:t>0.36</w:t>
            </w:r>
          </w:p>
        </w:tc>
        <w:tc>
          <w:tcPr>
            <w:tcW w:w="1134" w:type="dxa"/>
            <w:vAlign w:val="center"/>
          </w:tcPr>
          <w:p>
            <w:pPr>
              <w:pStyle w:val="11"/>
            </w:pPr>
            <w:r>
              <w:t>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0.36</w:t>
            </w:r>
          </w:p>
        </w:tc>
        <w:tc>
          <w:tcPr>
            <w:tcW w:w="1134" w:type="dxa"/>
            <w:vAlign w:val="center"/>
          </w:tcPr>
          <w:p>
            <w:pPr>
              <w:pStyle w:val="11"/>
            </w:pPr>
            <w:r>
              <w:t>0.36</w:t>
            </w:r>
          </w:p>
        </w:tc>
        <w:tc>
          <w:tcPr>
            <w:tcW w:w="1134" w:type="dxa"/>
            <w:vAlign w:val="center"/>
          </w:tcPr>
          <w:p>
            <w:pPr>
              <w:pStyle w:val="11"/>
            </w:pPr>
            <w:r>
              <w:t>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493.33</w:t>
            </w:r>
          </w:p>
        </w:tc>
        <w:tc>
          <w:tcPr>
            <w:tcW w:w="1134" w:type="dxa"/>
            <w:vAlign w:val="center"/>
          </w:tcPr>
          <w:p>
            <w:pPr>
              <w:pStyle w:val="11"/>
            </w:pPr>
            <w:r>
              <w:t>493.33</w:t>
            </w:r>
          </w:p>
        </w:tc>
        <w:tc>
          <w:tcPr>
            <w:tcW w:w="1134" w:type="dxa"/>
            <w:vAlign w:val="center"/>
          </w:tcPr>
          <w:p>
            <w:pPr>
              <w:pStyle w:val="11"/>
            </w:pPr>
            <w:r>
              <w:t>493.33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20.17</w:t>
            </w:r>
          </w:p>
        </w:tc>
        <w:tc>
          <w:tcPr>
            <w:tcW w:w="1134" w:type="dxa"/>
            <w:vAlign w:val="center"/>
          </w:tcPr>
          <w:p>
            <w:pPr>
              <w:pStyle w:val="11"/>
            </w:pPr>
            <w:r>
              <w:t>20.17</w:t>
            </w:r>
          </w:p>
        </w:tc>
        <w:tc>
          <w:tcPr>
            <w:tcW w:w="1134" w:type="dxa"/>
            <w:vAlign w:val="center"/>
          </w:tcPr>
          <w:p>
            <w:pPr>
              <w:pStyle w:val="11"/>
            </w:pPr>
            <w:r>
              <w:t>20.17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13.17</w:t>
            </w:r>
          </w:p>
        </w:tc>
        <w:tc>
          <w:tcPr>
            <w:tcW w:w="1134" w:type="dxa"/>
            <w:vAlign w:val="center"/>
          </w:tcPr>
          <w:p>
            <w:pPr>
              <w:pStyle w:val="11"/>
            </w:pPr>
            <w:r>
              <w:t>13.17</w:t>
            </w:r>
          </w:p>
        </w:tc>
        <w:tc>
          <w:tcPr>
            <w:tcW w:w="1134" w:type="dxa"/>
            <w:vAlign w:val="center"/>
          </w:tcPr>
          <w:p>
            <w:pPr>
              <w:pStyle w:val="11"/>
            </w:pPr>
            <w:r>
              <w:t>13.17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473.16</w:t>
            </w:r>
          </w:p>
        </w:tc>
        <w:tc>
          <w:tcPr>
            <w:tcW w:w="1134" w:type="dxa"/>
            <w:vAlign w:val="center"/>
          </w:tcPr>
          <w:p>
            <w:pPr>
              <w:pStyle w:val="11"/>
            </w:pPr>
            <w:r>
              <w:t>473.16</w:t>
            </w:r>
          </w:p>
        </w:tc>
        <w:tc>
          <w:tcPr>
            <w:tcW w:w="1134" w:type="dxa"/>
            <w:vAlign w:val="center"/>
          </w:tcPr>
          <w:p>
            <w:pPr>
              <w:pStyle w:val="11"/>
            </w:pPr>
            <w:r>
              <w:t>473.16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2101501</w:t>
            </w:r>
          </w:p>
        </w:tc>
        <w:tc>
          <w:tcPr>
            <w:tcW w:w="1559" w:type="dxa"/>
            <w:vAlign w:val="center"/>
          </w:tcPr>
          <w:p>
            <w:pPr>
              <w:pStyle w:val="12"/>
            </w:pPr>
            <w:r>
              <w:t>行政运行</w:t>
            </w:r>
          </w:p>
        </w:tc>
        <w:tc>
          <w:tcPr>
            <w:tcW w:w="1134" w:type="dxa"/>
            <w:vAlign w:val="center"/>
          </w:tcPr>
          <w:p>
            <w:pPr>
              <w:pStyle w:val="11"/>
            </w:pPr>
            <w:r>
              <w:t>154.66</w:t>
            </w:r>
          </w:p>
        </w:tc>
        <w:tc>
          <w:tcPr>
            <w:tcW w:w="1134" w:type="dxa"/>
            <w:vAlign w:val="center"/>
          </w:tcPr>
          <w:p>
            <w:pPr>
              <w:pStyle w:val="11"/>
            </w:pPr>
            <w:r>
              <w:t>154.66</w:t>
            </w:r>
          </w:p>
        </w:tc>
        <w:tc>
          <w:tcPr>
            <w:tcW w:w="1134" w:type="dxa"/>
            <w:vAlign w:val="center"/>
          </w:tcPr>
          <w:p>
            <w:pPr>
              <w:pStyle w:val="11"/>
            </w:pPr>
            <w:r>
              <w:t>154.66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2101502</w:t>
            </w:r>
          </w:p>
        </w:tc>
        <w:tc>
          <w:tcPr>
            <w:tcW w:w="1559" w:type="dxa"/>
            <w:vAlign w:val="center"/>
          </w:tcPr>
          <w:p>
            <w:pPr>
              <w:pStyle w:val="12"/>
            </w:pPr>
            <w:r>
              <w:t>一般行政管理事务</w:t>
            </w:r>
          </w:p>
        </w:tc>
        <w:tc>
          <w:tcPr>
            <w:tcW w:w="1134" w:type="dxa"/>
            <w:vAlign w:val="center"/>
          </w:tcPr>
          <w:p>
            <w:pPr>
              <w:pStyle w:val="11"/>
            </w:pPr>
            <w:r>
              <w:t>41.83</w:t>
            </w:r>
          </w:p>
        </w:tc>
        <w:tc>
          <w:tcPr>
            <w:tcW w:w="1134" w:type="dxa"/>
            <w:vAlign w:val="center"/>
          </w:tcPr>
          <w:p>
            <w:pPr>
              <w:pStyle w:val="11"/>
            </w:pPr>
            <w:r>
              <w:t>41.83</w:t>
            </w:r>
          </w:p>
        </w:tc>
        <w:tc>
          <w:tcPr>
            <w:tcW w:w="1134" w:type="dxa"/>
            <w:vAlign w:val="center"/>
          </w:tcPr>
          <w:p>
            <w:pPr>
              <w:pStyle w:val="11"/>
            </w:pPr>
            <w:r>
              <w:t>41.83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2101505</w:t>
            </w:r>
          </w:p>
        </w:tc>
        <w:tc>
          <w:tcPr>
            <w:tcW w:w="1559" w:type="dxa"/>
            <w:vAlign w:val="center"/>
          </w:tcPr>
          <w:p>
            <w:pPr>
              <w:pStyle w:val="12"/>
            </w:pPr>
            <w:r>
              <w:t>医疗保障政策管理</w:t>
            </w:r>
          </w:p>
        </w:tc>
        <w:tc>
          <w:tcPr>
            <w:tcW w:w="1134" w:type="dxa"/>
            <w:vAlign w:val="center"/>
          </w:tcPr>
          <w:p>
            <w:pPr>
              <w:pStyle w:val="11"/>
            </w:pPr>
            <w:r>
              <w:t>33.01</w:t>
            </w:r>
          </w:p>
        </w:tc>
        <w:tc>
          <w:tcPr>
            <w:tcW w:w="1134" w:type="dxa"/>
            <w:vAlign w:val="center"/>
          </w:tcPr>
          <w:p>
            <w:pPr>
              <w:pStyle w:val="11"/>
            </w:pPr>
            <w:r>
              <w:t>33.01</w:t>
            </w:r>
          </w:p>
        </w:tc>
        <w:tc>
          <w:tcPr>
            <w:tcW w:w="1134" w:type="dxa"/>
            <w:vAlign w:val="center"/>
          </w:tcPr>
          <w:p>
            <w:pPr>
              <w:pStyle w:val="11"/>
            </w:pPr>
            <w:r>
              <w:t>33.01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2101506</w:t>
            </w:r>
          </w:p>
        </w:tc>
        <w:tc>
          <w:tcPr>
            <w:tcW w:w="1559" w:type="dxa"/>
            <w:vAlign w:val="center"/>
          </w:tcPr>
          <w:p>
            <w:pPr>
              <w:pStyle w:val="12"/>
            </w:pPr>
            <w:r>
              <w:t>医疗保障经办事务</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2101550</w:t>
            </w:r>
          </w:p>
        </w:tc>
        <w:tc>
          <w:tcPr>
            <w:tcW w:w="1559" w:type="dxa"/>
            <w:vAlign w:val="center"/>
          </w:tcPr>
          <w:p>
            <w:pPr>
              <w:pStyle w:val="12"/>
            </w:pPr>
            <w:r>
              <w:t>事业运行</w:t>
            </w:r>
          </w:p>
        </w:tc>
        <w:tc>
          <w:tcPr>
            <w:tcW w:w="1134" w:type="dxa"/>
            <w:vAlign w:val="center"/>
          </w:tcPr>
          <w:p>
            <w:pPr>
              <w:pStyle w:val="11"/>
            </w:pPr>
            <w:r>
              <w:t>194.66</w:t>
            </w:r>
          </w:p>
        </w:tc>
        <w:tc>
          <w:tcPr>
            <w:tcW w:w="1134" w:type="dxa"/>
            <w:vAlign w:val="center"/>
          </w:tcPr>
          <w:p>
            <w:pPr>
              <w:pStyle w:val="11"/>
            </w:pPr>
            <w:r>
              <w:t>194.66</w:t>
            </w:r>
          </w:p>
        </w:tc>
        <w:tc>
          <w:tcPr>
            <w:tcW w:w="1134" w:type="dxa"/>
            <w:vAlign w:val="center"/>
          </w:tcPr>
          <w:p>
            <w:pPr>
              <w:pStyle w:val="11"/>
            </w:pPr>
            <w:r>
              <w:t>194.66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2101599</w:t>
            </w:r>
          </w:p>
        </w:tc>
        <w:tc>
          <w:tcPr>
            <w:tcW w:w="1559" w:type="dxa"/>
            <w:vAlign w:val="center"/>
          </w:tcPr>
          <w:p>
            <w:pPr>
              <w:pStyle w:val="12"/>
            </w:pPr>
            <w:r>
              <w:t>其他医疗保障管理事务支出</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31.86</w:t>
            </w:r>
          </w:p>
        </w:tc>
        <w:tc>
          <w:tcPr>
            <w:tcW w:w="1134" w:type="dxa"/>
            <w:vAlign w:val="center"/>
          </w:tcPr>
          <w:p>
            <w:pPr>
              <w:pStyle w:val="11"/>
            </w:pPr>
            <w:r>
              <w:t>31.86</w:t>
            </w:r>
          </w:p>
        </w:tc>
        <w:tc>
          <w:tcPr>
            <w:tcW w:w="1134" w:type="dxa"/>
            <w:vAlign w:val="center"/>
          </w:tcPr>
          <w:p>
            <w:pPr>
              <w:pStyle w:val="11"/>
            </w:pPr>
            <w:r>
              <w:t>31.86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31.86</w:t>
            </w:r>
          </w:p>
        </w:tc>
        <w:tc>
          <w:tcPr>
            <w:tcW w:w="1134" w:type="dxa"/>
            <w:vAlign w:val="center"/>
          </w:tcPr>
          <w:p>
            <w:pPr>
              <w:pStyle w:val="11"/>
            </w:pPr>
            <w:r>
              <w:t>31.86</w:t>
            </w:r>
          </w:p>
        </w:tc>
        <w:tc>
          <w:tcPr>
            <w:tcW w:w="1134" w:type="dxa"/>
            <w:vAlign w:val="center"/>
          </w:tcPr>
          <w:p>
            <w:pPr>
              <w:pStyle w:val="11"/>
            </w:pPr>
            <w:r>
              <w:t>31.86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31.86</w:t>
            </w:r>
          </w:p>
        </w:tc>
        <w:tc>
          <w:tcPr>
            <w:tcW w:w="1134" w:type="dxa"/>
            <w:vAlign w:val="center"/>
          </w:tcPr>
          <w:p>
            <w:pPr>
              <w:pStyle w:val="11"/>
            </w:pPr>
            <w:r>
              <w:t>31.86</w:t>
            </w:r>
          </w:p>
        </w:tc>
        <w:tc>
          <w:tcPr>
            <w:tcW w:w="1134" w:type="dxa"/>
            <w:vAlign w:val="center"/>
          </w:tcPr>
          <w:p>
            <w:pPr>
              <w:pStyle w:val="11"/>
            </w:pPr>
            <w:r>
              <w:t>31.86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450001保定市徐水区医疗保障局本级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575.18</w:t>
            </w:r>
          </w:p>
        </w:tc>
        <w:tc>
          <w:tcPr>
            <w:tcW w:w="1361" w:type="dxa"/>
            <w:vAlign w:val="center"/>
          </w:tcPr>
          <w:p>
            <w:pPr>
              <w:pStyle w:val="15"/>
            </w:pPr>
            <w:r>
              <w:t>443.98</w:t>
            </w:r>
          </w:p>
        </w:tc>
        <w:tc>
          <w:tcPr>
            <w:tcW w:w="1361" w:type="dxa"/>
            <w:vAlign w:val="center"/>
          </w:tcPr>
          <w:p>
            <w:pPr>
              <w:pStyle w:val="15"/>
            </w:pPr>
            <w:r>
              <w:t>131.20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49.99</w:t>
            </w:r>
          </w:p>
        </w:tc>
        <w:tc>
          <w:tcPr>
            <w:tcW w:w="1361" w:type="dxa"/>
            <w:vAlign w:val="center"/>
          </w:tcPr>
          <w:p>
            <w:pPr>
              <w:pStyle w:val="11"/>
            </w:pPr>
            <w:r>
              <w:t>49.63</w:t>
            </w: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49.63</w:t>
            </w:r>
          </w:p>
        </w:tc>
        <w:tc>
          <w:tcPr>
            <w:tcW w:w="1361" w:type="dxa"/>
            <w:vAlign w:val="center"/>
          </w:tcPr>
          <w:p>
            <w:pPr>
              <w:pStyle w:val="11"/>
            </w:pPr>
            <w:r>
              <w:t>49.63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0.18</w:t>
            </w:r>
          </w:p>
        </w:tc>
        <w:tc>
          <w:tcPr>
            <w:tcW w:w="1361" w:type="dxa"/>
            <w:vAlign w:val="center"/>
          </w:tcPr>
          <w:p>
            <w:pPr>
              <w:pStyle w:val="11"/>
            </w:pPr>
            <w:r>
              <w:t>0.18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9.95</w:t>
            </w:r>
          </w:p>
        </w:tc>
        <w:tc>
          <w:tcPr>
            <w:tcW w:w="1361" w:type="dxa"/>
            <w:vAlign w:val="center"/>
          </w:tcPr>
          <w:p>
            <w:pPr>
              <w:pStyle w:val="11"/>
            </w:pPr>
            <w:r>
              <w:t>9.95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38.79</w:t>
            </w:r>
          </w:p>
        </w:tc>
        <w:tc>
          <w:tcPr>
            <w:tcW w:w="1361" w:type="dxa"/>
            <w:vAlign w:val="center"/>
          </w:tcPr>
          <w:p>
            <w:pPr>
              <w:pStyle w:val="11"/>
            </w:pPr>
            <w:r>
              <w:t>38.79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0.71</w:t>
            </w:r>
          </w:p>
        </w:tc>
        <w:tc>
          <w:tcPr>
            <w:tcW w:w="1361" w:type="dxa"/>
            <w:vAlign w:val="center"/>
          </w:tcPr>
          <w:p>
            <w:pPr>
              <w:pStyle w:val="11"/>
            </w:pPr>
            <w:r>
              <w:t>0.71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493.33</w:t>
            </w:r>
          </w:p>
        </w:tc>
        <w:tc>
          <w:tcPr>
            <w:tcW w:w="1361" w:type="dxa"/>
            <w:vAlign w:val="center"/>
          </w:tcPr>
          <w:p>
            <w:pPr>
              <w:pStyle w:val="11"/>
            </w:pPr>
            <w:r>
              <w:t>362.49</w:t>
            </w:r>
          </w:p>
        </w:tc>
        <w:tc>
          <w:tcPr>
            <w:tcW w:w="1361" w:type="dxa"/>
            <w:vAlign w:val="center"/>
          </w:tcPr>
          <w:p>
            <w:pPr>
              <w:pStyle w:val="11"/>
            </w:pPr>
            <w:r>
              <w:t>130.84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20.17</w:t>
            </w:r>
          </w:p>
        </w:tc>
        <w:tc>
          <w:tcPr>
            <w:tcW w:w="1361" w:type="dxa"/>
            <w:vAlign w:val="center"/>
          </w:tcPr>
          <w:p>
            <w:pPr>
              <w:pStyle w:val="11"/>
            </w:pPr>
            <w:r>
              <w:t>13.17</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13.17</w:t>
            </w:r>
          </w:p>
        </w:tc>
        <w:tc>
          <w:tcPr>
            <w:tcW w:w="1361" w:type="dxa"/>
            <w:vAlign w:val="center"/>
          </w:tcPr>
          <w:p>
            <w:pPr>
              <w:pStyle w:val="11"/>
            </w:pPr>
            <w:r>
              <w:t>13.17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21015</w:t>
            </w:r>
          </w:p>
        </w:tc>
        <w:tc>
          <w:tcPr>
            <w:tcW w:w="4535" w:type="dxa"/>
            <w:vAlign w:val="center"/>
          </w:tcPr>
          <w:p>
            <w:pPr>
              <w:pStyle w:val="12"/>
            </w:pPr>
            <w:r>
              <w:t>医疗保障管理事务</w:t>
            </w:r>
          </w:p>
        </w:tc>
        <w:tc>
          <w:tcPr>
            <w:tcW w:w="1361" w:type="dxa"/>
            <w:vAlign w:val="center"/>
          </w:tcPr>
          <w:p>
            <w:pPr>
              <w:pStyle w:val="11"/>
            </w:pPr>
            <w:r>
              <w:t>473.16</w:t>
            </w:r>
          </w:p>
        </w:tc>
        <w:tc>
          <w:tcPr>
            <w:tcW w:w="1361" w:type="dxa"/>
            <w:vAlign w:val="center"/>
          </w:tcPr>
          <w:p>
            <w:pPr>
              <w:pStyle w:val="11"/>
            </w:pPr>
            <w:r>
              <w:t>349.32</w:t>
            </w:r>
          </w:p>
        </w:tc>
        <w:tc>
          <w:tcPr>
            <w:tcW w:w="1361" w:type="dxa"/>
            <w:vAlign w:val="center"/>
          </w:tcPr>
          <w:p>
            <w:pPr>
              <w:pStyle w:val="11"/>
            </w:pPr>
            <w:r>
              <w:t>123.84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2101501</w:t>
            </w:r>
          </w:p>
        </w:tc>
        <w:tc>
          <w:tcPr>
            <w:tcW w:w="4535" w:type="dxa"/>
            <w:vAlign w:val="center"/>
          </w:tcPr>
          <w:p>
            <w:pPr>
              <w:pStyle w:val="12"/>
            </w:pPr>
            <w:r>
              <w:t>行政运行</w:t>
            </w:r>
          </w:p>
        </w:tc>
        <w:tc>
          <w:tcPr>
            <w:tcW w:w="1361" w:type="dxa"/>
            <w:vAlign w:val="center"/>
          </w:tcPr>
          <w:p>
            <w:pPr>
              <w:pStyle w:val="11"/>
            </w:pPr>
            <w:r>
              <w:t>154.66</w:t>
            </w:r>
          </w:p>
        </w:tc>
        <w:tc>
          <w:tcPr>
            <w:tcW w:w="1361" w:type="dxa"/>
            <w:vAlign w:val="center"/>
          </w:tcPr>
          <w:p>
            <w:pPr>
              <w:pStyle w:val="11"/>
            </w:pPr>
            <w:r>
              <w:t>154.66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2101502</w:t>
            </w:r>
          </w:p>
        </w:tc>
        <w:tc>
          <w:tcPr>
            <w:tcW w:w="4535" w:type="dxa"/>
            <w:vAlign w:val="center"/>
          </w:tcPr>
          <w:p>
            <w:pPr>
              <w:pStyle w:val="12"/>
            </w:pPr>
            <w:r>
              <w:t>一般行政管理事务</w:t>
            </w:r>
          </w:p>
        </w:tc>
        <w:tc>
          <w:tcPr>
            <w:tcW w:w="1361" w:type="dxa"/>
            <w:vAlign w:val="center"/>
          </w:tcPr>
          <w:p>
            <w:pPr>
              <w:pStyle w:val="11"/>
            </w:pPr>
            <w:r>
              <w:t>41.83</w:t>
            </w:r>
          </w:p>
        </w:tc>
        <w:tc>
          <w:tcPr>
            <w:tcW w:w="1361" w:type="dxa"/>
            <w:vAlign w:val="center"/>
          </w:tcPr>
          <w:p>
            <w:pPr>
              <w:pStyle w:val="11"/>
            </w:pPr>
          </w:p>
        </w:tc>
        <w:tc>
          <w:tcPr>
            <w:tcW w:w="1361" w:type="dxa"/>
            <w:vAlign w:val="center"/>
          </w:tcPr>
          <w:p>
            <w:pPr>
              <w:pStyle w:val="11"/>
            </w:pPr>
            <w:r>
              <w:t>41.83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2101505</w:t>
            </w:r>
          </w:p>
        </w:tc>
        <w:tc>
          <w:tcPr>
            <w:tcW w:w="4535" w:type="dxa"/>
            <w:vAlign w:val="center"/>
          </w:tcPr>
          <w:p>
            <w:pPr>
              <w:pStyle w:val="12"/>
            </w:pPr>
            <w:r>
              <w:t>医疗保障政策管理</w:t>
            </w:r>
          </w:p>
        </w:tc>
        <w:tc>
          <w:tcPr>
            <w:tcW w:w="1361" w:type="dxa"/>
            <w:vAlign w:val="center"/>
          </w:tcPr>
          <w:p>
            <w:pPr>
              <w:pStyle w:val="11"/>
            </w:pPr>
            <w:r>
              <w:t>33.01</w:t>
            </w:r>
          </w:p>
        </w:tc>
        <w:tc>
          <w:tcPr>
            <w:tcW w:w="1361" w:type="dxa"/>
            <w:vAlign w:val="center"/>
          </w:tcPr>
          <w:p>
            <w:pPr>
              <w:pStyle w:val="11"/>
            </w:pPr>
          </w:p>
        </w:tc>
        <w:tc>
          <w:tcPr>
            <w:tcW w:w="1361" w:type="dxa"/>
            <w:vAlign w:val="center"/>
          </w:tcPr>
          <w:p>
            <w:pPr>
              <w:pStyle w:val="11"/>
            </w:pPr>
            <w:r>
              <w:t>33.01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2101506</w:t>
            </w:r>
          </w:p>
        </w:tc>
        <w:tc>
          <w:tcPr>
            <w:tcW w:w="4535" w:type="dxa"/>
            <w:vAlign w:val="center"/>
          </w:tcPr>
          <w:p>
            <w:pPr>
              <w:pStyle w:val="12"/>
            </w:pPr>
            <w:r>
              <w:t>医疗保障经办事务</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2101550</w:t>
            </w:r>
          </w:p>
        </w:tc>
        <w:tc>
          <w:tcPr>
            <w:tcW w:w="4535" w:type="dxa"/>
            <w:vAlign w:val="center"/>
          </w:tcPr>
          <w:p>
            <w:pPr>
              <w:pStyle w:val="12"/>
            </w:pPr>
            <w:r>
              <w:t>事业运行</w:t>
            </w:r>
          </w:p>
        </w:tc>
        <w:tc>
          <w:tcPr>
            <w:tcW w:w="1361" w:type="dxa"/>
            <w:vAlign w:val="center"/>
          </w:tcPr>
          <w:p>
            <w:pPr>
              <w:pStyle w:val="11"/>
            </w:pPr>
            <w:r>
              <w:t>194.66</w:t>
            </w:r>
          </w:p>
        </w:tc>
        <w:tc>
          <w:tcPr>
            <w:tcW w:w="1361" w:type="dxa"/>
            <w:vAlign w:val="center"/>
          </w:tcPr>
          <w:p>
            <w:pPr>
              <w:pStyle w:val="11"/>
            </w:pPr>
            <w:r>
              <w:t>194.66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2101599</w:t>
            </w:r>
          </w:p>
        </w:tc>
        <w:tc>
          <w:tcPr>
            <w:tcW w:w="4535" w:type="dxa"/>
            <w:vAlign w:val="center"/>
          </w:tcPr>
          <w:p>
            <w:pPr>
              <w:pStyle w:val="12"/>
            </w:pPr>
            <w:r>
              <w:t>其他医疗保障管理事务支出</w:t>
            </w: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31.86</w:t>
            </w:r>
          </w:p>
        </w:tc>
        <w:tc>
          <w:tcPr>
            <w:tcW w:w="1361" w:type="dxa"/>
            <w:vAlign w:val="center"/>
          </w:tcPr>
          <w:p>
            <w:pPr>
              <w:pStyle w:val="11"/>
            </w:pPr>
            <w:r>
              <w:t>31.86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31.86</w:t>
            </w:r>
          </w:p>
        </w:tc>
        <w:tc>
          <w:tcPr>
            <w:tcW w:w="1361" w:type="dxa"/>
            <w:vAlign w:val="center"/>
          </w:tcPr>
          <w:p>
            <w:pPr>
              <w:pStyle w:val="11"/>
            </w:pPr>
            <w:r>
              <w:t>31.86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31.86</w:t>
            </w:r>
          </w:p>
        </w:tc>
        <w:tc>
          <w:tcPr>
            <w:tcW w:w="1361" w:type="dxa"/>
            <w:vAlign w:val="center"/>
          </w:tcPr>
          <w:p>
            <w:pPr>
              <w:pStyle w:val="11"/>
            </w:pPr>
            <w:r>
              <w:t>31.86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450001保定市徐水区医疗保障局本级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575.18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49.99</w:t>
            </w:r>
          </w:p>
        </w:tc>
        <w:tc>
          <w:tcPr>
            <w:tcW w:w="1474" w:type="dxa"/>
            <w:vAlign w:val="center"/>
          </w:tcPr>
          <w:p>
            <w:pPr>
              <w:pStyle w:val="11"/>
            </w:pPr>
            <w:r>
              <w:t>49.99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493.33</w:t>
            </w:r>
          </w:p>
        </w:tc>
        <w:tc>
          <w:tcPr>
            <w:tcW w:w="1474" w:type="dxa"/>
            <w:vAlign w:val="center"/>
          </w:tcPr>
          <w:p>
            <w:pPr>
              <w:pStyle w:val="11"/>
            </w:pPr>
            <w:r>
              <w:t>493.33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31.86</w:t>
            </w:r>
          </w:p>
        </w:tc>
        <w:tc>
          <w:tcPr>
            <w:tcW w:w="1474" w:type="dxa"/>
            <w:vAlign w:val="center"/>
          </w:tcPr>
          <w:p>
            <w:pPr>
              <w:pStyle w:val="11"/>
            </w:pPr>
            <w:r>
              <w:t>31.86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575.18</w:t>
            </w:r>
          </w:p>
        </w:tc>
        <w:tc>
          <w:tcPr>
            <w:tcW w:w="3402" w:type="dxa"/>
            <w:vAlign w:val="center"/>
          </w:tcPr>
          <w:p>
            <w:pPr>
              <w:pStyle w:val="14"/>
            </w:pPr>
            <w:r>
              <w:t>本年支出合计</w:t>
            </w:r>
          </w:p>
        </w:tc>
        <w:tc>
          <w:tcPr>
            <w:tcW w:w="1474" w:type="dxa"/>
            <w:vAlign w:val="center"/>
          </w:tcPr>
          <w:p>
            <w:pPr>
              <w:pStyle w:val="15"/>
            </w:pPr>
            <w:r>
              <w:t>575.18</w:t>
            </w:r>
          </w:p>
        </w:tc>
        <w:tc>
          <w:tcPr>
            <w:tcW w:w="1474" w:type="dxa"/>
            <w:vAlign w:val="center"/>
          </w:tcPr>
          <w:p>
            <w:pPr>
              <w:pStyle w:val="15"/>
            </w:pPr>
            <w:r>
              <w:t>575.18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575.18</w:t>
            </w:r>
          </w:p>
        </w:tc>
        <w:tc>
          <w:tcPr>
            <w:tcW w:w="3402" w:type="dxa"/>
            <w:vAlign w:val="center"/>
          </w:tcPr>
          <w:p>
            <w:pPr>
              <w:pStyle w:val="14"/>
            </w:pPr>
            <w:r>
              <w:t>支出总计</w:t>
            </w:r>
          </w:p>
        </w:tc>
        <w:tc>
          <w:tcPr>
            <w:tcW w:w="1474" w:type="dxa"/>
            <w:vAlign w:val="center"/>
          </w:tcPr>
          <w:p>
            <w:pPr>
              <w:pStyle w:val="15"/>
            </w:pPr>
            <w:r>
              <w:t>575.18</w:t>
            </w:r>
          </w:p>
        </w:tc>
        <w:tc>
          <w:tcPr>
            <w:tcW w:w="1474" w:type="dxa"/>
            <w:vAlign w:val="center"/>
          </w:tcPr>
          <w:p>
            <w:pPr>
              <w:pStyle w:val="15"/>
            </w:pPr>
            <w:r>
              <w:t>575.18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450001保定市徐水区医疗保障局本级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575.18</w:t>
            </w:r>
          </w:p>
        </w:tc>
        <w:tc>
          <w:tcPr>
            <w:tcW w:w="2551" w:type="dxa"/>
            <w:vAlign w:val="center"/>
          </w:tcPr>
          <w:p>
            <w:pPr>
              <w:pStyle w:val="15"/>
            </w:pPr>
            <w:r>
              <w:t>443.98</w:t>
            </w:r>
          </w:p>
        </w:tc>
        <w:tc>
          <w:tcPr>
            <w:tcW w:w="2551" w:type="dxa"/>
            <w:vAlign w:val="center"/>
          </w:tcPr>
          <w:p>
            <w:pPr>
              <w:pStyle w:val="15"/>
            </w:pPr>
            <w:r>
              <w:t>131.20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49.99</w:t>
            </w:r>
          </w:p>
        </w:tc>
        <w:tc>
          <w:tcPr>
            <w:tcW w:w="2551" w:type="dxa"/>
            <w:vAlign w:val="center"/>
          </w:tcPr>
          <w:p>
            <w:pPr>
              <w:pStyle w:val="11"/>
            </w:pPr>
            <w:r>
              <w:t>49.63</w:t>
            </w:r>
          </w:p>
        </w:tc>
        <w:tc>
          <w:tcPr>
            <w:tcW w:w="2551"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49.63</w:t>
            </w:r>
          </w:p>
        </w:tc>
        <w:tc>
          <w:tcPr>
            <w:tcW w:w="2551" w:type="dxa"/>
            <w:vAlign w:val="center"/>
          </w:tcPr>
          <w:p>
            <w:pPr>
              <w:pStyle w:val="11"/>
            </w:pPr>
            <w:r>
              <w:t>49.63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0.18</w:t>
            </w:r>
          </w:p>
        </w:tc>
        <w:tc>
          <w:tcPr>
            <w:tcW w:w="2551" w:type="dxa"/>
            <w:vAlign w:val="center"/>
          </w:tcPr>
          <w:p>
            <w:pPr>
              <w:pStyle w:val="11"/>
            </w:pPr>
            <w:r>
              <w:t>0.18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9.95</w:t>
            </w:r>
          </w:p>
        </w:tc>
        <w:tc>
          <w:tcPr>
            <w:tcW w:w="2551" w:type="dxa"/>
            <w:vAlign w:val="center"/>
          </w:tcPr>
          <w:p>
            <w:pPr>
              <w:pStyle w:val="11"/>
            </w:pPr>
            <w:r>
              <w:t>9.95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38.79</w:t>
            </w:r>
          </w:p>
        </w:tc>
        <w:tc>
          <w:tcPr>
            <w:tcW w:w="2551" w:type="dxa"/>
            <w:vAlign w:val="center"/>
          </w:tcPr>
          <w:p>
            <w:pPr>
              <w:pStyle w:val="11"/>
            </w:pPr>
            <w:r>
              <w:t>38.79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0.71</w:t>
            </w:r>
          </w:p>
        </w:tc>
        <w:tc>
          <w:tcPr>
            <w:tcW w:w="2551" w:type="dxa"/>
            <w:vAlign w:val="center"/>
          </w:tcPr>
          <w:p>
            <w:pPr>
              <w:pStyle w:val="11"/>
            </w:pPr>
            <w:r>
              <w:t>0.71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493.33</w:t>
            </w:r>
          </w:p>
        </w:tc>
        <w:tc>
          <w:tcPr>
            <w:tcW w:w="2551" w:type="dxa"/>
            <w:vAlign w:val="center"/>
          </w:tcPr>
          <w:p>
            <w:pPr>
              <w:pStyle w:val="11"/>
            </w:pPr>
            <w:r>
              <w:t>362.49</w:t>
            </w:r>
          </w:p>
        </w:tc>
        <w:tc>
          <w:tcPr>
            <w:tcW w:w="2551" w:type="dxa"/>
            <w:vAlign w:val="center"/>
          </w:tcPr>
          <w:p>
            <w:pPr>
              <w:pStyle w:val="11"/>
            </w:pPr>
            <w:r>
              <w:t>130.84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20.17</w:t>
            </w:r>
          </w:p>
        </w:tc>
        <w:tc>
          <w:tcPr>
            <w:tcW w:w="2551" w:type="dxa"/>
            <w:vAlign w:val="center"/>
          </w:tcPr>
          <w:p>
            <w:pPr>
              <w:pStyle w:val="11"/>
            </w:pPr>
            <w:r>
              <w:t>13.17</w:t>
            </w: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13.17</w:t>
            </w:r>
          </w:p>
        </w:tc>
        <w:tc>
          <w:tcPr>
            <w:tcW w:w="2551" w:type="dxa"/>
            <w:vAlign w:val="center"/>
          </w:tcPr>
          <w:p>
            <w:pPr>
              <w:pStyle w:val="11"/>
            </w:pPr>
            <w:r>
              <w:t>13.17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473.16</w:t>
            </w:r>
          </w:p>
        </w:tc>
        <w:tc>
          <w:tcPr>
            <w:tcW w:w="2551" w:type="dxa"/>
            <w:vAlign w:val="center"/>
          </w:tcPr>
          <w:p>
            <w:pPr>
              <w:pStyle w:val="11"/>
            </w:pPr>
            <w:r>
              <w:t>349.32</w:t>
            </w:r>
          </w:p>
        </w:tc>
        <w:tc>
          <w:tcPr>
            <w:tcW w:w="2551" w:type="dxa"/>
            <w:vAlign w:val="center"/>
          </w:tcPr>
          <w:p>
            <w:pPr>
              <w:pStyle w:val="11"/>
            </w:pPr>
            <w:r>
              <w:t>123.84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2101501</w:t>
            </w:r>
          </w:p>
        </w:tc>
        <w:tc>
          <w:tcPr>
            <w:tcW w:w="4535" w:type="dxa"/>
            <w:vAlign w:val="center"/>
          </w:tcPr>
          <w:p>
            <w:pPr>
              <w:pStyle w:val="12"/>
            </w:pPr>
            <w:r>
              <w:t>行政运行</w:t>
            </w:r>
          </w:p>
        </w:tc>
        <w:tc>
          <w:tcPr>
            <w:tcW w:w="2551" w:type="dxa"/>
            <w:vAlign w:val="center"/>
          </w:tcPr>
          <w:p>
            <w:pPr>
              <w:pStyle w:val="11"/>
            </w:pPr>
            <w:r>
              <w:t>154.66</w:t>
            </w:r>
          </w:p>
        </w:tc>
        <w:tc>
          <w:tcPr>
            <w:tcW w:w="2551" w:type="dxa"/>
            <w:vAlign w:val="center"/>
          </w:tcPr>
          <w:p>
            <w:pPr>
              <w:pStyle w:val="11"/>
            </w:pPr>
            <w:r>
              <w:t>154.66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2101502</w:t>
            </w:r>
          </w:p>
        </w:tc>
        <w:tc>
          <w:tcPr>
            <w:tcW w:w="4535" w:type="dxa"/>
            <w:vAlign w:val="center"/>
          </w:tcPr>
          <w:p>
            <w:pPr>
              <w:pStyle w:val="12"/>
            </w:pPr>
            <w:r>
              <w:t>一般行政管理事务</w:t>
            </w:r>
          </w:p>
        </w:tc>
        <w:tc>
          <w:tcPr>
            <w:tcW w:w="2551" w:type="dxa"/>
            <w:vAlign w:val="center"/>
          </w:tcPr>
          <w:p>
            <w:pPr>
              <w:pStyle w:val="11"/>
            </w:pPr>
            <w:r>
              <w:t>41.83</w:t>
            </w:r>
          </w:p>
        </w:tc>
        <w:tc>
          <w:tcPr>
            <w:tcW w:w="2551" w:type="dxa"/>
            <w:vAlign w:val="center"/>
          </w:tcPr>
          <w:p>
            <w:pPr>
              <w:pStyle w:val="11"/>
            </w:pPr>
          </w:p>
        </w:tc>
        <w:tc>
          <w:tcPr>
            <w:tcW w:w="2551" w:type="dxa"/>
            <w:vAlign w:val="center"/>
          </w:tcPr>
          <w:p>
            <w:pPr>
              <w:pStyle w:val="11"/>
            </w:pPr>
            <w:r>
              <w:t>41.83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2101505</w:t>
            </w:r>
          </w:p>
        </w:tc>
        <w:tc>
          <w:tcPr>
            <w:tcW w:w="4535" w:type="dxa"/>
            <w:vAlign w:val="center"/>
          </w:tcPr>
          <w:p>
            <w:pPr>
              <w:pStyle w:val="12"/>
            </w:pPr>
            <w:r>
              <w:t>医疗保障政策管理</w:t>
            </w:r>
          </w:p>
        </w:tc>
        <w:tc>
          <w:tcPr>
            <w:tcW w:w="2551" w:type="dxa"/>
            <w:vAlign w:val="center"/>
          </w:tcPr>
          <w:p>
            <w:pPr>
              <w:pStyle w:val="11"/>
            </w:pPr>
            <w:r>
              <w:t>33.01</w:t>
            </w:r>
          </w:p>
        </w:tc>
        <w:tc>
          <w:tcPr>
            <w:tcW w:w="2551" w:type="dxa"/>
            <w:vAlign w:val="center"/>
          </w:tcPr>
          <w:p>
            <w:pPr>
              <w:pStyle w:val="11"/>
            </w:pPr>
          </w:p>
        </w:tc>
        <w:tc>
          <w:tcPr>
            <w:tcW w:w="2551" w:type="dxa"/>
            <w:vAlign w:val="center"/>
          </w:tcPr>
          <w:p>
            <w:pPr>
              <w:pStyle w:val="11"/>
            </w:pPr>
            <w:r>
              <w:t>33.01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2101506</w:t>
            </w:r>
          </w:p>
        </w:tc>
        <w:tc>
          <w:tcPr>
            <w:tcW w:w="4535" w:type="dxa"/>
            <w:vAlign w:val="center"/>
          </w:tcPr>
          <w:p>
            <w:pPr>
              <w:pStyle w:val="12"/>
            </w:pPr>
            <w:r>
              <w:t>医疗保障经办事务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2101550</w:t>
            </w:r>
          </w:p>
        </w:tc>
        <w:tc>
          <w:tcPr>
            <w:tcW w:w="4535" w:type="dxa"/>
            <w:vAlign w:val="center"/>
          </w:tcPr>
          <w:p>
            <w:pPr>
              <w:pStyle w:val="12"/>
            </w:pPr>
            <w:r>
              <w:t>事业运行</w:t>
            </w:r>
          </w:p>
        </w:tc>
        <w:tc>
          <w:tcPr>
            <w:tcW w:w="2551" w:type="dxa"/>
            <w:vAlign w:val="center"/>
          </w:tcPr>
          <w:p>
            <w:pPr>
              <w:pStyle w:val="11"/>
            </w:pPr>
            <w:r>
              <w:t>194.66</w:t>
            </w:r>
          </w:p>
        </w:tc>
        <w:tc>
          <w:tcPr>
            <w:tcW w:w="2551" w:type="dxa"/>
            <w:vAlign w:val="center"/>
          </w:tcPr>
          <w:p>
            <w:pPr>
              <w:pStyle w:val="11"/>
            </w:pPr>
            <w:r>
              <w:t>194.66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2101599</w:t>
            </w:r>
          </w:p>
        </w:tc>
        <w:tc>
          <w:tcPr>
            <w:tcW w:w="4535" w:type="dxa"/>
            <w:vAlign w:val="center"/>
          </w:tcPr>
          <w:p>
            <w:pPr>
              <w:pStyle w:val="12"/>
            </w:pPr>
            <w:r>
              <w:t>其他医疗保障管理事务支出</w:t>
            </w:r>
          </w:p>
        </w:tc>
        <w:tc>
          <w:tcPr>
            <w:tcW w:w="2551" w:type="dxa"/>
            <w:vAlign w:val="center"/>
          </w:tcPr>
          <w:p>
            <w:pPr>
              <w:pStyle w:val="11"/>
            </w:pPr>
            <w:r>
              <w:t>34.00</w:t>
            </w:r>
          </w:p>
        </w:tc>
        <w:tc>
          <w:tcPr>
            <w:tcW w:w="2551" w:type="dxa"/>
            <w:vAlign w:val="center"/>
          </w:tcPr>
          <w:p>
            <w:pPr>
              <w:pStyle w:val="11"/>
            </w:pPr>
          </w:p>
        </w:tc>
        <w:tc>
          <w:tcPr>
            <w:tcW w:w="2551" w:type="dxa"/>
            <w:vAlign w:val="center"/>
          </w:tcPr>
          <w:p>
            <w:pPr>
              <w:pStyle w:val="11"/>
            </w:pPr>
            <w:r>
              <w:t>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31.86</w:t>
            </w:r>
          </w:p>
        </w:tc>
        <w:tc>
          <w:tcPr>
            <w:tcW w:w="2551" w:type="dxa"/>
            <w:vAlign w:val="center"/>
          </w:tcPr>
          <w:p>
            <w:pPr>
              <w:pStyle w:val="11"/>
            </w:pPr>
            <w:r>
              <w:t>31.86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31.86</w:t>
            </w:r>
          </w:p>
        </w:tc>
        <w:tc>
          <w:tcPr>
            <w:tcW w:w="2551" w:type="dxa"/>
            <w:vAlign w:val="center"/>
          </w:tcPr>
          <w:p>
            <w:pPr>
              <w:pStyle w:val="11"/>
            </w:pPr>
            <w:r>
              <w:t>31.86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31.86</w:t>
            </w:r>
          </w:p>
        </w:tc>
        <w:tc>
          <w:tcPr>
            <w:tcW w:w="2551" w:type="dxa"/>
            <w:vAlign w:val="center"/>
          </w:tcPr>
          <w:p>
            <w:pPr>
              <w:pStyle w:val="11"/>
            </w:pPr>
            <w:r>
              <w:t>31.86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450001保定市徐水区医疗保障局本级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443.98</w:t>
            </w:r>
          </w:p>
        </w:tc>
        <w:tc>
          <w:tcPr>
            <w:tcW w:w="2551" w:type="dxa"/>
            <w:vAlign w:val="center"/>
          </w:tcPr>
          <w:p>
            <w:pPr>
              <w:pStyle w:val="15"/>
            </w:pPr>
            <w:r>
              <w:t>415.51</w:t>
            </w:r>
          </w:p>
        </w:tc>
        <w:tc>
          <w:tcPr>
            <w:tcW w:w="2551" w:type="dxa"/>
            <w:vAlign w:val="center"/>
          </w:tcPr>
          <w:p>
            <w:pPr>
              <w:pStyle w:val="15"/>
            </w:pPr>
            <w:r>
              <w:t>28.47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405.56</w:t>
            </w:r>
          </w:p>
        </w:tc>
        <w:tc>
          <w:tcPr>
            <w:tcW w:w="2551" w:type="dxa"/>
            <w:vAlign w:val="center"/>
          </w:tcPr>
          <w:p>
            <w:pPr>
              <w:pStyle w:val="11"/>
            </w:pPr>
            <w:r>
              <w:t>405.56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137.50</w:t>
            </w:r>
          </w:p>
        </w:tc>
        <w:tc>
          <w:tcPr>
            <w:tcW w:w="2551" w:type="dxa"/>
            <w:vAlign w:val="center"/>
          </w:tcPr>
          <w:p>
            <w:pPr>
              <w:pStyle w:val="11"/>
            </w:pPr>
            <w:r>
              <w:t>137.50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46.77</w:t>
            </w:r>
          </w:p>
        </w:tc>
        <w:tc>
          <w:tcPr>
            <w:tcW w:w="2551" w:type="dxa"/>
            <w:vAlign w:val="center"/>
          </w:tcPr>
          <w:p>
            <w:pPr>
              <w:pStyle w:val="11"/>
            </w:pPr>
            <w:r>
              <w:t>46.77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25.33</w:t>
            </w:r>
          </w:p>
        </w:tc>
        <w:tc>
          <w:tcPr>
            <w:tcW w:w="2551" w:type="dxa"/>
            <w:vAlign w:val="center"/>
          </w:tcPr>
          <w:p>
            <w:pPr>
              <w:pStyle w:val="11"/>
            </w:pPr>
            <w:r>
              <w:t>25.33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109.55</w:t>
            </w:r>
          </w:p>
        </w:tc>
        <w:tc>
          <w:tcPr>
            <w:tcW w:w="2551" w:type="dxa"/>
            <w:vAlign w:val="center"/>
          </w:tcPr>
          <w:p>
            <w:pPr>
              <w:pStyle w:val="11"/>
            </w:pPr>
            <w:r>
              <w:t>109.55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38.79</w:t>
            </w:r>
          </w:p>
        </w:tc>
        <w:tc>
          <w:tcPr>
            <w:tcW w:w="2551" w:type="dxa"/>
            <w:vAlign w:val="center"/>
          </w:tcPr>
          <w:p>
            <w:pPr>
              <w:pStyle w:val="11"/>
            </w:pPr>
            <w:r>
              <w:t>38.79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0.71</w:t>
            </w:r>
          </w:p>
        </w:tc>
        <w:tc>
          <w:tcPr>
            <w:tcW w:w="2551" w:type="dxa"/>
            <w:vAlign w:val="center"/>
          </w:tcPr>
          <w:p>
            <w:pPr>
              <w:pStyle w:val="11"/>
            </w:pPr>
            <w:r>
              <w:t>0.71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13.17</w:t>
            </w:r>
          </w:p>
        </w:tc>
        <w:tc>
          <w:tcPr>
            <w:tcW w:w="2551" w:type="dxa"/>
            <w:vAlign w:val="center"/>
          </w:tcPr>
          <w:p>
            <w:pPr>
              <w:pStyle w:val="11"/>
            </w:pPr>
            <w:r>
              <w:t>13.17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1.87</w:t>
            </w:r>
          </w:p>
        </w:tc>
        <w:tc>
          <w:tcPr>
            <w:tcW w:w="2551" w:type="dxa"/>
            <w:vAlign w:val="center"/>
          </w:tcPr>
          <w:p>
            <w:pPr>
              <w:pStyle w:val="11"/>
            </w:pPr>
            <w:r>
              <w:t>1.87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31.86</w:t>
            </w:r>
          </w:p>
        </w:tc>
        <w:tc>
          <w:tcPr>
            <w:tcW w:w="2551" w:type="dxa"/>
            <w:vAlign w:val="center"/>
          </w:tcPr>
          <w:p>
            <w:pPr>
              <w:pStyle w:val="11"/>
            </w:pPr>
            <w:r>
              <w:t>31.86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28.47</w:t>
            </w:r>
          </w:p>
        </w:tc>
        <w:tc>
          <w:tcPr>
            <w:tcW w:w="2551" w:type="dxa"/>
            <w:vAlign w:val="center"/>
          </w:tcPr>
          <w:p>
            <w:pPr>
              <w:pStyle w:val="11"/>
            </w:pPr>
          </w:p>
        </w:tc>
        <w:tc>
          <w:tcPr>
            <w:tcW w:w="2551" w:type="dxa"/>
            <w:vAlign w:val="center"/>
          </w:tcPr>
          <w:p>
            <w:pPr>
              <w:pStyle w:val="11"/>
            </w:pPr>
            <w:r>
              <w:t>28.47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8.42</w:t>
            </w:r>
          </w:p>
        </w:tc>
        <w:tc>
          <w:tcPr>
            <w:tcW w:w="2551" w:type="dxa"/>
            <w:vAlign w:val="center"/>
          </w:tcPr>
          <w:p>
            <w:pPr>
              <w:pStyle w:val="11"/>
            </w:pPr>
          </w:p>
        </w:tc>
        <w:tc>
          <w:tcPr>
            <w:tcW w:w="2551" w:type="dxa"/>
            <w:vAlign w:val="center"/>
          </w:tcPr>
          <w:p>
            <w:pPr>
              <w:pStyle w:val="11"/>
            </w:pPr>
            <w:r>
              <w:t>8.42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3.88</w:t>
            </w:r>
          </w:p>
        </w:tc>
        <w:tc>
          <w:tcPr>
            <w:tcW w:w="2551" w:type="dxa"/>
            <w:vAlign w:val="center"/>
          </w:tcPr>
          <w:p>
            <w:pPr>
              <w:pStyle w:val="11"/>
            </w:pPr>
          </w:p>
        </w:tc>
        <w:tc>
          <w:tcPr>
            <w:tcW w:w="2551" w:type="dxa"/>
            <w:vAlign w:val="center"/>
          </w:tcPr>
          <w:p>
            <w:pPr>
              <w:pStyle w:val="11"/>
            </w:pPr>
            <w:r>
              <w:t>3.88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2.76</w:t>
            </w:r>
          </w:p>
        </w:tc>
        <w:tc>
          <w:tcPr>
            <w:tcW w:w="2551" w:type="dxa"/>
            <w:vAlign w:val="center"/>
          </w:tcPr>
          <w:p>
            <w:pPr>
              <w:pStyle w:val="11"/>
            </w:pPr>
          </w:p>
        </w:tc>
        <w:tc>
          <w:tcPr>
            <w:tcW w:w="2551" w:type="dxa"/>
            <w:vAlign w:val="center"/>
          </w:tcPr>
          <w:p>
            <w:pPr>
              <w:pStyle w:val="11"/>
            </w:pPr>
            <w:r>
              <w:t>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2.43</w:t>
            </w:r>
          </w:p>
        </w:tc>
        <w:tc>
          <w:tcPr>
            <w:tcW w:w="2551" w:type="dxa"/>
            <w:vAlign w:val="center"/>
          </w:tcPr>
          <w:p>
            <w:pPr>
              <w:pStyle w:val="11"/>
            </w:pPr>
          </w:p>
        </w:tc>
        <w:tc>
          <w:tcPr>
            <w:tcW w:w="2551" w:type="dxa"/>
            <w:vAlign w:val="center"/>
          </w:tcPr>
          <w:p>
            <w:pPr>
              <w:pStyle w:val="11"/>
            </w:pPr>
            <w:r>
              <w:t>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1.68</w:t>
            </w:r>
          </w:p>
        </w:tc>
        <w:tc>
          <w:tcPr>
            <w:tcW w:w="2551" w:type="dxa"/>
            <w:vAlign w:val="center"/>
          </w:tcPr>
          <w:p>
            <w:pPr>
              <w:pStyle w:val="11"/>
            </w:pPr>
          </w:p>
        </w:tc>
        <w:tc>
          <w:tcPr>
            <w:tcW w:w="2551" w:type="dxa"/>
            <w:vAlign w:val="center"/>
          </w:tcPr>
          <w:p>
            <w:pPr>
              <w:pStyle w:val="11"/>
            </w:pPr>
            <w:r>
              <w:t>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9.95</w:t>
            </w:r>
          </w:p>
        </w:tc>
        <w:tc>
          <w:tcPr>
            <w:tcW w:w="2551" w:type="dxa"/>
            <w:vAlign w:val="center"/>
          </w:tcPr>
          <w:p>
            <w:pPr>
              <w:pStyle w:val="11"/>
            </w:pPr>
            <w:r>
              <w:t>9.95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9.95</w:t>
            </w:r>
          </w:p>
        </w:tc>
        <w:tc>
          <w:tcPr>
            <w:tcW w:w="2551" w:type="dxa"/>
            <w:vAlign w:val="center"/>
          </w:tcPr>
          <w:p>
            <w:pPr>
              <w:pStyle w:val="11"/>
            </w:pPr>
            <w:r>
              <w:t>9.95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450001保定市徐水区医疗保障局本级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450001保定市徐水区医疗保障局本级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450001保定市徐水区医疗保障局本级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保定市徐水区医疗保障局本级2025年单位预算信息公开情况说明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按照《中华人民共和国预算法》、《地方预决算公开操作规程》和《关于进一步推进预算公开工作的实施意见》规定，现将保定市徐水区医疗保障局本级2025年单位预算公开如下：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根据《保定市徐水区医疗保障局职能配置、内设机构和人员编制规定》，保定市徐水区医疗保障局的主要职责是：</w:t>
      </w:r>
    </w:p>
    <w:p>
      <w:pPr>
        <w:pStyle w:val="17"/>
      </w:pPr>
      <w:r>
        <w:t>（一）落实城镇职工和城乡居民医疗保险、生育保险、医疗救助等医疗保障制度、地方性法规、政策、规划和标准。</w:t>
      </w:r>
    </w:p>
    <w:p>
      <w:pPr>
        <w:pStyle w:val="17"/>
      </w:pPr>
      <w:r>
        <w:t>（二）落实完善医疗保障基金监督管理办法，建立健全医疗保障基金安全防控机制，组织建设只能监控平台，推进医疗保障基金支付方式改革，并组织实施。</w:t>
      </w:r>
    </w:p>
    <w:p>
      <w:pPr>
        <w:pStyle w:val="17"/>
      </w:pPr>
      <w:r>
        <w:t>（三）落实城镇职工、城乡居民参保筹资和保障待遇政策，统筹城乡医疗保障政策标准，执行与筹资水平相适应的待遇调整机制；组织实施长期护理保险制度方案及政策标准。</w:t>
      </w:r>
    </w:p>
    <w:p>
      <w:pPr>
        <w:pStyle w:val="17"/>
      </w:pPr>
      <w:r>
        <w:t>（四）落实城乡统一的药品、医用耗材、医疗服务项目、医疗服务设施等医保目录和支付标准，建立动态调整机制，贯彻落实医保目录准入谈判规则并组织实施。</w:t>
      </w:r>
    </w:p>
    <w:p>
      <w:pPr>
        <w:pStyle w:val="17"/>
      </w:pPr>
      <w:r>
        <w:t>（五）落实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17"/>
      </w:pPr>
      <w:r>
        <w:t>（六）落实药品、医用耗材的招标采购政策并监督实施，指导药品、医用耗材招标采购平台建设。</w:t>
      </w:r>
    </w:p>
    <w:p>
      <w:pPr>
        <w:pStyle w:val="17"/>
      </w:pPr>
      <w:r>
        <w:t>（七）落实定点医药机构协议和支付管理办法，并组织实施；建立健全医疗保障信用评价体系和信息披露制度，监督管理定点医药机构的医疗服务行为、医疗费用和医药价格，依法查处医疗保障领域违法违规行为。</w:t>
      </w:r>
    </w:p>
    <w:p>
      <w:pPr>
        <w:pStyle w:val="17"/>
      </w:pPr>
      <w:r>
        <w:t>（八）负责医疗保障经办管理、公共服务体系和信息化建设；组织实施异地就医管理和费用结算政策；落实医疗保障关系转移接续制度。</w:t>
      </w:r>
    </w:p>
    <w:p>
      <w:pPr>
        <w:pStyle w:val="17"/>
      </w:pPr>
      <w:r>
        <w:t>（九）完成区委、区政府交办的其他任务。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保定市徐水区医疗保障局本级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575.18万元，其中：一般公共预算收入575.18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保定市徐水区医疗保障局本级年度单位预算中支出预算的总体情况。2025年支出预算575.18万元，其中基本支出443.98万元，包括人员经费415.51万元和日常公用经费28.47万元；项目支出131.20万元，主要为本级支出。</w:t>
      </w:r>
    </w:p>
    <w:p>
      <w:pPr>
        <w:pStyle w:val="18"/>
      </w:pPr>
      <w:r>
        <w:t>3、比上年增减情况</w:t>
      </w:r>
    </w:p>
    <w:p>
      <w:pPr>
        <w:pStyle w:val="18"/>
      </w:pPr>
      <w:r>
        <w:t>2025年预算收支安排575.18万元，较2024年预算增加23.06万元，其中：基本支出增加26.55万元，主要为2025年工资普调。项目支出减少3.49万元，主要为提前下达2025年中央财政医疗服务能力提升补助资金预算金额减少。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2025年，我单位机关运行经费共计安排28.47万元，主要用于日常维修、办公用房水电费、办公用房取暖费、办公用房物业管理费等日常运行支出。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2.43万元，其中因公出国（境）费0.00万元；公务用车购置及运维费2.43万元（其中：公务用车购置费为0.00万元，公务用车运维费2.43万元)；公务接待费0.00万元。与2024年相比增加0.00万元，增减变化的主要原因是我单位今年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1、劳务派遣人员经费绩效目标表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13062525P00023210027Y</w:t>
            </w:r>
          </w:p>
        </w:tc>
        <w:tc>
          <w:tcPr>
            <w:tcW w:w="2835" w:type="dxa"/>
            <w:vAlign w:val="center"/>
          </w:tcPr>
          <w:p>
            <w:pPr>
              <w:pStyle w:val="10"/>
            </w:pPr>
            <w:r>
              <w:t>项目名称</w:t>
            </w:r>
          </w:p>
        </w:tc>
        <w:tc>
          <w:tcPr>
            <w:tcW w:w="6095" w:type="dxa"/>
            <w:gridSpan w:val="3"/>
            <w:vAlign w:val="center"/>
          </w:tcPr>
          <w:p>
            <w:pPr>
              <w:pStyle w:val="12"/>
            </w:pPr>
            <w:r>
              <w:t>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25.35</w:t>
            </w:r>
          </w:p>
        </w:tc>
        <w:tc>
          <w:tcPr>
            <w:tcW w:w="2835" w:type="dxa"/>
            <w:vAlign w:val="center"/>
          </w:tcPr>
          <w:p>
            <w:pPr>
              <w:pStyle w:val="10"/>
            </w:pPr>
            <w:r>
              <w:t>其中：财政    资金</w:t>
            </w:r>
          </w:p>
        </w:tc>
        <w:tc>
          <w:tcPr>
            <w:tcW w:w="2551" w:type="dxa"/>
            <w:vAlign w:val="center"/>
          </w:tcPr>
          <w:p>
            <w:pPr>
              <w:pStyle w:val="12"/>
            </w:pPr>
            <w:r>
              <w:t>25.35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妥善解决我局经办工作人员严重不足问题，通过第十七次政府常务会议研究决定，通过政府购买服务的方式，派遣劳务人员解决工作人员问题，根据关于招聘劳务派遣工作人员的的请示，我单位公开招聘劳务派遣人员5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30%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1.通过招聘劳务派遣人员5人，协助完成各项工作任务，从而提升工作效率。</w:t>
            </w:r>
            <w:r>
              <w:tab/>
            </w:r>
            <w:r>
              <w:tab/>
            </w:r>
            <w:r>
              <w:tab/>
            </w:r>
            <w:r>
              <w:tab/>
            </w:r>
            <w:r>
              <w:tab/>
            </w:r>
            <w:r>
              <w:tab/>
            </w:r>
          </w:p>
          <w:p>
            <w:pPr>
              <w:pStyle w:val="12"/>
            </w:pPr>
          </w:p>
          <w:p>
            <w:pPr>
              <w:pStyle w:val="12"/>
            </w:pPr>
            <w:r>
              <w:t>2.保障资金及时足额支出，2025年12月底支出完毕。</w:t>
            </w:r>
            <w:r>
              <w:tab/>
            </w:r>
            <w:r>
              <w:tab/>
            </w:r>
            <w:r>
              <w:tab/>
            </w:r>
            <w:r>
              <w:tab/>
            </w:r>
            <w:r>
              <w:tab/>
            </w:r>
            <w:r>
              <w:tab/>
            </w:r>
          </w:p>
          <w:p>
            <w:pPr>
              <w:pStyle w:val="12"/>
            </w:pPr>
          </w:p>
          <w:p>
            <w:pPr>
              <w:pStyle w:val="12"/>
            </w:pPr>
            <w:r>
              <w:t>3.确保劳务派遣人员的数量符合项目需求，同时保证工资支出按时、足额发放，以维持团队稳定性和工作积极性。</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劳务派遣人数（人）</w:t>
            </w:r>
          </w:p>
        </w:tc>
        <w:tc>
          <w:tcPr>
            <w:tcW w:w="5386" w:type="dxa"/>
            <w:vAlign w:val="center"/>
          </w:tcPr>
          <w:p>
            <w:pPr>
              <w:pStyle w:val="12"/>
            </w:pPr>
            <w:r>
              <w:t>反映劳务派遣人数情况</w:t>
            </w:r>
          </w:p>
        </w:tc>
        <w:tc>
          <w:tcPr>
            <w:tcW w:w="2268" w:type="dxa"/>
            <w:vAlign w:val="center"/>
          </w:tcPr>
          <w:p>
            <w:pPr>
              <w:pStyle w:val="12"/>
            </w:pPr>
            <w:r>
              <w:t>5人</w:t>
            </w:r>
          </w:p>
        </w:tc>
        <w:tc>
          <w:tcPr>
            <w:tcW w:w="1276" w:type="dxa"/>
            <w:vAlign w:val="center"/>
          </w:tcPr>
          <w:p>
            <w:pPr>
              <w:pStyle w:val="12"/>
            </w:pPr>
            <w:r>
              <w:t>保定市徐水区医疗保障局关于拨付劳务派遣工作人员等所需费用的请示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人员经费拨付准确率</w:t>
            </w:r>
          </w:p>
        </w:tc>
        <w:tc>
          <w:tcPr>
            <w:tcW w:w="5386" w:type="dxa"/>
            <w:vAlign w:val="center"/>
          </w:tcPr>
          <w:p>
            <w:pPr>
              <w:pStyle w:val="12"/>
            </w:pPr>
            <w:r>
              <w:t>反映人员经费拨付准确性情况</w:t>
            </w:r>
          </w:p>
        </w:tc>
        <w:tc>
          <w:tcPr>
            <w:tcW w:w="2268" w:type="dxa"/>
            <w:vAlign w:val="center"/>
          </w:tcPr>
          <w:p>
            <w:pPr>
              <w:pStyle w:val="12"/>
            </w:pPr>
            <w:r>
              <w:t>≥90%</w:t>
            </w:r>
          </w:p>
        </w:tc>
        <w:tc>
          <w:tcPr>
            <w:tcW w:w="1276" w:type="dxa"/>
            <w:vAlign w:val="center"/>
          </w:tcPr>
          <w:p>
            <w:pPr>
              <w:pStyle w:val="12"/>
            </w:pPr>
            <w:r>
              <w:t>劳务派遣人员经费实施计划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资金拨付及时性</w:t>
            </w:r>
          </w:p>
        </w:tc>
        <w:tc>
          <w:tcPr>
            <w:tcW w:w="5386" w:type="dxa"/>
            <w:vAlign w:val="center"/>
          </w:tcPr>
          <w:p>
            <w:pPr>
              <w:pStyle w:val="12"/>
            </w:pPr>
            <w:r>
              <w:t>反映资金拨付及时情况</w:t>
            </w:r>
          </w:p>
        </w:tc>
        <w:tc>
          <w:tcPr>
            <w:tcW w:w="2268" w:type="dxa"/>
            <w:vAlign w:val="center"/>
          </w:tcPr>
          <w:p>
            <w:pPr>
              <w:pStyle w:val="12"/>
            </w:pPr>
            <w:r>
              <w:t>≥90%</w:t>
            </w:r>
          </w:p>
        </w:tc>
        <w:tc>
          <w:tcPr>
            <w:tcW w:w="1276" w:type="dxa"/>
            <w:vAlign w:val="center"/>
          </w:tcPr>
          <w:p>
            <w:pPr>
              <w:pStyle w:val="12"/>
            </w:pPr>
            <w:r>
              <w:t>劳务派遣合同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基本工资及绩效金额</w:t>
            </w:r>
          </w:p>
        </w:tc>
        <w:tc>
          <w:tcPr>
            <w:tcW w:w="5386" w:type="dxa"/>
            <w:vAlign w:val="center"/>
          </w:tcPr>
          <w:p>
            <w:pPr>
              <w:pStyle w:val="12"/>
            </w:pPr>
            <w:r>
              <w:t>反映劳务派遣人员全年基本工资及绩效发放金额</w:t>
            </w:r>
          </w:p>
        </w:tc>
        <w:tc>
          <w:tcPr>
            <w:tcW w:w="2268" w:type="dxa"/>
            <w:vAlign w:val="center"/>
          </w:tcPr>
          <w:p>
            <w:pPr>
              <w:pStyle w:val="12"/>
            </w:pPr>
            <w:r>
              <w:t>18万元</w:t>
            </w:r>
          </w:p>
        </w:tc>
        <w:tc>
          <w:tcPr>
            <w:tcW w:w="1276" w:type="dxa"/>
            <w:vAlign w:val="center"/>
          </w:tcPr>
          <w:p>
            <w:pPr>
              <w:pStyle w:val="12"/>
            </w:pPr>
            <w:r>
              <w:t>劳务派遣人员经费实施计划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劳务派遣人员保险费</w:t>
            </w:r>
          </w:p>
        </w:tc>
        <w:tc>
          <w:tcPr>
            <w:tcW w:w="5386" w:type="dxa"/>
            <w:vAlign w:val="center"/>
          </w:tcPr>
          <w:p>
            <w:pPr>
              <w:pStyle w:val="12"/>
            </w:pPr>
            <w:r>
              <w:t>反映劳务派遣人员全年社会保险缴费金额</w:t>
            </w:r>
          </w:p>
        </w:tc>
        <w:tc>
          <w:tcPr>
            <w:tcW w:w="2268" w:type="dxa"/>
            <w:vAlign w:val="center"/>
          </w:tcPr>
          <w:p>
            <w:pPr>
              <w:pStyle w:val="12"/>
            </w:pPr>
            <w:r>
              <w:t>6.74万元</w:t>
            </w:r>
          </w:p>
        </w:tc>
        <w:tc>
          <w:tcPr>
            <w:tcW w:w="1276" w:type="dxa"/>
            <w:vAlign w:val="center"/>
          </w:tcPr>
          <w:p>
            <w:pPr>
              <w:pStyle w:val="12"/>
            </w:pPr>
            <w:r>
              <w:t>劳务派遣人员经费实施计划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劳务派遣人员保险费</w:t>
            </w:r>
          </w:p>
        </w:tc>
        <w:tc>
          <w:tcPr>
            <w:tcW w:w="5386" w:type="dxa"/>
            <w:vAlign w:val="center"/>
          </w:tcPr>
          <w:p>
            <w:pPr>
              <w:pStyle w:val="12"/>
            </w:pPr>
            <w:r>
              <w:t>反映支付劳务派遣人员全年管理费情况</w:t>
            </w:r>
          </w:p>
        </w:tc>
        <w:tc>
          <w:tcPr>
            <w:tcW w:w="2268" w:type="dxa"/>
            <w:vAlign w:val="center"/>
          </w:tcPr>
          <w:p>
            <w:pPr>
              <w:pStyle w:val="12"/>
            </w:pPr>
            <w:r>
              <w:t>0.6万元</w:t>
            </w:r>
          </w:p>
        </w:tc>
        <w:tc>
          <w:tcPr>
            <w:tcW w:w="1276" w:type="dxa"/>
            <w:vAlign w:val="center"/>
          </w:tcPr>
          <w:p>
            <w:pPr>
              <w:pStyle w:val="12"/>
            </w:pPr>
            <w:r>
              <w:t>劳务派遣人员经费实施计划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派遣人员上岗后，服务质量提升度</w:t>
            </w:r>
          </w:p>
        </w:tc>
        <w:tc>
          <w:tcPr>
            <w:tcW w:w="5386" w:type="dxa"/>
            <w:vAlign w:val="center"/>
          </w:tcPr>
          <w:p>
            <w:pPr>
              <w:pStyle w:val="12"/>
            </w:pPr>
            <w:r>
              <w:t>派遣人员上岗后，服务质量提高情况</w:t>
            </w:r>
          </w:p>
        </w:tc>
        <w:tc>
          <w:tcPr>
            <w:tcW w:w="2268" w:type="dxa"/>
            <w:vAlign w:val="center"/>
          </w:tcPr>
          <w:p>
            <w:pPr>
              <w:pStyle w:val="12"/>
            </w:pPr>
            <w:r>
              <w:t>≥90%</w:t>
            </w:r>
          </w:p>
        </w:tc>
        <w:tc>
          <w:tcPr>
            <w:tcW w:w="1276" w:type="dxa"/>
            <w:vAlign w:val="center"/>
          </w:tcPr>
          <w:p>
            <w:pPr>
              <w:pStyle w:val="12"/>
            </w:pPr>
            <w:r>
              <w:t>劳务派遣人员经费实施计划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机关对劳务派遣人员满意率</w:t>
            </w:r>
          </w:p>
        </w:tc>
        <w:tc>
          <w:tcPr>
            <w:tcW w:w="5386" w:type="dxa"/>
            <w:vAlign w:val="center"/>
          </w:tcPr>
          <w:p>
            <w:pPr>
              <w:pStyle w:val="12"/>
            </w:pPr>
            <w:r>
              <w:t>反映机关对劳务派遣人员满意情况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2、离休药费统筹区级配套资金绩效目标表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13062525P000134100015</w:t>
            </w:r>
          </w:p>
        </w:tc>
        <w:tc>
          <w:tcPr>
            <w:tcW w:w="2835" w:type="dxa"/>
            <w:vAlign w:val="center"/>
          </w:tcPr>
          <w:p>
            <w:pPr>
              <w:pStyle w:val="10"/>
            </w:pPr>
            <w:r>
              <w:t>项目名称</w:t>
            </w:r>
          </w:p>
        </w:tc>
        <w:tc>
          <w:tcPr>
            <w:tcW w:w="6095" w:type="dxa"/>
            <w:gridSpan w:val="3"/>
            <w:vAlign w:val="center"/>
          </w:tcPr>
          <w:p>
            <w:pPr>
              <w:pStyle w:val="12"/>
            </w:pPr>
            <w:r>
              <w:t>离休药费统筹区级配套资金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为徐水区离休老干部提供医疗费用报销及药费包干。涉及人群包括：徐水区17位离休老干部。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30%</w:t>
            </w:r>
          </w:p>
        </w:tc>
        <w:tc>
          <w:tcPr>
            <w:tcW w:w="2551" w:type="dxa"/>
            <w:vAlign w:val="center"/>
          </w:tcPr>
          <w:p>
            <w:pPr>
              <w:pStyle w:val="13"/>
            </w:pPr>
            <w:r>
              <w:t>40%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1.确保17位离休老干部享受到住院报销及包干药费的国家政策。</w:t>
            </w:r>
            <w:r>
              <w:tab/>
            </w:r>
            <w:r>
              <w:tab/>
            </w:r>
            <w:r>
              <w:tab/>
            </w:r>
            <w:r>
              <w:tab/>
            </w:r>
            <w:r>
              <w:tab/>
            </w:r>
          </w:p>
          <w:p>
            <w:pPr>
              <w:pStyle w:val="12"/>
            </w:pPr>
          </w:p>
          <w:p>
            <w:pPr>
              <w:pStyle w:val="12"/>
            </w:pPr>
            <w:r>
              <w:t>2.据实报销17名离休老干部药费，减缓我区老干部住院负担。</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保障离休老干部人数</w:t>
            </w:r>
          </w:p>
        </w:tc>
        <w:tc>
          <w:tcPr>
            <w:tcW w:w="5386" w:type="dxa"/>
            <w:vAlign w:val="center"/>
          </w:tcPr>
          <w:p>
            <w:pPr>
              <w:pStyle w:val="12"/>
            </w:pPr>
            <w:r>
              <w:t>反映离休老干部享受待遇人数情况</w:t>
            </w:r>
          </w:p>
        </w:tc>
        <w:tc>
          <w:tcPr>
            <w:tcW w:w="2268" w:type="dxa"/>
            <w:vAlign w:val="center"/>
          </w:tcPr>
          <w:p>
            <w:pPr>
              <w:pStyle w:val="12"/>
            </w:pPr>
            <w:r>
              <w:t>≤17人</w:t>
            </w:r>
          </w:p>
        </w:tc>
        <w:tc>
          <w:tcPr>
            <w:tcW w:w="1276" w:type="dxa"/>
            <w:vAlign w:val="center"/>
          </w:tcPr>
          <w:p>
            <w:pPr>
              <w:pStyle w:val="12"/>
            </w:pPr>
            <w:r>
              <w:t>关于提高离休干部医药费预算标准的请示关于确定2019年企事业单位离休干部医药费统筹标准有关问题的请示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应保尽保率</w:t>
            </w:r>
          </w:p>
        </w:tc>
        <w:tc>
          <w:tcPr>
            <w:tcW w:w="5386" w:type="dxa"/>
            <w:vAlign w:val="center"/>
          </w:tcPr>
          <w:p>
            <w:pPr>
              <w:pStyle w:val="12"/>
            </w:pPr>
            <w:r>
              <w:t>反映资金应保尽保情况</w:t>
            </w:r>
          </w:p>
        </w:tc>
        <w:tc>
          <w:tcPr>
            <w:tcW w:w="2268" w:type="dxa"/>
            <w:vAlign w:val="center"/>
          </w:tcPr>
          <w:p>
            <w:pPr>
              <w:pStyle w:val="12"/>
            </w:pPr>
            <w:r>
              <w:t>100%</w:t>
            </w:r>
          </w:p>
        </w:tc>
        <w:tc>
          <w:tcPr>
            <w:tcW w:w="1276" w:type="dxa"/>
            <w:vAlign w:val="center"/>
          </w:tcPr>
          <w:p>
            <w:pPr>
              <w:pStyle w:val="12"/>
            </w:pPr>
            <w:r>
              <w:t>关于提高离休干部医药费预算标准的请示关于确定2019年企事业单位离休干部医药费统筹标准有关问题的请示</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支出及时率</w:t>
            </w:r>
          </w:p>
        </w:tc>
        <w:tc>
          <w:tcPr>
            <w:tcW w:w="5386" w:type="dxa"/>
            <w:vAlign w:val="center"/>
          </w:tcPr>
          <w:p>
            <w:pPr>
              <w:pStyle w:val="12"/>
            </w:pPr>
            <w:r>
              <w:t>反映资金支出及时情况</w:t>
            </w:r>
          </w:p>
        </w:tc>
        <w:tc>
          <w:tcPr>
            <w:tcW w:w="2268" w:type="dxa"/>
            <w:vAlign w:val="center"/>
          </w:tcPr>
          <w:p>
            <w:pPr>
              <w:pStyle w:val="12"/>
            </w:pPr>
            <w:r>
              <w:t>100%</w:t>
            </w:r>
          </w:p>
        </w:tc>
        <w:tc>
          <w:tcPr>
            <w:tcW w:w="1276" w:type="dxa"/>
            <w:vAlign w:val="center"/>
          </w:tcPr>
          <w:p>
            <w:pPr>
              <w:pStyle w:val="12"/>
            </w:pPr>
            <w:r>
              <w:t>关于提高离休干部医药费预算标准的请示关于确定2019年企事业单位离休干部医药费统筹标准有关问题的请示</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反映项目支出金额不高于预算数</w:t>
            </w:r>
          </w:p>
        </w:tc>
        <w:tc>
          <w:tcPr>
            <w:tcW w:w="2268" w:type="dxa"/>
            <w:vAlign w:val="center"/>
          </w:tcPr>
          <w:p>
            <w:pPr>
              <w:pStyle w:val="12"/>
            </w:pPr>
            <w:r>
              <w:t>≤7万元</w:t>
            </w:r>
          </w:p>
        </w:tc>
        <w:tc>
          <w:tcPr>
            <w:tcW w:w="1276" w:type="dxa"/>
            <w:vAlign w:val="center"/>
          </w:tcPr>
          <w:p>
            <w:pPr>
              <w:pStyle w:val="12"/>
            </w:pPr>
            <w:r>
              <w:t>关于提高离休干部医药费预算标准的请示关于确定2019年企事业单位离休干部医药费统筹标准有关问题的请示</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提高离休老干部认可度</w:t>
            </w:r>
          </w:p>
        </w:tc>
        <w:tc>
          <w:tcPr>
            <w:tcW w:w="5386" w:type="dxa"/>
            <w:vAlign w:val="center"/>
          </w:tcPr>
          <w:p>
            <w:pPr>
              <w:pStyle w:val="12"/>
            </w:pPr>
            <w:r>
              <w:t>反映离退休老干部对医保政策待遇的认可度</w:t>
            </w:r>
          </w:p>
        </w:tc>
        <w:tc>
          <w:tcPr>
            <w:tcW w:w="2268" w:type="dxa"/>
            <w:vAlign w:val="center"/>
          </w:tcPr>
          <w:p>
            <w:pPr>
              <w:pStyle w:val="12"/>
            </w:pPr>
            <w:r>
              <w:t>≥85%</w:t>
            </w:r>
          </w:p>
        </w:tc>
        <w:tc>
          <w:tcPr>
            <w:tcW w:w="1276" w:type="dxa"/>
            <w:vAlign w:val="center"/>
          </w:tcPr>
          <w:p>
            <w:pPr>
              <w:pStyle w:val="12"/>
            </w:pPr>
            <w:r>
              <w:t>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5386" w:type="dxa"/>
            <w:vAlign w:val="center"/>
          </w:tcPr>
          <w:p>
            <w:pPr>
              <w:pStyle w:val="12"/>
            </w:pPr>
            <w:r>
              <w:t>反映享受待遇的离休老干部满意度</w:t>
            </w:r>
          </w:p>
        </w:tc>
        <w:tc>
          <w:tcPr>
            <w:tcW w:w="2268" w:type="dxa"/>
            <w:vAlign w:val="center"/>
          </w:tcPr>
          <w:p>
            <w:pPr>
              <w:pStyle w:val="12"/>
            </w:pPr>
            <w:r>
              <w:t>≥85%</w:t>
            </w:r>
          </w:p>
        </w:tc>
        <w:tc>
          <w:tcPr>
            <w:tcW w:w="1276" w:type="dxa"/>
            <w:vAlign w:val="center"/>
          </w:tcPr>
          <w:p>
            <w:pPr>
              <w:pStyle w:val="12"/>
            </w:pPr>
            <w:r>
              <w:t>调查问卷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3、提前下达2025年中央财政医疗服务与保障能力提升补助资金绩效目标表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13062525P000137100016</w:t>
            </w:r>
          </w:p>
        </w:tc>
        <w:tc>
          <w:tcPr>
            <w:tcW w:w="2835" w:type="dxa"/>
            <w:vAlign w:val="center"/>
          </w:tcPr>
          <w:p>
            <w:pPr>
              <w:pStyle w:val="10"/>
            </w:pPr>
            <w:r>
              <w:t>项目名称</w:t>
            </w:r>
          </w:p>
        </w:tc>
        <w:tc>
          <w:tcPr>
            <w:tcW w:w="6095" w:type="dxa"/>
            <w:gridSpan w:val="3"/>
            <w:vAlign w:val="center"/>
          </w:tcPr>
          <w:p>
            <w:pPr>
              <w:pStyle w:val="12"/>
            </w:pPr>
            <w:r>
              <w:t>提前下达2025年中央财政医疗服务与保障能力提升补助资金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34.00</w:t>
            </w:r>
          </w:p>
        </w:tc>
        <w:tc>
          <w:tcPr>
            <w:tcW w:w="2835" w:type="dxa"/>
            <w:vAlign w:val="center"/>
          </w:tcPr>
          <w:p>
            <w:pPr>
              <w:pStyle w:val="10"/>
            </w:pPr>
            <w:r>
              <w:t>其中：财政    资金</w:t>
            </w:r>
          </w:p>
        </w:tc>
        <w:tc>
          <w:tcPr>
            <w:tcW w:w="2551" w:type="dxa"/>
            <w:vAlign w:val="center"/>
          </w:tcPr>
          <w:p>
            <w:pPr>
              <w:pStyle w:val="12"/>
            </w:pPr>
            <w:r>
              <w:t>34.00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ab/>
            </w:r>
            <w:r>
              <w:tab/>
            </w:r>
            <w:r>
              <w:tab/>
            </w:r>
            <w:r>
              <w:tab/>
            </w:r>
            <w:r>
              <w:tab/>
            </w:r>
          </w:p>
          <w:p>
            <w:pPr>
              <w:pStyle w:val="12"/>
            </w:pPr>
            <w:r>
              <w:t>提前下达2025年中央财政医疗服务与保障能力提升补助资金用于医保信息化、基金监管、医保支付方式改革等方面工作。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1.国家统一医保信息平台正常运行</w:t>
            </w:r>
            <w:r>
              <w:tab/>
            </w:r>
            <w:r>
              <w:tab/>
            </w:r>
            <w:r>
              <w:tab/>
            </w:r>
            <w:r>
              <w:tab/>
            </w:r>
            <w:r>
              <w:tab/>
            </w:r>
            <w:r>
              <w:tab/>
            </w:r>
          </w:p>
          <w:p>
            <w:pPr>
              <w:pStyle w:val="12"/>
            </w:pPr>
          </w:p>
          <w:p>
            <w:pPr>
              <w:pStyle w:val="12"/>
            </w:pPr>
            <w:r>
              <w:t>2.安装远程监控设备的个数≥60家，远程监控设备运行时间不晚于12月底，业务预算资金使用金额34万元，参保人员对医保服务的满意度85%。</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安装监控设备的药店情况</w:t>
            </w:r>
          </w:p>
        </w:tc>
        <w:tc>
          <w:tcPr>
            <w:tcW w:w="5386" w:type="dxa"/>
            <w:vAlign w:val="center"/>
          </w:tcPr>
          <w:p>
            <w:pPr>
              <w:pStyle w:val="12"/>
            </w:pPr>
            <w:r>
              <w:t>安装监控设备的药店数量</w:t>
            </w:r>
          </w:p>
        </w:tc>
        <w:tc>
          <w:tcPr>
            <w:tcW w:w="2268" w:type="dxa"/>
            <w:vAlign w:val="center"/>
          </w:tcPr>
          <w:p>
            <w:pPr>
              <w:pStyle w:val="12"/>
            </w:pPr>
            <w:r>
              <w:t>≥60家</w:t>
            </w:r>
          </w:p>
        </w:tc>
        <w:tc>
          <w:tcPr>
            <w:tcW w:w="1276" w:type="dxa"/>
            <w:vAlign w:val="center"/>
          </w:tcPr>
          <w:p>
            <w:pPr>
              <w:pStyle w:val="12"/>
            </w:pPr>
            <w:r>
              <w:t>提前下达2025年中央财政医疗服务与保障能力提升补助资金实施计划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医保信息系统正常运行率</w:t>
            </w:r>
          </w:p>
        </w:tc>
        <w:tc>
          <w:tcPr>
            <w:tcW w:w="5386" w:type="dxa"/>
            <w:vAlign w:val="center"/>
          </w:tcPr>
          <w:p>
            <w:pPr>
              <w:pStyle w:val="12"/>
            </w:pPr>
            <w:r>
              <w:t>反映医保信息的正常运行情况</w:t>
            </w:r>
          </w:p>
        </w:tc>
        <w:tc>
          <w:tcPr>
            <w:tcW w:w="2268" w:type="dxa"/>
            <w:vAlign w:val="center"/>
          </w:tcPr>
          <w:p>
            <w:pPr>
              <w:pStyle w:val="12"/>
            </w:pPr>
            <w:r>
              <w:t>≥90%</w:t>
            </w:r>
          </w:p>
        </w:tc>
        <w:tc>
          <w:tcPr>
            <w:tcW w:w="1276" w:type="dxa"/>
            <w:vAlign w:val="center"/>
          </w:tcPr>
          <w:p>
            <w:pPr>
              <w:pStyle w:val="12"/>
            </w:pPr>
            <w:r>
              <w:t>提前下达2025年中央财政医疗服务与保障能力提升补助资金实施计划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远程监控设备运行情况</w:t>
            </w:r>
          </w:p>
        </w:tc>
        <w:tc>
          <w:tcPr>
            <w:tcW w:w="5386" w:type="dxa"/>
            <w:vAlign w:val="center"/>
          </w:tcPr>
          <w:p>
            <w:pPr>
              <w:pStyle w:val="12"/>
            </w:pPr>
            <w:r>
              <w:t>远程监控设备运行时间</w:t>
            </w:r>
          </w:p>
        </w:tc>
        <w:tc>
          <w:tcPr>
            <w:tcW w:w="2268" w:type="dxa"/>
            <w:vAlign w:val="center"/>
          </w:tcPr>
          <w:p>
            <w:pPr>
              <w:pStyle w:val="12"/>
            </w:pPr>
            <w:r>
              <w:t>≤12月</w:t>
            </w:r>
          </w:p>
        </w:tc>
        <w:tc>
          <w:tcPr>
            <w:tcW w:w="1276" w:type="dxa"/>
            <w:vAlign w:val="center"/>
          </w:tcPr>
          <w:p>
            <w:pPr>
              <w:pStyle w:val="12"/>
            </w:pPr>
            <w:r>
              <w:t>提前下达2025年中央财政医疗服务与保障能力提升补助资金实施计划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安装远程监控设备</w:t>
            </w:r>
          </w:p>
        </w:tc>
        <w:tc>
          <w:tcPr>
            <w:tcW w:w="5386" w:type="dxa"/>
            <w:vAlign w:val="center"/>
          </w:tcPr>
          <w:p>
            <w:pPr>
              <w:pStyle w:val="12"/>
            </w:pPr>
            <w:r>
              <w:t>安装远程监控设备金额</w:t>
            </w:r>
          </w:p>
        </w:tc>
        <w:tc>
          <w:tcPr>
            <w:tcW w:w="2268" w:type="dxa"/>
            <w:vAlign w:val="center"/>
          </w:tcPr>
          <w:p>
            <w:pPr>
              <w:pStyle w:val="12"/>
            </w:pPr>
            <w:r>
              <w:t>≤24万元</w:t>
            </w:r>
          </w:p>
        </w:tc>
        <w:tc>
          <w:tcPr>
            <w:tcW w:w="1276" w:type="dxa"/>
            <w:vAlign w:val="center"/>
          </w:tcPr>
          <w:p>
            <w:pPr>
              <w:pStyle w:val="12"/>
            </w:pPr>
            <w:r>
              <w:t>提前下达2025年中央财政医疗服务与保障能力提升补助资金实施计划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基金监管稽核聘请第三方</w:t>
            </w:r>
          </w:p>
        </w:tc>
        <w:tc>
          <w:tcPr>
            <w:tcW w:w="5386" w:type="dxa"/>
            <w:vAlign w:val="center"/>
          </w:tcPr>
          <w:p>
            <w:pPr>
              <w:pStyle w:val="12"/>
            </w:pPr>
            <w:r>
              <w:t>基金监管稽核聘请第三方金额</w:t>
            </w:r>
          </w:p>
        </w:tc>
        <w:tc>
          <w:tcPr>
            <w:tcW w:w="2268" w:type="dxa"/>
            <w:vAlign w:val="center"/>
          </w:tcPr>
          <w:p>
            <w:pPr>
              <w:pStyle w:val="12"/>
            </w:pPr>
            <w:r>
              <w:t>≤10万元</w:t>
            </w:r>
          </w:p>
        </w:tc>
        <w:tc>
          <w:tcPr>
            <w:tcW w:w="1276" w:type="dxa"/>
            <w:vAlign w:val="center"/>
          </w:tcPr>
          <w:p>
            <w:pPr>
              <w:pStyle w:val="12"/>
            </w:pPr>
            <w:r>
              <w:t>提前下达2025年中央财政医疗服务与保障能力提升补助资金实施计划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保障基金运行安全率</w:t>
            </w:r>
          </w:p>
        </w:tc>
        <w:tc>
          <w:tcPr>
            <w:tcW w:w="5386" w:type="dxa"/>
            <w:vAlign w:val="center"/>
          </w:tcPr>
          <w:p>
            <w:pPr>
              <w:pStyle w:val="12"/>
            </w:pPr>
            <w:r>
              <w:t>保障基金运行安全情况</w:t>
            </w:r>
          </w:p>
        </w:tc>
        <w:tc>
          <w:tcPr>
            <w:tcW w:w="2268" w:type="dxa"/>
            <w:vAlign w:val="center"/>
          </w:tcPr>
          <w:p>
            <w:pPr>
              <w:pStyle w:val="12"/>
            </w:pPr>
            <w:r>
              <w:t>100%</w:t>
            </w:r>
          </w:p>
        </w:tc>
        <w:tc>
          <w:tcPr>
            <w:tcW w:w="1276" w:type="dxa"/>
            <w:vAlign w:val="center"/>
          </w:tcPr>
          <w:p>
            <w:pPr>
              <w:pStyle w:val="12"/>
            </w:pPr>
            <w:r>
              <w:t>提前下达2025年中央财政医疗服务与保障能力提升补助资金实施计划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参保人员对医保服务 的满意度</w:t>
            </w:r>
          </w:p>
        </w:tc>
        <w:tc>
          <w:tcPr>
            <w:tcW w:w="5386" w:type="dxa"/>
            <w:vAlign w:val="center"/>
          </w:tcPr>
          <w:p>
            <w:pPr>
              <w:pStyle w:val="12"/>
            </w:pPr>
            <w:r>
              <w:t>反映参保人员对医保服务的满意度</w:t>
            </w:r>
          </w:p>
        </w:tc>
        <w:tc>
          <w:tcPr>
            <w:tcW w:w="2268" w:type="dxa"/>
            <w:vAlign w:val="center"/>
          </w:tcPr>
          <w:p>
            <w:pPr>
              <w:pStyle w:val="12"/>
            </w:pPr>
            <w:r>
              <w:t>≥85%</w:t>
            </w:r>
          </w:p>
        </w:tc>
        <w:tc>
          <w:tcPr>
            <w:tcW w:w="1276" w:type="dxa"/>
            <w:vAlign w:val="center"/>
          </w:tcPr>
          <w:p>
            <w:pPr>
              <w:pStyle w:val="12"/>
            </w:pPr>
            <w:r>
              <w:t>提前下达2025年中央财政医疗服务与保障能力提升补助资金实施计划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4、退役军人专岗人员提高待遇资金绩效目标表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13062525P00022910017K</w:t>
            </w:r>
          </w:p>
        </w:tc>
        <w:tc>
          <w:tcPr>
            <w:tcW w:w="2835" w:type="dxa"/>
            <w:vAlign w:val="center"/>
          </w:tcPr>
          <w:p>
            <w:pPr>
              <w:pStyle w:val="10"/>
            </w:pPr>
            <w:r>
              <w:t>项目名称</w:t>
            </w:r>
          </w:p>
        </w:tc>
        <w:tc>
          <w:tcPr>
            <w:tcW w:w="6095" w:type="dxa"/>
            <w:gridSpan w:val="3"/>
            <w:vAlign w:val="center"/>
          </w:tcPr>
          <w:p>
            <w:pPr>
              <w:pStyle w:val="12"/>
            </w:pPr>
            <w:r>
              <w:t>退役军人专岗人员提高待遇资金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0.36</w:t>
            </w:r>
          </w:p>
        </w:tc>
        <w:tc>
          <w:tcPr>
            <w:tcW w:w="2835" w:type="dxa"/>
            <w:vAlign w:val="center"/>
          </w:tcPr>
          <w:p>
            <w:pPr>
              <w:pStyle w:val="10"/>
            </w:pPr>
            <w:r>
              <w:t>其中：财政    资金</w:t>
            </w:r>
          </w:p>
        </w:tc>
        <w:tc>
          <w:tcPr>
            <w:tcW w:w="2551" w:type="dxa"/>
            <w:vAlign w:val="center"/>
          </w:tcPr>
          <w:p>
            <w:pPr>
              <w:pStyle w:val="12"/>
            </w:pPr>
            <w:r>
              <w:t>0.36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用于提高退役军人专岗人员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1.每人每月300元，共计1人，按月支付。按时足额发放到位，落实退役军人专岗人员待遇。</w:t>
            </w:r>
            <w:r>
              <w:tab/>
            </w:r>
            <w:r>
              <w:tab/>
            </w:r>
          </w:p>
          <w:p>
            <w:pPr>
              <w:pStyle w:val="12"/>
            </w:pPr>
          </w:p>
          <w:p>
            <w:pPr>
              <w:pStyle w:val="12"/>
            </w:pPr>
            <w:r>
              <w:t>2.确保全区稳定，保障退役军人专岗人员更好发挥作用。</w:t>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专岗人员人数</w:t>
            </w:r>
          </w:p>
        </w:tc>
        <w:tc>
          <w:tcPr>
            <w:tcW w:w="5386" w:type="dxa"/>
            <w:vAlign w:val="center"/>
          </w:tcPr>
          <w:p>
            <w:pPr>
              <w:pStyle w:val="12"/>
            </w:pPr>
            <w:r>
              <w:t>反映专岗人员数量</w:t>
            </w:r>
          </w:p>
        </w:tc>
        <w:tc>
          <w:tcPr>
            <w:tcW w:w="2268" w:type="dxa"/>
            <w:vAlign w:val="center"/>
          </w:tcPr>
          <w:p>
            <w:pPr>
              <w:pStyle w:val="12"/>
            </w:pPr>
            <w:r>
              <w:t>1人</w:t>
            </w:r>
          </w:p>
        </w:tc>
        <w:tc>
          <w:tcPr>
            <w:tcW w:w="1276" w:type="dxa"/>
            <w:vAlign w:val="center"/>
          </w:tcPr>
          <w:p>
            <w:pPr>
              <w:pStyle w:val="12"/>
            </w:pPr>
            <w:r>
              <w:t>保定市徐水区退役军人事务局《关于徐水区退役军人专岗人员提高</w:t>
            </w:r>
          </w:p>
          <w:p>
            <w:pPr>
              <w:pStyle w:val="12"/>
            </w:pPr>
            <w:r>
              <w:t>待遇的请示》</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发放标准准确率</w:t>
            </w:r>
          </w:p>
        </w:tc>
        <w:tc>
          <w:tcPr>
            <w:tcW w:w="5386" w:type="dxa"/>
            <w:vAlign w:val="center"/>
          </w:tcPr>
          <w:p>
            <w:pPr>
              <w:pStyle w:val="12"/>
            </w:pPr>
            <w:r>
              <w:t>足额发放补贴人数占全部人数比例</w:t>
            </w:r>
          </w:p>
        </w:tc>
        <w:tc>
          <w:tcPr>
            <w:tcW w:w="2268" w:type="dxa"/>
            <w:vAlign w:val="center"/>
          </w:tcPr>
          <w:p>
            <w:pPr>
              <w:pStyle w:val="12"/>
            </w:pPr>
            <w:r>
              <w:t>100%</w:t>
            </w:r>
          </w:p>
        </w:tc>
        <w:tc>
          <w:tcPr>
            <w:tcW w:w="1276" w:type="dxa"/>
            <w:vAlign w:val="center"/>
          </w:tcPr>
          <w:p>
            <w:pPr>
              <w:pStyle w:val="12"/>
            </w:pPr>
            <w:r>
              <w:t>保定市徐水区退役军人事务局《关于徐水区退役军人专岗人员提高待遇的请示》</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反应按月发放到位情况</w:t>
            </w:r>
          </w:p>
        </w:tc>
        <w:tc>
          <w:tcPr>
            <w:tcW w:w="2268" w:type="dxa"/>
            <w:vAlign w:val="center"/>
          </w:tcPr>
          <w:p>
            <w:pPr>
              <w:pStyle w:val="12"/>
            </w:pPr>
            <w:r>
              <w:t>100%</w:t>
            </w:r>
          </w:p>
        </w:tc>
        <w:tc>
          <w:tcPr>
            <w:tcW w:w="1276" w:type="dxa"/>
            <w:vAlign w:val="center"/>
          </w:tcPr>
          <w:p>
            <w:pPr>
              <w:pStyle w:val="12"/>
            </w:pPr>
            <w:r>
              <w:t>保定市徐水区退役军人事务局《关于徐水区退役军人专岗人员提高待遇的请示》</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项目成本费用</w:t>
            </w:r>
          </w:p>
        </w:tc>
        <w:tc>
          <w:tcPr>
            <w:tcW w:w="5386" w:type="dxa"/>
            <w:vAlign w:val="center"/>
          </w:tcPr>
          <w:p>
            <w:pPr>
              <w:pStyle w:val="12"/>
            </w:pPr>
            <w:r>
              <w:t>月支出标准</w:t>
            </w:r>
          </w:p>
        </w:tc>
        <w:tc>
          <w:tcPr>
            <w:tcW w:w="2268" w:type="dxa"/>
            <w:vAlign w:val="center"/>
          </w:tcPr>
          <w:p>
            <w:pPr>
              <w:pStyle w:val="12"/>
            </w:pPr>
            <w:r>
              <w:t>300元</w:t>
            </w:r>
          </w:p>
        </w:tc>
        <w:tc>
          <w:tcPr>
            <w:tcW w:w="1276" w:type="dxa"/>
            <w:vAlign w:val="center"/>
          </w:tcPr>
          <w:p>
            <w:pPr>
              <w:pStyle w:val="12"/>
            </w:pPr>
            <w:r>
              <w:t>保定市徐水区退役军人事务局《关于徐水区退役军人专岗人员提高待遇的请示》</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专岗人员上访次数</w:t>
            </w:r>
          </w:p>
        </w:tc>
        <w:tc>
          <w:tcPr>
            <w:tcW w:w="5386" w:type="dxa"/>
            <w:vAlign w:val="center"/>
          </w:tcPr>
          <w:p>
            <w:pPr>
              <w:pStyle w:val="12"/>
            </w:pPr>
            <w:r>
              <w:t>专岗人员因为生活补贴上访的次数</w:t>
            </w:r>
          </w:p>
        </w:tc>
        <w:tc>
          <w:tcPr>
            <w:tcW w:w="2268" w:type="dxa"/>
            <w:vAlign w:val="center"/>
          </w:tcPr>
          <w:p>
            <w:pPr>
              <w:pStyle w:val="12"/>
            </w:pPr>
            <w:r>
              <w:t>≤2次</w:t>
            </w:r>
          </w:p>
        </w:tc>
        <w:tc>
          <w:tcPr>
            <w:tcW w:w="1276" w:type="dxa"/>
            <w:vAlign w:val="center"/>
          </w:tcPr>
          <w:p>
            <w:pPr>
              <w:pStyle w:val="12"/>
            </w:pPr>
            <w:r>
              <w:t>保定市徐水区退役军人事务局《关于徐水区退役军人专岗人员提高待遇的请示》</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退役军人专岗人员满意度</w:t>
            </w:r>
          </w:p>
        </w:tc>
        <w:tc>
          <w:tcPr>
            <w:tcW w:w="5386" w:type="dxa"/>
            <w:vAlign w:val="center"/>
          </w:tcPr>
          <w:p>
            <w:pPr>
              <w:pStyle w:val="12"/>
            </w:pPr>
            <w:r>
              <w:t>项目相关的退役军人专岗人员满意度</w:t>
            </w:r>
          </w:p>
        </w:tc>
        <w:tc>
          <w:tcPr>
            <w:tcW w:w="2268" w:type="dxa"/>
            <w:vAlign w:val="center"/>
          </w:tcPr>
          <w:p>
            <w:pPr>
              <w:pStyle w:val="12"/>
            </w:pPr>
            <w:r>
              <w:t>≥85</w:t>
            </w:r>
          </w:p>
        </w:tc>
        <w:tc>
          <w:tcPr>
            <w:tcW w:w="1276" w:type="dxa"/>
            <w:vAlign w:val="center"/>
          </w:tcPr>
          <w:p>
            <w:pPr>
              <w:pStyle w:val="12"/>
            </w:pPr>
            <w:r>
              <w:t>满意度调查问卷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5、医保基金监管核查专项资金（含专家费）绩效目标表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13062525P00023410021L</w:t>
            </w:r>
          </w:p>
        </w:tc>
        <w:tc>
          <w:tcPr>
            <w:tcW w:w="2835" w:type="dxa"/>
            <w:vAlign w:val="center"/>
          </w:tcPr>
          <w:p>
            <w:pPr>
              <w:pStyle w:val="10"/>
            </w:pPr>
            <w:r>
              <w:t>项目名称</w:t>
            </w:r>
          </w:p>
        </w:tc>
        <w:tc>
          <w:tcPr>
            <w:tcW w:w="6095" w:type="dxa"/>
            <w:gridSpan w:val="3"/>
            <w:vAlign w:val="center"/>
          </w:tcPr>
          <w:p>
            <w:pPr>
              <w:pStyle w:val="12"/>
            </w:pPr>
            <w:r>
              <w:t>医保基金监管核查专项资金（含专家费）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13.02</w:t>
            </w:r>
          </w:p>
        </w:tc>
        <w:tc>
          <w:tcPr>
            <w:tcW w:w="2835" w:type="dxa"/>
            <w:vAlign w:val="center"/>
          </w:tcPr>
          <w:p>
            <w:pPr>
              <w:pStyle w:val="10"/>
            </w:pPr>
            <w:r>
              <w:t>其中：财政    资金</w:t>
            </w:r>
          </w:p>
        </w:tc>
        <w:tc>
          <w:tcPr>
            <w:tcW w:w="2551" w:type="dxa"/>
            <w:vAlign w:val="center"/>
          </w:tcPr>
          <w:p>
            <w:pPr>
              <w:pStyle w:val="12"/>
            </w:pPr>
            <w:r>
              <w:t>13.02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该项目为我局按政策执行医保基金监管职能所需工作经费(含聘请专家进行核查费用)，用于支付聘请专家费用，召开相关会议，制作宣传用品等费用。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1.针对不同监管对象多发、高发的违规行为特点，聚焦重点，分类打击，对应施策。</w:t>
            </w:r>
            <w:r>
              <w:tab/>
            </w:r>
            <w:r>
              <w:tab/>
            </w:r>
            <w:r>
              <w:tab/>
            </w:r>
            <w:r>
              <w:tab/>
            </w:r>
            <w:r>
              <w:tab/>
            </w:r>
            <w:r>
              <w:tab/>
            </w:r>
          </w:p>
          <w:p>
            <w:pPr>
              <w:pStyle w:val="12"/>
            </w:pPr>
          </w:p>
          <w:p>
            <w:pPr>
              <w:pStyle w:val="12"/>
            </w:pPr>
            <w:r>
              <w:t>2.进行基金监管活动不少于2次，确保检查报告质量合格率达到100%，项目支出金额≤13.02万元，监督检查问题整改率达到85%，核查人员对项目保障的满意程度达到90%。</w:t>
            </w:r>
            <w:r>
              <w:tab/>
            </w:r>
            <w:r>
              <w:tab/>
            </w:r>
            <w:r>
              <w:tab/>
            </w:r>
            <w:r>
              <w:tab/>
            </w:r>
            <w:r>
              <w:tab/>
            </w:r>
            <w:r>
              <w:tab/>
            </w:r>
          </w:p>
          <w:p>
            <w:pPr>
              <w:pStyle w:val="12"/>
            </w:pPr>
          </w:p>
          <w:p>
            <w:pPr>
              <w:pStyle w:val="12"/>
            </w:pPr>
            <w:r>
              <w:t>3.通过开展基金专项监督检查活动，保障基金应用合法合理，通过此经费的支出，保障基金监管工作顺利进行</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监督检查次数</w:t>
            </w:r>
          </w:p>
        </w:tc>
        <w:tc>
          <w:tcPr>
            <w:tcW w:w="5386" w:type="dxa"/>
            <w:vAlign w:val="center"/>
          </w:tcPr>
          <w:p>
            <w:pPr>
              <w:pStyle w:val="12"/>
            </w:pPr>
            <w:r>
              <w:t>反映监督检查次数完成情况</w:t>
            </w:r>
          </w:p>
        </w:tc>
        <w:tc>
          <w:tcPr>
            <w:tcW w:w="2268" w:type="dxa"/>
            <w:vAlign w:val="center"/>
          </w:tcPr>
          <w:p>
            <w:pPr>
              <w:pStyle w:val="12"/>
            </w:pPr>
            <w:r>
              <w:t>≥2次</w:t>
            </w:r>
          </w:p>
        </w:tc>
        <w:tc>
          <w:tcPr>
            <w:tcW w:w="1276" w:type="dxa"/>
            <w:vAlign w:val="center"/>
          </w:tcPr>
          <w:p>
            <w:pPr>
              <w:pStyle w:val="12"/>
            </w:pPr>
            <w:r>
              <w:t>冀政字【2019】28号河北省医疗保障基金监管办法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报告质量合格率</w:t>
            </w:r>
          </w:p>
        </w:tc>
        <w:tc>
          <w:tcPr>
            <w:tcW w:w="5386" w:type="dxa"/>
            <w:vAlign w:val="center"/>
          </w:tcPr>
          <w:p>
            <w:pPr>
              <w:pStyle w:val="12"/>
            </w:pPr>
            <w:r>
              <w:t>反映整改报告质量情况</w:t>
            </w:r>
          </w:p>
        </w:tc>
        <w:tc>
          <w:tcPr>
            <w:tcW w:w="2268" w:type="dxa"/>
            <w:vAlign w:val="center"/>
          </w:tcPr>
          <w:p>
            <w:pPr>
              <w:pStyle w:val="12"/>
            </w:pPr>
            <w:r>
              <w:t>≥90%</w:t>
            </w:r>
          </w:p>
        </w:tc>
        <w:tc>
          <w:tcPr>
            <w:tcW w:w="1276" w:type="dxa"/>
            <w:vAlign w:val="center"/>
          </w:tcPr>
          <w:p>
            <w:pPr>
              <w:pStyle w:val="12"/>
            </w:pPr>
            <w:r>
              <w:t>医保基金监管核查专项资金（含专家费）实施计划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监督检查及时率</w:t>
            </w:r>
          </w:p>
        </w:tc>
        <w:tc>
          <w:tcPr>
            <w:tcW w:w="5386" w:type="dxa"/>
            <w:vAlign w:val="center"/>
          </w:tcPr>
          <w:p>
            <w:pPr>
              <w:pStyle w:val="12"/>
            </w:pPr>
            <w:r>
              <w:t>反映监督检查完成程度</w:t>
            </w:r>
          </w:p>
        </w:tc>
        <w:tc>
          <w:tcPr>
            <w:tcW w:w="2268" w:type="dxa"/>
            <w:vAlign w:val="center"/>
          </w:tcPr>
          <w:p>
            <w:pPr>
              <w:pStyle w:val="12"/>
            </w:pPr>
            <w:r>
              <w:t>100%</w:t>
            </w:r>
          </w:p>
        </w:tc>
        <w:tc>
          <w:tcPr>
            <w:tcW w:w="1276" w:type="dxa"/>
            <w:vAlign w:val="center"/>
          </w:tcPr>
          <w:p>
            <w:pPr>
              <w:pStyle w:val="12"/>
            </w:pPr>
            <w:r>
              <w:t>医保基金监管核查专项资金（含专家费）实施计划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项目预算成本</w:t>
            </w:r>
          </w:p>
        </w:tc>
        <w:tc>
          <w:tcPr>
            <w:tcW w:w="5386" w:type="dxa"/>
            <w:vAlign w:val="center"/>
          </w:tcPr>
          <w:p>
            <w:pPr>
              <w:pStyle w:val="12"/>
            </w:pPr>
            <w:r>
              <w:t>反映项目支出金额控制情况</w:t>
            </w:r>
          </w:p>
        </w:tc>
        <w:tc>
          <w:tcPr>
            <w:tcW w:w="2268" w:type="dxa"/>
            <w:vAlign w:val="center"/>
          </w:tcPr>
          <w:p>
            <w:pPr>
              <w:pStyle w:val="12"/>
            </w:pPr>
            <w:r>
              <w:t>≤13.02万元</w:t>
            </w:r>
          </w:p>
        </w:tc>
        <w:tc>
          <w:tcPr>
            <w:tcW w:w="1276" w:type="dxa"/>
            <w:vAlign w:val="center"/>
          </w:tcPr>
          <w:p>
            <w:pPr>
              <w:pStyle w:val="12"/>
            </w:pPr>
            <w:r>
              <w:t>医保基金监管核查专项资金（含专家费）实施计划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监督检查问题整改率</w:t>
            </w:r>
          </w:p>
        </w:tc>
        <w:tc>
          <w:tcPr>
            <w:tcW w:w="5386" w:type="dxa"/>
            <w:vAlign w:val="center"/>
          </w:tcPr>
          <w:p>
            <w:pPr>
              <w:pStyle w:val="12"/>
            </w:pPr>
            <w:r>
              <w:t>监督检查基金问题整改率</w:t>
            </w:r>
          </w:p>
        </w:tc>
        <w:tc>
          <w:tcPr>
            <w:tcW w:w="2268" w:type="dxa"/>
            <w:vAlign w:val="center"/>
          </w:tcPr>
          <w:p>
            <w:pPr>
              <w:pStyle w:val="12"/>
            </w:pPr>
            <w:r>
              <w:t>≥85%</w:t>
            </w:r>
          </w:p>
        </w:tc>
        <w:tc>
          <w:tcPr>
            <w:tcW w:w="1276" w:type="dxa"/>
            <w:vAlign w:val="center"/>
          </w:tcPr>
          <w:p>
            <w:pPr>
              <w:pStyle w:val="12"/>
            </w:pPr>
            <w:r>
              <w:t>医保基金监管核查专项资金（含专家费）实施计划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核查人员满意度</w:t>
            </w:r>
          </w:p>
        </w:tc>
        <w:tc>
          <w:tcPr>
            <w:tcW w:w="5386" w:type="dxa"/>
            <w:vAlign w:val="center"/>
          </w:tcPr>
          <w:p>
            <w:pPr>
              <w:pStyle w:val="12"/>
            </w:pPr>
            <w:r>
              <w:t>反映核查人员对项目保障的满意程度</w:t>
            </w:r>
          </w:p>
        </w:tc>
        <w:tc>
          <w:tcPr>
            <w:tcW w:w="2268" w:type="dxa"/>
            <w:vAlign w:val="center"/>
          </w:tcPr>
          <w:p>
            <w:pPr>
              <w:pStyle w:val="12"/>
            </w:pPr>
            <w:r>
              <w:t>≥90%</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6、医保经办业务经费绩效目标表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13062525P00023410023U</w:t>
            </w:r>
          </w:p>
        </w:tc>
        <w:tc>
          <w:tcPr>
            <w:tcW w:w="2835" w:type="dxa"/>
            <w:vAlign w:val="center"/>
          </w:tcPr>
          <w:p>
            <w:pPr>
              <w:pStyle w:val="10"/>
            </w:pPr>
            <w:r>
              <w:t>项目名称</w:t>
            </w:r>
          </w:p>
        </w:tc>
        <w:tc>
          <w:tcPr>
            <w:tcW w:w="6095" w:type="dxa"/>
            <w:gridSpan w:val="3"/>
            <w:vAlign w:val="center"/>
          </w:tcPr>
          <w:p>
            <w:pPr>
              <w:pStyle w:val="12"/>
            </w:pPr>
            <w:r>
              <w:t>医保经办业务经费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由于医保中心为窗口单位，有对外经办业务，所需日常公用经费较多，仅凭局机关日常公用经费不足以支撑医保中心经办业务使用，故需额外申请项目经费。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1.弥补综合定额硬缺口，保障办公日常运转所必需的支出。</w:t>
            </w:r>
            <w:r>
              <w:tab/>
            </w:r>
            <w:r>
              <w:tab/>
            </w:r>
            <w:r>
              <w:tab/>
            </w:r>
            <w:r>
              <w:tab/>
            </w:r>
            <w:r>
              <w:tab/>
            </w:r>
            <w:r>
              <w:tab/>
            </w:r>
          </w:p>
          <w:p>
            <w:pPr>
              <w:pStyle w:val="12"/>
            </w:pPr>
          </w:p>
          <w:p>
            <w:pPr>
              <w:pStyle w:val="12"/>
            </w:pPr>
            <w:r>
              <w:t>2.为医保中心日常工作及购置办公用品提供经费保障，综合业务工作完成率达到90%以上。业务处理及时率达到85%以上，医保中心“停摆”情况发生数为0，群众满意度达到85%以上。</w:t>
            </w:r>
            <w:r>
              <w:tab/>
            </w:r>
            <w:r>
              <w:tab/>
            </w:r>
            <w:r>
              <w:tab/>
            </w:r>
            <w:r>
              <w:tab/>
            </w:r>
            <w:r>
              <w:tab/>
            </w:r>
            <w:r>
              <w:tab/>
            </w:r>
          </w:p>
          <w:p>
            <w:pPr>
              <w:pStyle w:val="12"/>
            </w:pPr>
          </w:p>
          <w:p>
            <w:pPr>
              <w:pStyle w:val="12"/>
            </w:pPr>
            <w:r>
              <w:t>3.通过该项目经费保障，保障医保中心日常业务正常开展。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保障医保大厅人员正常办公人数</w:t>
            </w:r>
          </w:p>
        </w:tc>
        <w:tc>
          <w:tcPr>
            <w:tcW w:w="5386" w:type="dxa"/>
            <w:vAlign w:val="center"/>
          </w:tcPr>
          <w:p>
            <w:pPr>
              <w:pStyle w:val="12"/>
            </w:pPr>
            <w:r>
              <w:t>反映医保大厅正常办公人数的情况</w:t>
            </w:r>
          </w:p>
        </w:tc>
        <w:tc>
          <w:tcPr>
            <w:tcW w:w="2268" w:type="dxa"/>
            <w:vAlign w:val="center"/>
          </w:tcPr>
          <w:p>
            <w:pPr>
              <w:pStyle w:val="12"/>
            </w:pPr>
            <w:r>
              <w:t>≥15人</w:t>
            </w:r>
          </w:p>
        </w:tc>
        <w:tc>
          <w:tcPr>
            <w:tcW w:w="1276" w:type="dxa"/>
            <w:vAlign w:val="center"/>
          </w:tcPr>
          <w:p>
            <w:pPr>
              <w:pStyle w:val="12"/>
            </w:pPr>
            <w:r>
              <w:t>医保中心经办业务实施计划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一站式服务工作完成达标率</w:t>
            </w:r>
          </w:p>
        </w:tc>
        <w:tc>
          <w:tcPr>
            <w:tcW w:w="5386" w:type="dxa"/>
            <w:vAlign w:val="center"/>
          </w:tcPr>
          <w:p>
            <w:pPr>
              <w:pStyle w:val="12"/>
            </w:pPr>
            <w:r>
              <w:t>反映一站式服务工作完成达标情况</w:t>
            </w:r>
          </w:p>
        </w:tc>
        <w:tc>
          <w:tcPr>
            <w:tcW w:w="2268" w:type="dxa"/>
            <w:vAlign w:val="center"/>
          </w:tcPr>
          <w:p>
            <w:pPr>
              <w:pStyle w:val="12"/>
            </w:pPr>
            <w:r>
              <w:t>≥90%</w:t>
            </w:r>
          </w:p>
        </w:tc>
        <w:tc>
          <w:tcPr>
            <w:tcW w:w="1276" w:type="dxa"/>
            <w:vAlign w:val="center"/>
          </w:tcPr>
          <w:p>
            <w:pPr>
              <w:pStyle w:val="12"/>
            </w:pPr>
            <w:r>
              <w:t>关于申请编报医保中心专项工作经费的请示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业务处理及时率</w:t>
            </w:r>
          </w:p>
        </w:tc>
        <w:tc>
          <w:tcPr>
            <w:tcW w:w="5386" w:type="dxa"/>
            <w:vAlign w:val="center"/>
          </w:tcPr>
          <w:p>
            <w:pPr>
              <w:pStyle w:val="12"/>
            </w:pPr>
            <w:r>
              <w:t>反映业务处理及时情况</w:t>
            </w:r>
          </w:p>
        </w:tc>
        <w:tc>
          <w:tcPr>
            <w:tcW w:w="2268" w:type="dxa"/>
            <w:vAlign w:val="center"/>
          </w:tcPr>
          <w:p>
            <w:pPr>
              <w:pStyle w:val="12"/>
            </w:pPr>
            <w:r>
              <w:t>≥85%</w:t>
            </w:r>
          </w:p>
        </w:tc>
        <w:tc>
          <w:tcPr>
            <w:tcW w:w="1276" w:type="dxa"/>
            <w:vAlign w:val="center"/>
          </w:tcPr>
          <w:p>
            <w:pPr>
              <w:pStyle w:val="12"/>
            </w:pPr>
            <w:r>
              <w:t>医保中心经办业务实施计划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购买台式机</w:t>
            </w:r>
          </w:p>
        </w:tc>
        <w:tc>
          <w:tcPr>
            <w:tcW w:w="5386" w:type="dxa"/>
            <w:vAlign w:val="center"/>
          </w:tcPr>
          <w:p>
            <w:pPr>
              <w:pStyle w:val="12"/>
            </w:pPr>
            <w:r>
              <w:t>反映购买台式机金额不高于预算数</w:t>
            </w:r>
          </w:p>
        </w:tc>
        <w:tc>
          <w:tcPr>
            <w:tcW w:w="2268" w:type="dxa"/>
            <w:vAlign w:val="center"/>
          </w:tcPr>
          <w:p>
            <w:pPr>
              <w:pStyle w:val="12"/>
            </w:pPr>
            <w:r>
              <w:t>2.2万元</w:t>
            </w:r>
          </w:p>
        </w:tc>
        <w:tc>
          <w:tcPr>
            <w:tcW w:w="1276" w:type="dxa"/>
            <w:vAlign w:val="center"/>
          </w:tcPr>
          <w:p>
            <w:pPr>
              <w:pStyle w:val="12"/>
            </w:pPr>
            <w:r>
              <w:t>医保中心经办业务实施计划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购买打印机</w:t>
            </w:r>
          </w:p>
        </w:tc>
        <w:tc>
          <w:tcPr>
            <w:tcW w:w="5386" w:type="dxa"/>
            <w:vAlign w:val="center"/>
          </w:tcPr>
          <w:p>
            <w:pPr>
              <w:pStyle w:val="12"/>
            </w:pPr>
            <w:r>
              <w:t>反映购买打印机金额不高于预算数</w:t>
            </w:r>
          </w:p>
        </w:tc>
        <w:tc>
          <w:tcPr>
            <w:tcW w:w="2268" w:type="dxa"/>
            <w:vAlign w:val="center"/>
          </w:tcPr>
          <w:p>
            <w:pPr>
              <w:pStyle w:val="12"/>
            </w:pPr>
            <w:r>
              <w:t>0.8万元</w:t>
            </w:r>
          </w:p>
        </w:tc>
        <w:tc>
          <w:tcPr>
            <w:tcW w:w="1276" w:type="dxa"/>
            <w:vAlign w:val="center"/>
          </w:tcPr>
          <w:p>
            <w:pPr>
              <w:pStyle w:val="12"/>
            </w:pPr>
            <w:r>
              <w:t>医保中心经办业务实施计划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其他办公耗材</w:t>
            </w:r>
          </w:p>
        </w:tc>
        <w:tc>
          <w:tcPr>
            <w:tcW w:w="5386" w:type="dxa"/>
            <w:vAlign w:val="center"/>
          </w:tcPr>
          <w:p>
            <w:pPr>
              <w:pStyle w:val="12"/>
            </w:pPr>
            <w:r>
              <w:t>反映其他办公耗材金额不高于预算数</w:t>
            </w:r>
          </w:p>
        </w:tc>
        <w:tc>
          <w:tcPr>
            <w:tcW w:w="2268" w:type="dxa"/>
            <w:vAlign w:val="center"/>
          </w:tcPr>
          <w:p>
            <w:pPr>
              <w:pStyle w:val="12"/>
            </w:pPr>
            <w:r>
              <w:t>12万元</w:t>
            </w:r>
          </w:p>
        </w:tc>
        <w:tc>
          <w:tcPr>
            <w:tcW w:w="1276" w:type="dxa"/>
            <w:vAlign w:val="center"/>
          </w:tcPr>
          <w:p>
            <w:pPr>
              <w:pStyle w:val="12"/>
            </w:pPr>
            <w:r>
              <w:t>医保中心经办业务实施计划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提高医保中心工作效率</w:t>
            </w:r>
          </w:p>
        </w:tc>
        <w:tc>
          <w:tcPr>
            <w:tcW w:w="5386" w:type="dxa"/>
            <w:vAlign w:val="center"/>
          </w:tcPr>
          <w:p>
            <w:pPr>
              <w:pStyle w:val="12"/>
            </w:pPr>
            <w:r>
              <w:t>反映医保中心工作效率提高情况</w:t>
            </w:r>
          </w:p>
        </w:tc>
        <w:tc>
          <w:tcPr>
            <w:tcW w:w="2268" w:type="dxa"/>
            <w:vAlign w:val="center"/>
          </w:tcPr>
          <w:p>
            <w:pPr>
              <w:pStyle w:val="12"/>
            </w:pPr>
            <w:r>
              <w:t>≥90%</w:t>
            </w:r>
          </w:p>
        </w:tc>
        <w:tc>
          <w:tcPr>
            <w:tcW w:w="1276" w:type="dxa"/>
            <w:vAlign w:val="center"/>
          </w:tcPr>
          <w:p>
            <w:pPr>
              <w:pStyle w:val="12"/>
            </w:pPr>
            <w:r>
              <w:t>医保中心经办业务实施计划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反映办事群众对经办业务的满意度</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7、医保网络经费（运转保障）绩效目标表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13062525P000031100047</w:t>
            </w:r>
          </w:p>
        </w:tc>
        <w:tc>
          <w:tcPr>
            <w:tcW w:w="2835" w:type="dxa"/>
            <w:vAlign w:val="center"/>
          </w:tcPr>
          <w:p>
            <w:pPr>
              <w:pStyle w:val="10"/>
            </w:pPr>
            <w:r>
              <w:t>项目名称</w:t>
            </w:r>
          </w:p>
        </w:tc>
        <w:tc>
          <w:tcPr>
            <w:tcW w:w="6095" w:type="dxa"/>
            <w:gridSpan w:val="3"/>
            <w:vAlign w:val="center"/>
          </w:tcPr>
          <w:p>
            <w:pPr>
              <w:pStyle w:val="12"/>
            </w:pPr>
            <w:r>
              <w:t>医保网络经费（运转保障）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16.48</w:t>
            </w:r>
          </w:p>
        </w:tc>
        <w:tc>
          <w:tcPr>
            <w:tcW w:w="2835" w:type="dxa"/>
            <w:vAlign w:val="center"/>
          </w:tcPr>
          <w:p>
            <w:pPr>
              <w:pStyle w:val="10"/>
            </w:pPr>
            <w:r>
              <w:t>其中：财政    资金</w:t>
            </w:r>
          </w:p>
        </w:tc>
        <w:tc>
          <w:tcPr>
            <w:tcW w:w="2551" w:type="dxa"/>
            <w:vAlign w:val="center"/>
          </w:tcPr>
          <w:p>
            <w:pPr>
              <w:pStyle w:val="12"/>
            </w:pPr>
            <w:r>
              <w:t>16.48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保定市徐水区医疗保障局关于组建乡镇（办）医保专网的请示。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30%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1.通过提供优质的医疗服务，提高群众对医保网络的满意度。</w:t>
            </w:r>
            <w:r>
              <w:tab/>
            </w:r>
            <w:r>
              <w:tab/>
            </w:r>
            <w:r>
              <w:tab/>
            </w:r>
            <w:r>
              <w:tab/>
            </w:r>
            <w:r>
              <w:tab/>
            </w:r>
          </w:p>
          <w:p>
            <w:pPr>
              <w:pStyle w:val="12"/>
            </w:pPr>
          </w:p>
          <w:p>
            <w:pPr>
              <w:pStyle w:val="12"/>
            </w:pPr>
            <w:r>
              <w:t>2.</w:t>
            </w:r>
            <w:r>
              <w:tab/>
            </w:r>
            <w:r>
              <w:t>与网络公司签订网络租赁协议，租赁网络线数51条，项目金额不超16.48万元，保障医保网络运行。</w:t>
            </w:r>
          </w:p>
          <w:p>
            <w:pPr>
              <w:pStyle w:val="12"/>
            </w:pPr>
            <w:r>
              <w:t>3.提高乡村医疗服务的效率和质量，确保农村居民能够及时获得基本的医疗服务。</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网络和线路租赁数量</w:t>
            </w:r>
          </w:p>
        </w:tc>
        <w:tc>
          <w:tcPr>
            <w:tcW w:w="5386" w:type="dxa"/>
            <w:vAlign w:val="center"/>
          </w:tcPr>
          <w:p>
            <w:pPr>
              <w:pStyle w:val="12"/>
            </w:pPr>
            <w:r>
              <w:t>反映租赁网络线路条数</w:t>
            </w:r>
          </w:p>
        </w:tc>
        <w:tc>
          <w:tcPr>
            <w:tcW w:w="2268" w:type="dxa"/>
            <w:vAlign w:val="center"/>
          </w:tcPr>
          <w:p>
            <w:pPr>
              <w:pStyle w:val="12"/>
            </w:pPr>
            <w:r>
              <w:t>51条</w:t>
            </w:r>
          </w:p>
        </w:tc>
        <w:tc>
          <w:tcPr>
            <w:tcW w:w="1276" w:type="dxa"/>
            <w:vAlign w:val="center"/>
          </w:tcPr>
          <w:p>
            <w:pPr>
              <w:pStyle w:val="12"/>
            </w:pPr>
            <w:r>
              <w:t>医保网络经费（运转保障）项目实施计划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网络故障率</w:t>
            </w:r>
          </w:p>
        </w:tc>
        <w:tc>
          <w:tcPr>
            <w:tcW w:w="5386" w:type="dxa"/>
            <w:vAlign w:val="center"/>
          </w:tcPr>
          <w:p>
            <w:pPr>
              <w:pStyle w:val="12"/>
            </w:pPr>
            <w:r>
              <w:t>反映网络在日常工作中出现故障的次数</w:t>
            </w:r>
          </w:p>
        </w:tc>
        <w:tc>
          <w:tcPr>
            <w:tcW w:w="2268" w:type="dxa"/>
            <w:vAlign w:val="center"/>
          </w:tcPr>
          <w:p>
            <w:pPr>
              <w:pStyle w:val="12"/>
            </w:pPr>
            <w:r>
              <w:t>≤10次</w:t>
            </w:r>
          </w:p>
        </w:tc>
        <w:tc>
          <w:tcPr>
            <w:tcW w:w="1276" w:type="dxa"/>
            <w:vAlign w:val="center"/>
          </w:tcPr>
          <w:p>
            <w:pPr>
              <w:pStyle w:val="12"/>
            </w:pPr>
            <w:r>
              <w:t>医保网络经费（运转保障）项目实施计划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按时支付资金及时率</w:t>
            </w:r>
          </w:p>
        </w:tc>
        <w:tc>
          <w:tcPr>
            <w:tcW w:w="5386" w:type="dxa"/>
            <w:vAlign w:val="center"/>
          </w:tcPr>
          <w:p>
            <w:pPr>
              <w:pStyle w:val="12"/>
            </w:pPr>
            <w:r>
              <w:t>反映及时按照合同金额支付，保障网络正常运转的情况</w:t>
            </w:r>
          </w:p>
        </w:tc>
        <w:tc>
          <w:tcPr>
            <w:tcW w:w="2268" w:type="dxa"/>
            <w:vAlign w:val="center"/>
          </w:tcPr>
          <w:p>
            <w:pPr>
              <w:pStyle w:val="12"/>
            </w:pPr>
            <w:r>
              <w:t>≥95%</w:t>
            </w:r>
          </w:p>
        </w:tc>
        <w:tc>
          <w:tcPr>
            <w:tcW w:w="1276" w:type="dxa"/>
            <w:vAlign w:val="center"/>
          </w:tcPr>
          <w:p>
            <w:pPr>
              <w:pStyle w:val="12"/>
            </w:pPr>
            <w:r>
              <w:t>医保网络经费（运转保障）项目实施计划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项目预算成本</w:t>
            </w:r>
          </w:p>
        </w:tc>
        <w:tc>
          <w:tcPr>
            <w:tcW w:w="5386" w:type="dxa"/>
            <w:vAlign w:val="center"/>
          </w:tcPr>
          <w:p>
            <w:pPr>
              <w:pStyle w:val="12"/>
            </w:pPr>
            <w:r>
              <w:t>反映项目支出金额不高于预算数</w:t>
            </w:r>
          </w:p>
        </w:tc>
        <w:tc>
          <w:tcPr>
            <w:tcW w:w="2268" w:type="dxa"/>
            <w:vAlign w:val="center"/>
          </w:tcPr>
          <w:p>
            <w:pPr>
              <w:pStyle w:val="12"/>
            </w:pPr>
            <w:r>
              <w:t>≤16.48万元</w:t>
            </w:r>
          </w:p>
        </w:tc>
        <w:tc>
          <w:tcPr>
            <w:tcW w:w="1276" w:type="dxa"/>
            <w:vAlign w:val="center"/>
          </w:tcPr>
          <w:p>
            <w:pPr>
              <w:pStyle w:val="12"/>
            </w:pPr>
            <w:r>
              <w:t>保定市徐水区医疗保障局电路租用合同，保定市徐水区医疗保障局光纤电路租用合同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村民对医保政策服务支持率</w:t>
            </w:r>
          </w:p>
        </w:tc>
        <w:tc>
          <w:tcPr>
            <w:tcW w:w="5386" w:type="dxa"/>
            <w:vAlign w:val="center"/>
          </w:tcPr>
          <w:p>
            <w:pPr>
              <w:pStyle w:val="12"/>
            </w:pPr>
            <w:r>
              <w:t>反映村民对医保政策服务支持的情况</w:t>
            </w:r>
          </w:p>
        </w:tc>
        <w:tc>
          <w:tcPr>
            <w:tcW w:w="2268" w:type="dxa"/>
            <w:vAlign w:val="center"/>
          </w:tcPr>
          <w:p>
            <w:pPr>
              <w:pStyle w:val="12"/>
            </w:pPr>
            <w:r>
              <w:t>≥95次</w:t>
            </w:r>
          </w:p>
        </w:tc>
        <w:tc>
          <w:tcPr>
            <w:tcW w:w="1276" w:type="dxa"/>
            <w:vAlign w:val="center"/>
          </w:tcPr>
          <w:p>
            <w:pPr>
              <w:pStyle w:val="12"/>
            </w:pPr>
            <w:r>
              <w:t>医保网络经费（运转保障）项目实施计划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网络使用人员满意度</w:t>
            </w:r>
          </w:p>
        </w:tc>
        <w:tc>
          <w:tcPr>
            <w:tcW w:w="5386" w:type="dxa"/>
            <w:vAlign w:val="center"/>
          </w:tcPr>
          <w:p>
            <w:pPr>
              <w:pStyle w:val="12"/>
            </w:pPr>
            <w:r>
              <w:t>网络使用人员满意度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8、意外伤害核查经费绩效目标表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13062525P000234100201</w:t>
            </w:r>
          </w:p>
        </w:tc>
        <w:tc>
          <w:tcPr>
            <w:tcW w:w="2835" w:type="dxa"/>
            <w:vAlign w:val="center"/>
          </w:tcPr>
          <w:p>
            <w:pPr>
              <w:pStyle w:val="10"/>
            </w:pPr>
            <w:r>
              <w:t>项目名称</w:t>
            </w:r>
          </w:p>
        </w:tc>
        <w:tc>
          <w:tcPr>
            <w:tcW w:w="6095" w:type="dxa"/>
            <w:gridSpan w:val="3"/>
            <w:vAlign w:val="center"/>
          </w:tcPr>
          <w:p>
            <w:pPr>
              <w:pStyle w:val="12"/>
            </w:pPr>
            <w:r>
              <w:t>意外伤害核查经费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19.99</w:t>
            </w:r>
          </w:p>
        </w:tc>
        <w:tc>
          <w:tcPr>
            <w:tcW w:w="2835" w:type="dxa"/>
            <w:vAlign w:val="center"/>
          </w:tcPr>
          <w:p>
            <w:pPr>
              <w:pStyle w:val="10"/>
            </w:pPr>
            <w:r>
              <w:t>其中：财政    资金</w:t>
            </w:r>
          </w:p>
        </w:tc>
        <w:tc>
          <w:tcPr>
            <w:tcW w:w="2551" w:type="dxa"/>
            <w:vAlign w:val="center"/>
          </w:tcPr>
          <w:p>
            <w:pPr>
              <w:pStyle w:val="12"/>
            </w:pPr>
            <w:r>
              <w:t>19.99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？该项目根据《保定市城乡居民意外伤害调查界定工作实施方案》制定，主要用于与第三方保险公司合作对意外伤害发生医疗费用的参保人员进行认定，检查其是否符合享受待遇的条件。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w:t>
            </w:r>
          </w:p>
        </w:tc>
        <w:tc>
          <w:tcPr>
            <w:tcW w:w="2835" w:type="dxa"/>
            <w:vAlign w:val="center"/>
          </w:tcPr>
          <w:p>
            <w:pPr>
              <w:pStyle w:val="13"/>
            </w:pPr>
            <w:r>
              <w:t>20%</w:t>
            </w:r>
          </w:p>
        </w:tc>
        <w:tc>
          <w:tcPr>
            <w:tcW w:w="2551" w:type="dxa"/>
            <w:vAlign w:val="center"/>
          </w:tcPr>
          <w:p>
            <w:pPr>
              <w:pStyle w:val="13"/>
            </w:pPr>
            <w:r>
              <w:t>30%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1.通过购买服务提高意外伤害补偿的效率、增加资金使用的透明度、节约医保资金、促进医保基金的良性发展，以及提高服务对象的满意度。</w:t>
            </w:r>
            <w:r>
              <w:tab/>
            </w:r>
            <w:r>
              <w:tab/>
            </w:r>
            <w:r>
              <w:tab/>
            </w:r>
            <w:r>
              <w:tab/>
            </w:r>
            <w:r>
              <w:tab/>
            </w:r>
          </w:p>
          <w:p>
            <w:pPr>
              <w:pStyle w:val="12"/>
            </w:pPr>
            <w:r>
              <w:tab/>
            </w:r>
            <w:r>
              <w:tab/>
            </w:r>
            <w:r>
              <w:tab/>
            </w:r>
            <w:r>
              <w:tab/>
            </w:r>
            <w:r>
              <w:tab/>
            </w:r>
            <w:r>
              <w:tab/>
            </w:r>
          </w:p>
          <w:p>
            <w:pPr>
              <w:pStyle w:val="12"/>
            </w:pPr>
          </w:p>
          <w:p>
            <w:pPr>
              <w:pStyle w:val="12"/>
            </w:pPr>
            <w:r>
              <w:t>2.意外伤害鉴定人次1694人次，鉴定人均标准118元/人，城乡居民意外伤害人员费用及时拨付100%，意外伤害人员满意情况≥85%。</w:t>
            </w:r>
            <w:r>
              <w:tab/>
            </w:r>
            <w:r>
              <w:tab/>
            </w:r>
          </w:p>
          <w:p>
            <w:pPr>
              <w:pStyle w:val="12"/>
            </w:pPr>
          </w:p>
          <w:p>
            <w:pPr>
              <w:pStyle w:val="12"/>
            </w:pPr>
            <w:r>
              <w:t>3.与第三方保险公司合作对因意外伤害发生医疗费用的参保人员进行认定，确保其符合享受待遇的条件，保障基金使用合规合理，保障居民权利。</w:t>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鉴定人次</w:t>
            </w:r>
          </w:p>
        </w:tc>
        <w:tc>
          <w:tcPr>
            <w:tcW w:w="5386" w:type="dxa"/>
            <w:vAlign w:val="center"/>
          </w:tcPr>
          <w:p>
            <w:pPr>
              <w:pStyle w:val="12"/>
            </w:pPr>
            <w:r>
              <w:t>鉴定人次完成数量情况</w:t>
            </w:r>
          </w:p>
        </w:tc>
        <w:tc>
          <w:tcPr>
            <w:tcW w:w="2268" w:type="dxa"/>
            <w:vAlign w:val="center"/>
          </w:tcPr>
          <w:p>
            <w:pPr>
              <w:pStyle w:val="12"/>
            </w:pPr>
            <w:r>
              <w:t>≤1694人</w:t>
            </w:r>
          </w:p>
        </w:tc>
        <w:tc>
          <w:tcPr>
            <w:tcW w:w="1276" w:type="dxa"/>
            <w:vAlign w:val="center"/>
          </w:tcPr>
          <w:p>
            <w:pPr>
              <w:pStyle w:val="12"/>
            </w:pPr>
            <w:r>
              <w:t>意外伤害核查经费实施计划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鉴定程序规范率</w:t>
            </w:r>
          </w:p>
        </w:tc>
        <w:tc>
          <w:tcPr>
            <w:tcW w:w="5386" w:type="dxa"/>
            <w:vAlign w:val="center"/>
          </w:tcPr>
          <w:p>
            <w:pPr>
              <w:pStyle w:val="12"/>
            </w:pPr>
            <w:r>
              <w:t>鉴定程序规范情况</w:t>
            </w:r>
          </w:p>
        </w:tc>
        <w:tc>
          <w:tcPr>
            <w:tcW w:w="2268" w:type="dxa"/>
            <w:vAlign w:val="center"/>
          </w:tcPr>
          <w:p>
            <w:pPr>
              <w:pStyle w:val="12"/>
            </w:pPr>
            <w:r>
              <w:t>100%</w:t>
            </w:r>
          </w:p>
        </w:tc>
        <w:tc>
          <w:tcPr>
            <w:tcW w:w="1276" w:type="dxa"/>
            <w:vAlign w:val="center"/>
          </w:tcPr>
          <w:p>
            <w:pPr>
              <w:pStyle w:val="12"/>
            </w:pPr>
            <w:r>
              <w:t>意外伤害核查经费实施计划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鉴定完成时间</w:t>
            </w:r>
          </w:p>
        </w:tc>
        <w:tc>
          <w:tcPr>
            <w:tcW w:w="5386" w:type="dxa"/>
            <w:vAlign w:val="center"/>
          </w:tcPr>
          <w:p>
            <w:pPr>
              <w:pStyle w:val="12"/>
            </w:pPr>
            <w:r>
              <w:t>鉴定完成时间是否及时</w:t>
            </w:r>
          </w:p>
        </w:tc>
        <w:tc>
          <w:tcPr>
            <w:tcW w:w="2268" w:type="dxa"/>
            <w:vAlign w:val="center"/>
          </w:tcPr>
          <w:p>
            <w:pPr>
              <w:pStyle w:val="12"/>
            </w:pPr>
            <w:r>
              <w:t>≤7天</w:t>
            </w:r>
          </w:p>
        </w:tc>
        <w:tc>
          <w:tcPr>
            <w:tcW w:w="1276" w:type="dxa"/>
            <w:vAlign w:val="center"/>
          </w:tcPr>
          <w:p>
            <w:pPr>
              <w:pStyle w:val="12"/>
            </w:pPr>
            <w:r>
              <w:t>意外伤害核查经费实施计划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鉴定人均标准</w:t>
            </w:r>
          </w:p>
        </w:tc>
        <w:tc>
          <w:tcPr>
            <w:tcW w:w="5386" w:type="dxa"/>
            <w:vAlign w:val="center"/>
          </w:tcPr>
          <w:p>
            <w:pPr>
              <w:pStyle w:val="12"/>
            </w:pPr>
            <w:r>
              <w:t>反映鉴定人均标准情况</w:t>
            </w:r>
          </w:p>
        </w:tc>
        <w:tc>
          <w:tcPr>
            <w:tcW w:w="2268" w:type="dxa"/>
            <w:vAlign w:val="center"/>
          </w:tcPr>
          <w:p>
            <w:pPr>
              <w:pStyle w:val="12"/>
            </w:pPr>
            <w:r>
              <w:t>118元</w:t>
            </w:r>
          </w:p>
        </w:tc>
        <w:tc>
          <w:tcPr>
            <w:tcW w:w="1276" w:type="dxa"/>
            <w:vAlign w:val="center"/>
          </w:tcPr>
          <w:p>
            <w:pPr>
              <w:pStyle w:val="12"/>
            </w:pPr>
            <w:r>
              <w:t>保定市徐水区城乡居民及城镇职工意外伤害调查界定工作合同书</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医疗保险基金平稳运行率</w:t>
            </w:r>
          </w:p>
        </w:tc>
        <w:tc>
          <w:tcPr>
            <w:tcW w:w="5386" w:type="dxa"/>
            <w:vAlign w:val="center"/>
          </w:tcPr>
          <w:p>
            <w:pPr>
              <w:pStyle w:val="12"/>
            </w:pPr>
            <w:r>
              <w:t>反映医疗保险基金平稳运行情况</w:t>
            </w:r>
          </w:p>
        </w:tc>
        <w:tc>
          <w:tcPr>
            <w:tcW w:w="2268" w:type="dxa"/>
            <w:vAlign w:val="center"/>
          </w:tcPr>
          <w:p>
            <w:pPr>
              <w:pStyle w:val="12"/>
            </w:pPr>
            <w:r>
              <w:t>≥90%</w:t>
            </w:r>
          </w:p>
        </w:tc>
        <w:tc>
          <w:tcPr>
            <w:tcW w:w="1276" w:type="dxa"/>
            <w:vAlign w:val="center"/>
          </w:tcPr>
          <w:p>
            <w:pPr>
              <w:pStyle w:val="12"/>
            </w:pPr>
            <w:r>
              <w:t>意外伤害核查经费实施计划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鉴定当事人满意度</w:t>
            </w:r>
          </w:p>
        </w:tc>
        <w:tc>
          <w:tcPr>
            <w:tcW w:w="5386" w:type="dxa"/>
            <w:vAlign w:val="center"/>
          </w:tcPr>
          <w:p>
            <w:pPr>
              <w:pStyle w:val="12"/>
            </w:pPr>
            <w:r>
              <w:t>反映鉴定当事人对本项目的满意情况</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450001保定市徐水区医疗保障局本级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4.87</w:t>
            </w:r>
          </w:p>
        </w:tc>
        <w:tc>
          <w:tcPr>
            <w:tcW w:w="964" w:type="dxa"/>
            <w:vAlign w:val="center"/>
          </w:tcPr>
          <w:p>
            <w:pPr>
              <w:pStyle w:val="15"/>
            </w:pPr>
            <w:r>
              <w:t>4.87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保定市徐水区医疗保障局本级小计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4.87</w:t>
            </w:r>
          </w:p>
        </w:tc>
        <w:tc>
          <w:tcPr>
            <w:tcW w:w="964" w:type="dxa"/>
            <w:vAlign w:val="center"/>
          </w:tcPr>
          <w:p>
            <w:pPr>
              <w:pStyle w:val="15"/>
            </w:pPr>
            <w:r>
              <w:t>4.87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12.15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35</w:t>
            </w:r>
          </w:p>
        </w:tc>
        <w:tc>
          <w:tcPr>
            <w:tcW w:w="850" w:type="dxa"/>
            <w:vAlign w:val="center"/>
          </w:tcPr>
          <w:p>
            <w:pPr>
              <w:pStyle w:val="11"/>
            </w:pPr>
            <w:r>
              <w:t>0.02</w:t>
            </w:r>
          </w:p>
        </w:tc>
        <w:tc>
          <w:tcPr>
            <w:tcW w:w="964" w:type="dxa"/>
            <w:vAlign w:val="center"/>
          </w:tcPr>
          <w:p>
            <w:pPr>
              <w:pStyle w:val="11"/>
            </w:pPr>
            <w:r>
              <w:t>0.77</w:t>
            </w:r>
          </w:p>
        </w:tc>
        <w:tc>
          <w:tcPr>
            <w:tcW w:w="964" w:type="dxa"/>
            <w:vAlign w:val="center"/>
          </w:tcPr>
          <w:p>
            <w:pPr>
              <w:pStyle w:val="11"/>
            </w:pPr>
            <w:r>
              <w:t>0.77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12.15</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5</w:t>
            </w:r>
          </w:p>
        </w:tc>
        <w:tc>
          <w:tcPr>
            <w:tcW w:w="850" w:type="dxa"/>
            <w:vAlign w:val="center"/>
          </w:tcPr>
          <w:p>
            <w:pPr>
              <w:pStyle w:val="11"/>
            </w:pPr>
            <w:r>
              <w:t>0.10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12.15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20</w:t>
            </w:r>
          </w:p>
        </w:tc>
        <w:tc>
          <w:tcPr>
            <w:tcW w:w="850" w:type="dxa"/>
            <w:vAlign w:val="center"/>
          </w:tcPr>
          <w:p>
            <w:pPr>
              <w:pStyle w:val="11"/>
            </w:pPr>
            <w:r>
              <w:t>0.03</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医保经办业务经费</w:t>
            </w:r>
          </w:p>
        </w:tc>
        <w:tc>
          <w:tcPr>
            <w:tcW w:w="964" w:type="dxa"/>
            <w:vAlign w:val="center"/>
          </w:tcPr>
          <w:p>
            <w:pPr>
              <w:pStyle w:val="11"/>
            </w:pPr>
            <w:r>
              <w:t>15.00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0.44</w:t>
            </w:r>
          </w:p>
        </w:tc>
        <w:tc>
          <w:tcPr>
            <w:tcW w:w="964" w:type="dxa"/>
            <w:vAlign w:val="center"/>
          </w:tcPr>
          <w:p>
            <w:pPr>
              <w:pStyle w:val="11"/>
            </w:pPr>
            <w:r>
              <w:t>2.20</w:t>
            </w:r>
          </w:p>
        </w:tc>
        <w:tc>
          <w:tcPr>
            <w:tcW w:w="964" w:type="dxa"/>
            <w:vAlign w:val="center"/>
          </w:tcPr>
          <w:p>
            <w:pPr>
              <w:pStyle w:val="11"/>
            </w:pPr>
            <w:r>
              <w:t>2.20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医保经办业务经费</w:t>
            </w:r>
          </w:p>
        </w:tc>
        <w:tc>
          <w:tcPr>
            <w:tcW w:w="964" w:type="dxa"/>
            <w:vAlign w:val="center"/>
          </w:tcPr>
          <w:p>
            <w:pPr>
              <w:pStyle w:val="11"/>
            </w:pPr>
            <w:r>
              <w:t>15.00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0.20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保定市徐水区医疗保障局本级上年末固定资产金额为0.00万元（详见下表）。本年度拟购置固定资产总额为3.00万元，已按要求列入政府采购预算，详见政府采购预算表。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450001保定市徐水区医疗保障局本级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B5296"/>
    <w:rsid w:val="32C05B32"/>
    <w:rsid w:val="33E13387"/>
    <w:rsid w:val="765F30D1"/>
    <w:rsid w:val="7F4A553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TotalTime>19</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2025-02-21T13:39:00Z</dcterms:created>
  <dc:creator>Administrator</dc:creator>
  <cp:lastModifiedBy>Administrator</cp:lastModifiedBy>
  <cp:lastPrinted>2025-02-21T05:42:44Z</cp:lastPrinted>
  <dcterms:modified xsi:type="dcterms:W3CDTF">2025-02-21T05:55:49Z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1B0A2884D4374C9894C97684157AB315</vt:lpwstr>
  </property>
</Properties>
</file>