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style1.xml" ContentType="application/vnd.ms-office.chartstyle+xml"/>
  <Override PartName="/word/charts/style2.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media/image6.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jc w:val="left"/>
      </w:pPr>
      <w:r>
        <w:drawing>
          <wp:anchor distT="0" distB="0" distL="114300" distR="114300" simplePos="0" relativeHeight="251665408" behindDoc="0" locked="0" layoutInCell="1" allowOverlap="1">
            <wp:simplePos x="0" y="0"/>
            <wp:positionH relativeFrom="column">
              <wp:posOffset>-406400</wp:posOffset>
            </wp:positionH>
            <wp:positionV relativeFrom="paragraph">
              <wp:posOffset>2153920</wp:posOffset>
            </wp:positionV>
            <wp:extent cx="2159000" cy="1310640"/>
            <wp:effectExtent l="0" t="0" r="12700" b="3810"/>
            <wp:wrapNone/>
            <wp:docPr id="12" name="https://photo-static-api.fotomore.com/creative/vcg/400/new/VCG211393708916.jpg" descr="templates\picture_hover\&amp;pky00203123560_sjzg_VCG211393708916&amp;2&amp;src_toppic_droprecent&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https://photo-static-api.fotomore.com/creative/vcg/400/new/VCG211393708916.jpg" descr="templates\picture_hover\&amp;pky00203123560_sjzg_VCG211393708916&amp;2&amp;src_toppic_droprecent&amp;"/>
                    <pic:cNvPicPr>
                      <a:picLocks noChangeAspect="1"/>
                    </pic:cNvPicPr>
                  </pic:nvPicPr>
                  <pic:blipFill>
                    <a:blip r:embed="rId9"/>
                    <a:stretch>
                      <a:fillRect/>
                    </a:stretch>
                  </pic:blipFill>
                  <pic:spPr>
                    <a:xfrm>
                      <a:off x="0" y="0"/>
                      <a:ext cx="2159000" cy="1310640"/>
                    </a:xfrm>
                    <a:prstGeom prst="rect">
                      <a:avLst/>
                    </a:prstGeom>
                  </pic:spPr>
                </pic:pic>
              </a:graphicData>
            </a:graphic>
          </wp:anchor>
        </w:drawing>
      </w:r>
      <w:r>
        <w:drawing>
          <wp:anchor distT="0" distB="0" distL="114300" distR="114300" simplePos="0" relativeHeight="251666432" behindDoc="0" locked="0" layoutInCell="1" allowOverlap="1">
            <wp:simplePos x="0" y="0"/>
            <wp:positionH relativeFrom="column">
              <wp:posOffset>1800860</wp:posOffset>
            </wp:positionH>
            <wp:positionV relativeFrom="paragraph">
              <wp:posOffset>2153920</wp:posOffset>
            </wp:positionV>
            <wp:extent cx="2160270" cy="1310640"/>
            <wp:effectExtent l="0" t="0" r="11430" b="3810"/>
            <wp:wrapNone/>
            <wp:docPr id="14" name="https://photo-static-api.fotomore.com/creative/vcg/400/version23/VCG41520173064.jpg" descr="templates\picture_hover\&amp;pky94109459339_sjzg_VCG41520173064&amp;2&amp;src_toppic_droprecent&amp;"/>
            <wp:cNvGraphicFramePr/>
            <a:graphic xmlns:a="http://schemas.openxmlformats.org/drawingml/2006/main">
              <a:graphicData uri="http://schemas.openxmlformats.org/drawingml/2006/picture">
                <pic:pic xmlns:pic="http://schemas.openxmlformats.org/drawingml/2006/picture">
                  <pic:nvPicPr>
                    <pic:cNvPr id="14" name="https://photo-static-api.fotomore.com/creative/vcg/400/version23/VCG41520173064.jpg" descr="templates\picture_hover\&amp;pky94109459339_sjzg_VCG41520173064&amp;2&amp;src_toppic_droprecent&amp;"/>
                    <pic:cNvPicPr/>
                  </pic:nvPicPr>
                  <pic:blipFill>
                    <a:blip r:embed="rId10"/>
                    <a:stretch>
                      <a:fillRect/>
                    </a:stretch>
                  </pic:blipFill>
                  <pic:spPr>
                    <a:xfrm>
                      <a:off x="0" y="0"/>
                      <a:ext cx="2160270" cy="1310640"/>
                    </a:xfrm>
                    <a:prstGeom prst="rect">
                      <a:avLst/>
                    </a:prstGeom>
                  </pic:spPr>
                </pic:pic>
              </a:graphicData>
            </a:graphic>
          </wp:anchor>
        </w:drawing>
      </w:r>
      <w:r>
        <w:drawing>
          <wp:anchor distT="0" distB="0" distL="114300" distR="114300" simplePos="0" relativeHeight="251664384" behindDoc="0" locked="0" layoutInCell="1" allowOverlap="1">
            <wp:simplePos x="0" y="0"/>
            <wp:positionH relativeFrom="column">
              <wp:posOffset>4027805</wp:posOffset>
            </wp:positionH>
            <wp:positionV relativeFrom="paragraph">
              <wp:posOffset>2141220</wp:posOffset>
            </wp:positionV>
            <wp:extent cx="2162810" cy="1310640"/>
            <wp:effectExtent l="0" t="0" r="8890" b="3810"/>
            <wp:wrapNone/>
            <wp:docPr id="8" name="https://photo-static-api.fotomore.com/creative/vcg/400/new/VCG41N1489769134.jpg?uid=386&amp;timestamp=1686554386&amp;sign=5f45ccbb5851510551cea00294a903df" descr="templates\picture_hover\&amp;pky17209834312_sjzg_VCG41N1489769134&amp;2&amp;src_toppic_droprecent&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ttps://photo-static-api.fotomore.com/creative/vcg/400/new/VCG41N1489769134.jpg?uid=386&amp;timestamp=1686554386&amp;sign=5f45ccbb5851510551cea00294a903df" descr="templates\picture_hover\&amp;pky17209834312_sjzg_VCG41N1489769134&amp;2&amp;src_toppic_droprecent&amp;"/>
                    <pic:cNvPicPr>
                      <a:picLocks noChangeAspect="1"/>
                    </pic:cNvPicPr>
                  </pic:nvPicPr>
                  <pic:blipFill>
                    <a:blip r:embed="rId11"/>
                    <a:stretch>
                      <a:fillRect/>
                    </a:stretch>
                  </pic:blipFill>
                  <pic:spPr>
                    <a:xfrm>
                      <a:off x="0" y="0"/>
                      <a:ext cx="2162810" cy="1310640"/>
                    </a:xfrm>
                    <a:prstGeom prst="rect">
                      <a:avLst/>
                    </a:prstGeom>
                  </pic:spPr>
                </pic:pic>
              </a:graphicData>
            </a:graphic>
          </wp:anchor>
        </w:drawing>
      </w:r>
      <w:r>
        <mc:AlternateContent>
          <mc:Choice Requires="wpg">
            <w:drawing>
              <wp:anchor distT="0" distB="0" distL="114300" distR="114300" simplePos="0" relativeHeight="251662336" behindDoc="0" locked="0" layoutInCell="1" allowOverlap="1">
                <wp:simplePos x="0" y="0"/>
                <wp:positionH relativeFrom="column">
                  <wp:posOffset>-2783205</wp:posOffset>
                </wp:positionH>
                <wp:positionV relativeFrom="paragraph">
                  <wp:posOffset>2138680</wp:posOffset>
                </wp:positionV>
                <wp:extent cx="9053195" cy="1447165"/>
                <wp:effectExtent l="0" t="0" r="14605" b="635"/>
                <wp:wrapNone/>
                <wp:docPr id="2" name="组合 2"/>
                <wp:cNvGraphicFramePr/>
                <a:graphic xmlns:a="http://schemas.openxmlformats.org/drawingml/2006/main">
                  <a:graphicData uri="http://schemas.microsoft.com/office/word/2010/wordprocessingGroup">
                    <wpg:wgp>
                      <wpg:cNvGrpSpPr/>
                      <wpg:grpSpPr>
                        <a:xfrm>
                          <a:off x="0" y="0"/>
                          <a:ext cx="9053195" cy="1447017"/>
                          <a:chOff x="-3504" y="4387"/>
                          <a:chExt cx="19200" cy="2716"/>
                        </a:xfrm>
                      </wpg:grpSpPr>
                      <wps:wsp>
                        <wps:cNvPr id="3075" name="矩形 19"/>
                        <wps:cNvSpPr/>
                        <wps:spPr>
                          <a:xfrm>
                            <a:off x="-381" y="4387"/>
                            <a:ext cx="1834" cy="2457"/>
                          </a:xfrm>
                          <a:prstGeom prst="rect">
                            <a:avLst/>
                          </a:prstGeom>
                          <a:solidFill>
                            <a:srgbClr val="0176AB"/>
                          </a:solidFill>
                          <a:ln w="9525">
                            <a:noFill/>
                          </a:ln>
                        </wps:spPr>
                        <wps:bodyPr anchor="ctr" anchorCtr="0"/>
                      </wps:wsp>
                      <wps:wsp>
                        <wps:cNvPr id="3079" name="矩形 24"/>
                        <wps:cNvSpPr/>
                        <wps:spPr>
                          <a:xfrm>
                            <a:off x="-3504" y="6953"/>
                            <a:ext cx="11815" cy="150"/>
                          </a:xfrm>
                          <a:custGeom>
                            <a:avLst/>
                            <a:gdLst/>
                            <a:ahLst/>
                            <a:cxnLst>
                              <a:cxn ang="0">
                                <a:pos x="0" y="0"/>
                              </a:cxn>
                              <a:cxn ang="0">
                                <a:pos x="7463453" y="6619"/>
                              </a:cxn>
                              <a:cxn ang="0">
                                <a:pos x="7506490" y="98604"/>
                              </a:cxn>
                              <a:cxn ang="0">
                                <a:pos x="0" y="98604"/>
                              </a:cxn>
                              <a:cxn ang="0">
                                <a:pos x="0" y="0"/>
                              </a:cxn>
                            </a:cxnLst>
                            <a:rect l="0" t="0" r="0" b="0"/>
                            <a:pathLst>
                              <a:path w="7501732" h="94593">
                                <a:moveTo>
                                  <a:pt x="0" y="0"/>
                                </a:moveTo>
                                <a:lnTo>
                                  <a:pt x="7458720" y="6350"/>
                                </a:lnTo>
                                <a:lnTo>
                                  <a:pt x="7501732" y="94593"/>
                                </a:lnTo>
                                <a:lnTo>
                                  <a:pt x="0" y="94593"/>
                                </a:lnTo>
                                <a:lnTo>
                                  <a:pt x="0" y="0"/>
                                </a:lnTo>
                                <a:close/>
                              </a:path>
                            </a:pathLst>
                          </a:custGeom>
                          <a:solidFill>
                            <a:srgbClr val="E5AA57">
                              <a:alpha val="100000"/>
                            </a:srgbClr>
                          </a:solidFill>
                          <a:ln w="9525">
                            <a:noFill/>
                          </a:ln>
                        </wps:spPr>
                        <wps:bodyPr/>
                      </wps:wsp>
                      <wps:wsp>
                        <wps:cNvPr id="3080" name="矩形 25"/>
                        <wps:cNvSpPr/>
                        <wps:spPr>
                          <a:xfrm>
                            <a:off x="8331" y="6953"/>
                            <a:ext cx="7365" cy="150"/>
                          </a:xfrm>
                          <a:custGeom>
                            <a:avLst/>
                            <a:gdLst/>
                            <a:ahLst/>
                            <a:cxnLst>
                              <a:cxn ang="0">
                                <a:pos x="0" y="0"/>
                              </a:cxn>
                              <a:cxn ang="0">
                                <a:pos x="4679715" y="0"/>
                              </a:cxn>
                              <a:cxn ang="0">
                                <a:pos x="4679715" y="98599"/>
                              </a:cxn>
                              <a:cxn ang="0">
                                <a:pos x="57552" y="98599"/>
                              </a:cxn>
                              <a:cxn ang="0">
                                <a:pos x="0" y="0"/>
                              </a:cxn>
                            </a:cxnLst>
                            <a:rect l="0" t="0" r="0" b="0"/>
                            <a:pathLst>
                              <a:path w="4676187" h="94594">
                                <a:moveTo>
                                  <a:pt x="0" y="0"/>
                                </a:moveTo>
                                <a:lnTo>
                                  <a:pt x="4676187" y="0"/>
                                </a:lnTo>
                                <a:lnTo>
                                  <a:pt x="4676187" y="94594"/>
                                </a:lnTo>
                                <a:lnTo>
                                  <a:pt x="57510" y="94594"/>
                                </a:lnTo>
                                <a:lnTo>
                                  <a:pt x="0" y="0"/>
                                </a:lnTo>
                                <a:close/>
                              </a:path>
                            </a:pathLst>
                          </a:custGeom>
                          <a:solidFill>
                            <a:srgbClr val="0176AB">
                              <a:alpha val="100000"/>
                            </a:srgbClr>
                          </a:solidFill>
                          <a:ln w="9525">
                            <a:noFill/>
                          </a:ln>
                        </wps:spPr>
                        <wps:bodyPr/>
                      </wps:wsp>
                    </wpg:wgp>
                  </a:graphicData>
                </a:graphic>
              </wp:anchor>
            </w:drawing>
          </mc:Choice>
          <mc:Fallback>
            <w:pict>
              <v:group id="_x0000_s1026" o:spid="_x0000_s1026" o:spt="203" style="position:absolute;left:0pt;margin-left:-219.15pt;margin-top:168.4pt;height:113.95pt;width:712.85pt;z-index:251662336;mso-width-relative:page;mso-height-relative:page;" coordorigin="-3504,4387" coordsize="19200,2716" o:gfxdata="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">
                <o:lock v:ext="edit" aspectratio="f"/>
                <v:rect id="矩形 19" o:spid="_x0000_s1026" o:spt="1" style="position:absolute;left:-381;top:4387;height:2457;width:1834;v-text-anchor:middle;" fillcolor="#0176AB" filled="t" stroked="f" coordsize="21600,21600" o:gfxdata="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f+P3v&#10;wAAAAN0AAAAPAAAAAAAAAAEAIAAAACIAAABkcnMvZG93bnJldi54bWxQSwECFAAUAAAACACHTuJA&#10;My8FnjsAAAA5AAAAEAAAAAAAAAABACAAAAAPAQAAZHJzL3NoYXBleG1sLnhtbFBLBQYAAAAABgAG&#10;AFsBAAC5AwAAAAA=&#10;">
                  <v:fill on="t" focussize="0,0"/>
                  <v:stroke on="f"/>
                  <v:imagedata o:title=""/>
                  <o:lock v:ext="edit" aspectratio="f"/>
                </v:rect>
                <v:shape id="矩形 24" o:spid="_x0000_s1026" o:spt="100" style="position:absolute;left:-3504;top:6953;height:150;width:11815;" fillcolor="#E5AA57" filled="t" stroked="f" coordsize="7501732,94593" o:gfxdata="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8dX6O&#10;wAAAAN0AAAAPAAAAAAAAAAEAIAAAACIAAABkcnMvZG93bnJldi54bWxQSwECFAAUAAAACACHTuJA&#10;My8FnjsAAAA5AAAAEAAAAAAAAAABACAAAAAPAQAAZHJzL3NoYXBleG1sLnhtbFBLBQYAAAAABgAG&#10;AFsBAAC5AwAAAAA=&#10;" path="m0,0l7458720,6350,7501732,94593,0,94593,0,0xe">
                  <v:path o:connectlocs="0,0;7463453,6619;7506490,98604;0,98604;0,0" o:connectangles="0,0,0,0,0"/>
                  <v:fill on="t" focussize="0,0"/>
                  <v:stroke on="f"/>
                  <v:imagedata o:title=""/>
                  <o:lock v:ext="edit" aspectratio="f"/>
                </v:shape>
                <v:shape id="矩形 25" o:spid="_x0000_s1026" o:spt="100" style="position:absolute;left:8331;top:6953;height:150;width:7365;" fillcolor="#0176AB" filled="t" stroked="f" coordsize="4676187,94594" o:gfxdata="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9GhB25AAAA3QAA&#10;AA8AAAAAAAAAAQAgAAAAIgAAAGRycy9kb3ducmV2LnhtbFBLAQIUABQAAAAIAIdO4kAzLwWeOwAA&#10;ADkAAAAQAAAAAAAAAAEAIAAAAAgBAABkcnMvc2hhcGV4bWwueG1sUEsFBgAAAAAGAAYAWwEAALID&#10;AAAAAA==&#10;" path="m0,0l4676187,0,4676187,94594,57510,94594,0,0xe">
                  <v:path o:connectlocs="0,0;4679715,0;4679715,98599;57552,98599;0,0" o:connectangles="0,0,0,0,0"/>
                  <v:fill on="t" focussize="0,0"/>
                  <v:stroke on="f"/>
                  <v:imagedata o:title=""/>
                  <o:lock v:ext="edit" aspectratio="f"/>
                </v:shape>
              </v:group>
            </w:pict>
          </mc:Fallback>
        </mc:AlternateContent>
      </w:r>
      <w:r>
        <w:drawing>
          <wp:anchor distT="0" distB="0" distL="114300" distR="114300" simplePos="0" relativeHeight="251659264" behindDoc="1" locked="0" layoutInCell="1" allowOverlap="1">
            <wp:simplePos x="0" y="0"/>
            <wp:positionH relativeFrom="margin">
              <wp:posOffset>-2950210</wp:posOffset>
            </wp:positionH>
            <wp:positionV relativeFrom="margin">
              <wp:posOffset>653415</wp:posOffset>
            </wp:positionV>
            <wp:extent cx="11083290" cy="7844790"/>
            <wp:effectExtent l="0" t="0" r="3810" b="3810"/>
            <wp:wrapNone/>
            <wp:docPr id="73" name="背景 耗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背景 耗崽"/>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rot="16200000">
                      <a:off x="0" y="0"/>
                      <a:ext cx="11083290" cy="7844790"/>
                    </a:xfrm>
                    <a:prstGeom prst="rect">
                      <a:avLst/>
                    </a:prstGeom>
                  </pic:spPr>
                </pic:pic>
              </a:graphicData>
            </a:graphic>
          </wp:anchor>
        </w:drawing>
      </w:r>
      <w:r>
        <mc:AlternateContent>
          <mc:Choice Requires="wpg">
            <w:drawing>
              <wp:anchor distT="0" distB="0" distL="114300" distR="114300" simplePos="0" relativeHeight="251661312" behindDoc="0" locked="0" layoutInCell="1" allowOverlap="1">
                <wp:simplePos x="0" y="0"/>
                <wp:positionH relativeFrom="column">
                  <wp:posOffset>-280670</wp:posOffset>
                </wp:positionH>
                <wp:positionV relativeFrom="paragraph">
                  <wp:posOffset>-313055</wp:posOffset>
                </wp:positionV>
                <wp:extent cx="5954395" cy="1885315"/>
                <wp:effectExtent l="0" t="0" r="0" b="14605"/>
                <wp:wrapNone/>
                <wp:docPr id="1" name="组合 1"/>
                <wp:cNvGraphicFramePr/>
                <a:graphic xmlns:a="http://schemas.openxmlformats.org/drawingml/2006/main">
                  <a:graphicData uri="http://schemas.microsoft.com/office/word/2010/wordprocessingGroup">
                    <wpg:wgp>
                      <wpg:cNvGrpSpPr/>
                      <wpg:grpSpPr>
                        <a:xfrm>
                          <a:off x="0" y="0"/>
                          <a:ext cx="5954395" cy="1885315"/>
                          <a:chOff x="12098" y="1831"/>
                          <a:chExt cx="9377" cy="2969"/>
                        </a:xfrm>
                      </wpg:grpSpPr>
                      <wps:wsp>
                        <wps:cNvPr id="89" name="文本框 32"/>
                        <wps:cNvSpPr txBox="1"/>
                        <wps:spPr>
                          <a:xfrm>
                            <a:off x="13325" y="1831"/>
                            <a:ext cx="4462" cy="1348"/>
                          </a:xfrm>
                          <a:prstGeom prst="rect">
                            <a:avLst/>
                          </a:prstGeom>
                          <a:noFill/>
                        </wps:spPr>
                        <wps:txbx>
                          <w:txbxContent>
                            <w:p>
                              <w:pPr>
                                <w:jc w:val="distribute"/>
                                <w:rPr>
                                  <w:rFonts w:ascii="方正魏碑简体" w:hAnsi="Arial" w:eastAsia="方正魏碑简体" w:cs="Arial"/>
                                  <w:color w:val="000000" w:themeColor="text1"/>
                                  <w:kern w:val="0"/>
                                  <w:sz w:val="22"/>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ascii="方正魏碑简体" w:hAnsi="Arial" w:eastAsia="方正魏碑简体" w:cs="Arial"/>
                                  <w:color w:val="000000" w:themeColor="text1"/>
                                  <w:spacing w:val="60"/>
                                  <w:kern w:val="24"/>
                                  <w:sz w:val="72"/>
                                  <w:szCs w:val="72"/>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2023年度</w:t>
                              </w:r>
                            </w:p>
                          </w:txbxContent>
                        </wps:txbx>
                        <wps:bodyPr wrap="square" rtlCol="0">
                          <a:noAutofit/>
                        </wps:bodyPr>
                      </wps:wsp>
                      <wpg:grpSp>
                        <wpg:cNvPr id="6" name="组合 6"/>
                        <wpg:cNvGrpSpPr/>
                        <wpg:grpSpPr>
                          <a:xfrm>
                            <a:off x="12098" y="3193"/>
                            <a:ext cx="9377" cy="1607"/>
                            <a:chOff x="6119" y="2843"/>
                            <a:chExt cx="9377" cy="1607"/>
                          </a:xfrm>
                        </wpg:grpSpPr>
                        <wps:wsp>
                          <wps:cNvPr id="91" name="文本框 32"/>
                          <wps:cNvSpPr txBox="1"/>
                          <wps:spPr>
                            <a:xfrm>
                              <a:off x="6119" y="2843"/>
                              <a:ext cx="9377" cy="1421"/>
                            </a:xfrm>
                            <a:prstGeom prst="rect">
                              <a:avLst/>
                            </a:prstGeom>
                            <a:noFill/>
                          </wps:spPr>
                          <wps:txbx>
                            <w:txbxContent>
                              <w:p>
                                <w:pPr>
                                  <w:jc w:val="left"/>
                                  <w:rPr>
                                    <w:rFonts w:ascii="黑体" w:hAnsi="黑体" w:eastAsia="黑体" w:cs="黑体"/>
                                    <w:color w:val="000000" w:themeColor="text1"/>
                                    <w:kern w:val="0"/>
                                    <w:sz w:val="24"/>
                                    <w:szCs w:val="24"/>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ascii="黑体" w:hAnsi="黑体" w:eastAsia="黑体" w:cs="黑体"/>
                                    <w:color w:val="000000" w:themeColor="text1"/>
                                    <w:spacing w:val="60"/>
                                    <w:kern w:val="24"/>
                                    <w:sz w:val="96"/>
                                    <w:szCs w:val="96"/>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部门决算公开文本</w:t>
                                </w:r>
                              </w:p>
                            </w:txbxContent>
                          </wps:txbx>
                          <wps:bodyPr wrap="square" rtlCol="0">
                            <a:noAutofit/>
                          </wps:bodyPr>
                        </wps:wsp>
                        <wps:wsp>
                          <wps:cNvPr id="4" name="直接连接符 4"/>
                          <wps:cNvCnPr/>
                          <wps:spPr>
                            <a:xfrm>
                              <a:off x="6226" y="4450"/>
                              <a:ext cx="8700" cy="0"/>
                            </a:xfrm>
                            <a:prstGeom prst="line">
                              <a:avLst/>
                            </a:prstGeom>
                            <a:ln w="28575" cmpd="sng">
                              <a:solidFill>
                                <a:schemeClr val="accent1">
                                  <a:shade val="50000"/>
                                </a:schemeClr>
                              </a:solidFill>
                              <a:prstDash val="sysDot"/>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id="_x0000_s1026" o:spid="_x0000_s1026" o:spt="203" style="position:absolute;left:0pt;margin-left:-22.1pt;margin-top:-24.65pt;height:148.45pt;width:468.85pt;z-index:251661312;mso-width-relative:page;mso-height-relative:page;" coordorigin="12098,1831" coordsize="9377,2969" o:gfxdata="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">
                <o:lock v:ext="edit" aspectratio="f"/>
                <v:shape id="文本框 32" o:spid="_x0000_s1026" o:spt="202" type="#_x0000_t202" style="position:absolute;left:13325;top:1831;height:1348;width:4462;" filled="f" stroked="f" coordsize="21600,21600" o:gfxdata="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oO67LsAAADb&#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jc w:val="distribute"/>
                          <w:rPr>
                            <w:rFonts w:ascii="方正魏碑简体" w:hAnsi="Arial" w:eastAsia="方正魏碑简体" w:cs="Arial"/>
                            <w:color w:val="000000" w:themeColor="text1"/>
                            <w:kern w:val="0"/>
                            <w:sz w:val="22"/>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ascii="方正魏碑简体" w:hAnsi="Arial" w:eastAsia="方正魏碑简体" w:cs="Arial"/>
                            <w:color w:val="000000" w:themeColor="text1"/>
                            <w:spacing w:val="60"/>
                            <w:kern w:val="24"/>
                            <w:sz w:val="72"/>
                            <w:szCs w:val="72"/>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2023年度</w:t>
                        </w:r>
                      </w:p>
                    </w:txbxContent>
                  </v:textbox>
                </v:shape>
                <v:group id="_x0000_s1026" o:spid="_x0000_s1026" o:spt="203" style="position:absolute;left:12098;top:3193;height:1607;width:9377;" coordorigin="6119,2843" coordsize="9377,1607" o:gfxdata="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hCDXDL0AAADaAAAADwAAAAAAAAABACAAAAAiAAAAZHJzL2Rvd25yZXYueG1s&#10;UEsBAhQAFAAAAAgAh07iQDMvBZ47AAAAOQAAABUAAAAAAAAAAQAgAAAADAEAAGRycy9ncm91cHNo&#10;YXBleG1sLnhtbFBLBQYAAAAABgAGAGABAADJAwAAAAA=&#10;">
                  <o:lock v:ext="edit" aspectratio="f"/>
                  <v:shape id="文本框 32" o:spid="_x0000_s1026" o:spt="202" type="#_x0000_t202" style="position:absolute;left:6119;top:2843;height:1421;width:9377;" filled="f" stroked="f" coordsize="21600,21600" o:gfxdata="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SwgN7sAAADb&#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jc w:val="left"/>
                            <w:rPr>
                              <w:rFonts w:ascii="黑体" w:hAnsi="黑体" w:eastAsia="黑体" w:cs="黑体"/>
                              <w:color w:val="000000" w:themeColor="text1"/>
                              <w:kern w:val="0"/>
                              <w:sz w:val="24"/>
                              <w:szCs w:val="24"/>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ascii="黑体" w:hAnsi="黑体" w:eastAsia="黑体" w:cs="黑体"/>
                              <w:color w:val="000000" w:themeColor="text1"/>
                              <w:spacing w:val="60"/>
                              <w:kern w:val="24"/>
                              <w:sz w:val="96"/>
                              <w:szCs w:val="96"/>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部门决算公开文本</w:t>
                          </w:r>
                        </w:p>
                      </w:txbxContent>
                    </v:textbox>
                  </v:shape>
                  <v:line id="_x0000_s1026" o:spid="_x0000_s1026" o:spt="20" style="position:absolute;left:6226;top:4450;height:0;width:8700;" filled="f" stroked="t" coordsize="21600,21600" o:gfxdata="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M574A&#10;AADaAAAADwAAAAAAAAABACAAAAAiAAAAZHJzL2Rvd25yZXYueG1sUEsBAhQAFAAAAAgAh07iQDMv&#10;BZ47AAAAOQAAABAAAAAAAAAAAQAgAAAADQEAAGRycy9zaGFwZXhtbC54bWxQSwUGAAAAAAYABgBb&#10;AQAAtwMAAAAA&#10;">
                    <v:fill on="f" focussize="0,0"/>
                    <v:stroke weight="2.25pt" color="#325395 [3204]" miterlimit="8" joinstyle="miter" dashstyle="1 1"/>
                    <v:imagedata o:title=""/>
                    <o:lock v:ext="edit" aspectratio="f"/>
                  </v:line>
                </v:group>
              </v:group>
            </w:pict>
          </mc:Fallback>
        </mc:AlternateContent>
      </w:r>
      <w:r>
        <w:drawing>
          <wp:anchor distT="0" distB="0" distL="114300" distR="114300" simplePos="0" relativeHeight="251663360" behindDoc="0" locked="0" layoutInCell="1" allowOverlap="1">
            <wp:simplePos x="0" y="0"/>
            <wp:positionH relativeFrom="column">
              <wp:posOffset>-95250</wp:posOffset>
            </wp:positionH>
            <wp:positionV relativeFrom="margin">
              <wp:posOffset>-27305</wp:posOffset>
            </wp:positionV>
            <wp:extent cx="506095" cy="506095"/>
            <wp:effectExtent l="0" t="0" r="8255" b="8255"/>
            <wp:wrapNone/>
            <wp:docPr id="3" name="图片 3" descr="32313539313538323b32313539313537353bb5e7c4d4b0ecb9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32313539313538323b32313539313537353bb5e7c4d4b0ecb9ab"/>
                    <pic:cNvPicPr>
                      <a:picLocks noChangeAspect="1"/>
                    </pic:cNvPicPr>
                  </pic:nvPicPr>
                  <pic:blipFill>
                    <a:blip r:embed="rId13">
                      <a:extLst>
                        <a:ext uri="{96DAC541-7B7A-43D3-8B79-37D633B846F1}">
                          <asvg:svgBlip xmlns:asvg="http://schemas.microsoft.com/office/drawing/2016/SVG/main" r:embed="rId14"/>
                        </a:ext>
                      </a:extLst>
                    </a:blip>
                    <a:stretch>
                      <a:fillRect/>
                    </a:stretch>
                  </pic:blipFill>
                  <pic:spPr>
                    <a:xfrm>
                      <a:off x="0" y="0"/>
                      <a:ext cx="506095" cy="506095"/>
                    </a:xfrm>
                    <a:prstGeom prst="rect">
                      <a:avLst/>
                    </a:prstGeom>
                  </pic:spPr>
                </pic:pic>
              </a:graphicData>
            </a:graphic>
          </wp:anchor>
        </w:drawing>
      </w:r>
      <w:r>
        <mc:AlternateContent>
          <mc:Choice Requires="wps">
            <w:drawing>
              <wp:anchor distT="0" distB="0" distL="114300" distR="114300" simplePos="0" relativeHeight="251660288" behindDoc="0" locked="0" layoutInCell="1" allowOverlap="1">
                <wp:simplePos x="0" y="0"/>
                <wp:positionH relativeFrom="column">
                  <wp:posOffset>-253365</wp:posOffset>
                </wp:positionH>
                <wp:positionV relativeFrom="paragraph">
                  <wp:posOffset>1611630</wp:posOffset>
                </wp:positionV>
                <wp:extent cx="5494020" cy="570230"/>
                <wp:effectExtent l="0" t="0" r="0" b="0"/>
                <wp:wrapNone/>
                <wp:docPr id="98" name="文本框 33"/>
                <wp:cNvGraphicFramePr/>
                <a:graphic xmlns:a="http://schemas.openxmlformats.org/drawingml/2006/main">
                  <a:graphicData uri="http://schemas.microsoft.com/office/word/2010/wordprocessingShape">
                    <wps:wsp>
                      <wps:cNvSpPr txBox="1"/>
                      <wps:spPr>
                        <a:xfrm>
                          <a:off x="0" y="0"/>
                          <a:ext cx="5494020" cy="570230"/>
                        </a:xfrm>
                        <a:prstGeom prst="rect">
                          <a:avLst/>
                        </a:prstGeom>
                        <a:noFill/>
                      </wps:spPr>
                      <wps:txbx>
                        <w:txbxContent>
                          <w:p>
                            <w:pPr>
                              <w:jc w:val="distribute"/>
                              <w:rPr>
                                <w:rFonts w:ascii="思源黑体 CN Heavy" w:hAnsi="思源黑体 CN Heavy" w:eastAsia="思源黑体 CN Heavy"/>
                                <w:color w:val="A6A6A6" w:themeColor="background1" w:themeShade="A6"/>
                                <w:kern w:val="0"/>
                                <w:sz w:val="40"/>
                                <w:szCs w:val="40"/>
                              </w:rPr>
                            </w:pPr>
                          </w:p>
                        </w:txbxContent>
                      </wps:txbx>
                      <wps:bodyPr wrap="square" rtlCol="0">
                        <a:noAutofit/>
                      </wps:bodyPr>
                    </wps:wsp>
                  </a:graphicData>
                </a:graphic>
              </wp:anchor>
            </w:drawing>
          </mc:Choice>
          <mc:Fallback>
            <w:pict>
              <v:shape id="文本框 33" o:spid="_x0000_s1026" o:spt="202" type="#_x0000_t202" style="position:absolute;left:0pt;margin-left:-19.95pt;margin-top:126.9pt;height:44.9pt;width:432.6pt;z-index:251660288;mso-width-relative:page;mso-height-relative:page;" filled="f" stroked="f" coordsize="21600,21600" o:gfxdata="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Wallr9gAAAALAQAADwAAAAAAAAABACAAAAAiAAAAZHJzL2Rvd25yZXYueG1sUEsB&#10;AhQAFAAAAAgAh07iQFu9ble8AQAAXwMAAA4AAAAAAAAAAQAgAAAAJwEAAGRycy9lMm9Eb2MueG1s&#10;UEsFBgAAAAAGAAYAWQEAAFUFAAAAAA==&#10;">
                <v:fill on="f" focussize="0,0"/>
                <v:stroke on="f"/>
                <v:imagedata o:title=""/>
                <o:lock v:ext="edit" aspectratio="f"/>
                <v:textbox>
                  <w:txbxContent>
                    <w:p>
                      <w:pPr>
                        <w:jc w:val="distribute"/>
                        <w:rPr>
                          <w:rFonts w:ascii="思源黑体 CN Heavy" w:hAnsi="思源黑体 CN Heavy" w:eastAsia="思源黑体 CN Heavy"/>
                          <w:color w:val="A6A6A6" w:themeColor="background1" w:themeShade="A6"/>
                          <w:kern w:val="0"/>
                          <w:sz w:val="40"/>
                          <w:szCs w:val="40"/>
                        </w:rPr>
                      </w:pPr>
                    </w:p>
                  </w:txbxContent>
                </v:textbox>
              </v:shape>
            </w:pict>
          </mc:Fallback>
        </mc:AlternateContent>
      </w: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rPr>
          <w:rFonts w:hint="eastAsia"/>
        </w:rPr>
      </w:pPr>
    </w:p>
    <w:p>
      <w:pPr>
        <w:spacing w:line="600" w:lineRule="auto"/>
        <w:jc w:val="left"/>
        <w:rPr>
          <w:rFonts w:hint="eastAsia" w:ascii="楷体_GB2312" w:hAnsi="楷体_GB2312" w:eastAsia="楷体_GB2312" w:cs="楷体_GB2312"/>
          <w:color w:val="000000"/>
          <w:sz w:val="40"/>
          <w:szCs w:val="40"/>
          <w:lang w:val="en-US" w:eastAsia="zh-CN"/>
        </w:rPr>
      </w:pPr>
      <w:r>
        <w:rPr>
          <w:rFonts w:hint="eastAsia" w:ascii="黑体" w:hAnsi="黑体" w:eastAsia="黑体" w:cs="黑体"/>
          <w:color w:val="000000"/>
          <w:sz w:val="40"/>
          <w:szCs w:val="40"/>
        </w:rPr>
        <w:t>预算代码</w:t>
      </w:r>
      <w:r>
        <w:rPr>
          <w:rFonts w:hint="eastAsia" w:ascii="楷体_GB2312" w:hAnsi="楷体_GB2312" w:eastAsia="楷体_GB2312" w:cs="楷体_GB2312"/>
          <w:color w:val="000000"/>
          <w:sz w:val="40"/>
          <w:szCs w:val="40"/>
        </w:rPr>
        <w:t>：</w:t>
      </w:r>
      <w:r>
        <w:rPr>
          <w:rFonts w:hint="eastAsia" w:ascii="楷体_GB2312" w:hAnsi="楷体_GB2312" w:eastAsia="楷体_GB2312" w:cs="楷体_GB2312"/>
          <w:color w:val="000000"/>
          <w:sz w:val="40"/>
          <w:szCs w:val="40"/>
          <w:lang w:val="en-US" w:eastAsia="zh-CN"/>
        </w:rPr>
        <w:t>807</w:t>
      </w:r>
    </w:p>
    <w:p>
      <w:pPr>
        <w:spacing w:line="600" w:lineRule="auto"/>
        <w:jc w:val="left"/>
        <w:rPr>
          <w:rFonts w:ascii="楷体_GB2312" w:hAnsi="楷体_GB2312" w:eastAsia="楷体_GB2312" w:cs="楷体_GB2312"/>
          <w:color w:val="000000"/>
          <w:sz w:val="40"/>
          <w:szCs w:val="40"/>
        </w:rPr>
      </w:pPr>
      <w:r>
        <w:rPr>
          <w:rFonts w:hint="eastAsia" w:ascii="黑体" w:hAnsi="黑体" w:eastAsia="黑体" w:cs="黑体"/>
          <w:color w:val="000000"/>
          <w:sz w:val="40"/>
          <w:szCs w:val="40"/>
        </w:rPr>
        <w:t>单位名称</w:t>
      </w:r>
      <w:r>
        <w:rPr>
          <w:rFonts w:hint="eastAsia" w:ascii="楷体_GB2312" w:hAnsi="楷体_GB2312" w:eastAsia="楷体_GB2312" w:cs="楷体_GB2312"/>
          <w:color w:val="000000"/>
          <w:sz w:val="40"/>
          <w:szCs w:val="40"/>
        </w:rPr>
        <w:t>：保定市徐水区消防救援大队</w:t>
      </w:r>
    </w:p>
    <w:p>
      <w:pPr>
        <w:spacing w:line="600" w:lineRule="auto"/>
        <w:jc w:val="left"/>
        <w:rPr>
          <w:rFonts w:hint="default" w:ascii="楷体_GB2312" w:hAnsi="楷体_GB2312" w:eastAsia="楷体_GB2312" w:cs="楷体_GB2312"/>
          <w:color w:val="000000"/>
          <w:sz w:val="40"/>
          <w:szCs w:val="40"/>
          <w:lang w:val="en-US" w:eastAsia="zh-CN"/>
        </w:rPr>
      </w:pPr>
    </w:p>
    <w:p>
      <w:pPr>
        <w:spacing w:line="600" w:lineRule="auto"/>
        <w:jc w:val="center"/>
        <w:rPr>
          <w:rFonts w:hint="eastAsia" w:ascii="楷体_GB2312" w:hAnsi="楷体_GB2312" w:eastAsia="楷体_GB2312" w:cs="楷体_GB2312"/>
          <w:color w:val="000000"/>
          <w:sz w:val="40"/>
          <w:szCs w:val="40"/>
        </w:rPr>
      </w:pPr>
    </w:p>
    <w:p>
      <w:pPr>
        <w:spacing w:line="600" w:lineRule="auto"/>
        <w:jc w:val="center"/>
        <w:rPr>
          <w:rFonts w:hint="eastAsia" w:ascii="楷体_GB2312" w:hAnsi="楷体_GB2312" w:eastAsia="楷体_GB2312" w:cs="楷体_GB2312"/>
          <w:color w:val="000000"/>
          <w:sz w:val="40"/>
          <w:szCs w:val="40"/>
        </w:rPr>
      </w:pPr>
    </w:p>
    <w:p>
      <w:pPr>
        <w:spacing w:line="600" w:lineRule="auto"/>
        <w:jc w:val="both"/>
        <w:rPr>
          <w:rFonts w:hint="eastAsia" w:ascii="楷体_GB2312" w:hAnsi="楷体_GB2312" w:eastAsia="楷体_GB2312" w:cs="楷体_GB2312"/>
          <w:color w:val="000000"/>
          <w:sz w:val="40"/>
          <w:szCs w:val="40"/>
        </w:rPr>
      </w:pPr>
    </w:p>
    <w:p>
      <w:pPr>
        <w:spacing w:line="600" w:lineRule="auto"/>
        <w:jc w:val="center"/>
        <w:rPr>
          <w:rFonts w:hint="eastAsia" w:ascii="楷体_GB2312" w:hAnsi="楷体_GB2312" w:eastAsia="楷体_GB2312" w:cs="楷体_GB2312"/>
          <w:color w:val="000000"/>
          <w:sz w:val="40"/>
          <w:szCs w:val="40"/>
        </w:rPr>
      </w:pPr>
      <w:r>
        <w:rPr>
          <w:rFonts w:hint="eastAsia" w:ascii="楷体_GB2312" w:hAnsi="楷体_GB2312" w:eastAsia="楷体_GB2312" w:cs="楷体_GB2312"/>
          <w:color w:val="000000"/>
          <w:sz w:val="40"/>
          <w:szCs w:val="40"/>
        </w:rPr>
        <w:t>二〇二四年</w:t>
      </w:r>
      <w:r>
        <w:rPr>
          <w:rFonts w:hint="eastAsia" w:ascii="楷体_GB2312" w:hAnsi="楷体_GB2312" w:eastAsia="楷体_GB2312" w:cs="楷体_GB2312"/>
          <w:color w:val="000000"/>
          <w:sz w:val="40"/>
          <w:szCs w:val="40"/>
          <w:lang w:val="en-US" w:eastAsia="zh-CN"/>
        </w:rPr>
        <w:t>十一</w:t>
      </w:r>
      <w:r>
        <w:rPr>
          <w:rFonts w:hint="eastAsia" w:ascii="楷体_GB2312" w:hAnsi="楷体_GB2312" w:eastAsia="楷体_GB2312" w:cs="楷体_GB2312"/>
          <w:color w:val="000000"/>
          <w:sz w:val="40"/>
          <w:szCs w:val="40"/>
        </w:rPr>
        <w:t>月</w:t>
      </w:r>
    </w:p>
    <w:p>
      <w:pPr>
        <w:rPr>
          <w:rFonts w:ascii="黑体" w:hAnsi="Times New Roman" w:eastAsia="黑体" w:cs="Times New Roman"/>
          <w:sz w:val="48"/>
          <w:szCs w:val="48"/>
        </w:rPr>
      </w:pPr>
      <w:r>
        <w:rPr>
          <w:rFonts w:hint="eastAsia" w:ascii="楷体_GB2312" w:hAnsi="楷体_GB2312" w:eastAsia="楷体_GB2312" w:cs="楷体_GB2312"/>
          <w:color w:val="000000"/>
          <w:sz w:val="40"/>
          <w:szCs w:val="40"/>
        </w:rPr>
        <w:br w:type="page"/>
      </w:r>
      <w:bookmarkStart w:id="0" w:name="_GoBack"/>
      <w:bookmarkEnd w:id="0"/>
    </w:p>
    <w:p>
      <w:pPr>
        <w:tabs>
          <w:tab w:val="left" w:pos="2728"/>
        </w:tabs>
        <w:jc w:val="center"/>
        <w:rPr>
          <w:rFonts w:ascii="黑体" w:hAnsi="Times New Roman" w:eastAsia="黑体" w:cs="Times New Roman"/>
          <w:sz w:val="44"/>
          <w:szCs w:val="44"/>
        </w:rPr>
      </w:pPr>
      <w:r>
        <w:rPr>
          <w:rFonts w:hint="eastAsia" w:ascii="黑体" w:hAnsi="Times New Roman" w:eastAsia="黑体" w:cs="Times New Roman"/>
          <w:sz w:val="44"/>
          <w:szCs w:val="44"/>
        </w:rPr>
        <w:t>目    录</w:t>
      </w:r>
    </w:p>
    <w:p>
      <w:pPr>
        <w:widowControl/>
        <w:spacing w:after="160" w:line="580" w:lineRule="exact"/>
        <w:ind w:firstLine="640" w:firstLineChars="200"/>
        <w:rPr>
          <w:rFonts w:ascii="Times New Roman" w:hAnsi="Times New Roman" w:eastAsia="黑体" w:cs="Times New Roman"/>
          <w:sz w:val="32"/>
          <w:szCs w:val="32"/>
        </w:rPr>
      </w:pPr>
    </w:p>
    <w:p>
      <w:pPr>
        <w:widowControl/>
        <w:spacing w:after="160" w:line="580" w:lineRule="exact"/>
        <w:ind w:firstLine="640" w:firstLineChars="200"/>
        <w:rPr>
          <w:rFonts w:ascii="Times New Roman" w:hAnsi="Times New Roman" w:eastAsia="仿宋_GB2312" w:cs="Times New Roman"/>
          <w:sz w:val="24"/>
          <w:szCs w:val="32"/>
        </w:rPr>
      </w:pPr>
      <w:r>
        <w:rPr>
          <w:rFonts w:ascii="Times New Roman" w:hAnsi="Times New Roman" w:eastAsia="黑体" w:cs="Times New Roman"/>
          <w:sz w:val="32"/>
          <w:szCs w:val="32"/>
        </w:rPr>
        <w:t>第一部分   部门概况</w:t>
      </w:r>
    </w:p>
    <w:p>
      <w:pPr>
        <w:widowControl/>
        <w:spacing w:after="160" w:line="580" w:lineRule="exact"/>
        <w:ind w:firstLine="1273" w:firstLineChars="398"/>
        <w:rPr>
          <w:rFonts w:ascii="Times New Roman" w:hAnsi="Times New Roman" w:eastAsia="仿宋_GB2312" w:cs="Times New Roman"/>
          <w:sz w:val="32"/>
          <w:szCs w:val="32"/>
        </w:rPr>
      </w:pPr>
      <w:r>
        <w:rPr>
          <w:rFonts w:ascii="Times New Roman" w:hAnsi="Times New Roman" w:eastAsia="仿宋_GB2312" w:cs="Times New Roman"/>
          <w:sz w:val="32"/>
          <w:szCs w:val="32"/>
        </w:rPr>
        <w:t>一、部门</w:t>
      </w:r>
      <w:r>
        <w:rPr>
          <w:rFonts w:hint="eastAsia" w:ascii="Times New Roman" w:hAnsi="Times New Roman" w:eastAsia="仿宋_GB2312" w:cs="Times New Roman"/>
          <w:sz w:val="32"/>
          <w:szCs w:val="32"/>
        </w:rPr>
        <w:t>职责</w:t>
      </w:r>
    </w:p>
    <w:p>
      <w:pPr>
        <w:widowControl/>
        <w:spacing w:after="160" w:line="580" w:lineRule="exact"/>
        <w:ind w:firstLine="1273" w:firstLineChars="398"/>
        <w:rPr>
          <w:rFonts w:ascii="Times New Roman" w:hAnsi="Times New Roman" w:eastAsia="仿宋_GB2312" w:cs="Times New Roman"/>
          <w:sz w:val="32"/>
          <w:szCs w:val="32"/>
        </w:rPr>
      </w:pPr>
      <w:r>
        <w:rPr>
          <w:rFonts w:ascii="Times New Roman" w:hAnsi="Times New Roman" w:eastAsia="仿宋_GB2312" w:cs="Times New Roman"/>
          <w:sz w:val="32"/>
          <w:szCs w:val="32"/>
        </w:rPr>
        <w:t>二、</w:t>
      </w:r>
      <w:r>
        <w:rPr>
          <w:rFonts w:hint="eastAsia" w:ascii="Times New Roman" w:hAnsi="Times New Roman" w:eastAsia="仿宋_GB2312" w:cs="Times New Roman"/>
          <w:sz w:val="32"/>
          <w:szCs w:val="32"/>
        </w:rPr>
        <w:t>机构设置</w:t>
      </w:r>
    </w:p>
    <w:p>
      <w:pPr>
        <w:widowControl/>
        <w:spacing w:after="160" w:line="58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第二部分</w:t>
      </w:r>
      <w:r>
        <w:rPr>
          <w:rFonts w:hint="eastAsia" w:ascii="Times New Roman" w:hAnsi="Times New Roman" w:eastAsia="黑体" w:cs="Times New Roman"/>
          <w:sz w:val="32"/>
          <w:szCs w:val="32"/>
        </w:rPr>
        <w:t xml:space="preserve">   2023年</w:t>
      </w:r>
      <w:r>
        <w:rPr>
          <w:rFonts w:ascii="Times New Roman" w:hAnsi="Times New Roman" w:eastAsia="黑体" w:cs="Times New Roman"/>
          <w:sz w:val="32"/>
          <w:szCs w:val="32"/>
        </w:rPr>
        <w:t>度部门决算报表</w:t>
      </w:r>
    </w:p>
    <w:p>
      <w:pPr>
        <w:widowControl/>
        <w:spacing w:after="160" w:line="580" w:lineRule="exact"/>
        <w:ind w:firstLine="1280" w:firstLineChars="400"/>
        <w:rPr>
          <w:rFonts w:ascii="Times New Roman" w:hAnsi="Times New Roman" w:eastAsia="仿宋_GB2312" w:cs="Times New Roman"/>
          <w:sz w:val="32"/>
          <w:szCs w:val="32"/>
        </w:rPr>
      </w:pPr>
      <w:r>
        <w:rPr>
          <w:rFonts w:ascii="Times New Roman" w:hAnsi="Times New Roman" w:eastAsia="仿宋_GB2312" w:cs="Times New Roman"/>
          <w:sz w:val="32"/>
          <w:szCs w:val="32"/>
        </w:rPr>
        <w:t>一、</w:t>
      </w:r>
      <w:r>
        <w:rPr>
          <w:rFonts w:hint="eastAsia" w:ascii="Times New Roman" w:hAnsi="Times New Roman" w:eastAsia="仿宋_GB2312" w:cs="Times New Roman"/>
          <w:sz w:val="32"/>
          <w:szCs w:val="32"/>
        </w:rPr>
        <w:t>收入支出决算总表</w:t>
      </w:r>
    </w:p>
    <w:p>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二、收入决算</w:t>
      </w:r>
      <w:r>
        <w:rPr>
          <w:rFonts w:hint="eastAsia" w:ascii="Times New Roman" w:hAnsi="Times New Roman" w:eastAsia="仿宋_GB2312" w:cs="Times New Roman"/>
          <w:sz w:val="32"/>
          <w:szCs w:val="32"/>
        </w:rPr>
        <w:t>表</w:t>
      </w:r>
    </w:p>
    <w:p>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三、支出决算</w:t>
      </w:r>
      <w:r>
        <w:rPr>
          <w:rFonts w:hint="eastAsia" w:ascii="Times New Roman" w:hAnsi="Times New Roman" w:eastAsia="仿宋_GB2312" w:cs="Times New Roman"/>
          <w:sz w:val="32"/>
          <w:szCs w:val="32"/>
        </w:rPr>
        <w:t>表</w:t>
      </w:r>
    </w:p>
    <w:p>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四、</w:t>
      </w:r>
      <w:r>
        <w:rPr>
          <w:rFonts w:hint="eastAsia" w:ascii="Times New Roman" w:hAnsi="Times New Roman" w:eastAsia="仿宋_GB2312" w:cs="Times New Roman"/>
          <w:sz w:val="32"/>
          <w:szCs w:val="32"/>
        </w:rPr>
        <w:t>财政拨款收入支出决算总表</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五、一般公共预算财政拨款支出决算表</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六、一般公共预算财政拨款基本支出决算明细表</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七、政府性基金预算财政拨款收入支出决算表</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八</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国有资本经营预算财政拨款支出决算表</w:t>
      </w:r>
    </w:p>
    <w:p>
      <w:pPr>
        <w:widowControl/>
        <w:spacing w:after="160" w:line="580" w:lineRule="exact"/>
        <w:ind w:left="640" w:firstLine="640" w:firstLineChars="200"/>
        <w:rPr>
          <w:rFonts w:ascii="Times New Roman" w:hAnsi="Times New Roman" w:eastAsia="仿宋_GB2312" w:cs="Times New Roman"/>
          <w:sz w:val="20"/>
          <w:szCs w:val="32"/>
        </w:rPr>
      </w:pPr>
      <w:r>
        <w:rPr>
          <w:rFonts w:hint="eastAsia" w:ascii="Times New Roman" w:hAnsi="Times New Roman" w:eastAsia="仿宋_GB2312" w:cs="Times New Roman"/>
          <w:sz w:val="32"/>
          <w:szCs w:val="32"/>
        </w:rPr>
        <w:t>九、财政拨款“三公”经费支出决算表</w:t>
      </w:r>
    </w:p>
    <w:p>
      <w:pPr>
        <w:widowControl/>
        <w:spacing w:after="160" w:line="58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 xml:space="preserve">第三部分   </w:t>
      </w:r>
      <w:r>
        <w:rPr>
          <w:rFonts w:hint="eastAsia" w:ascii="Times New Roman" w:hAnsi="Times New Roman" w:eastAsia="黑体" w:cs="Times New Roman"/>
          <w:sz w:val="32"/>
          <w:szCs w:val="32"/>
        </w:rPr>
        <w:t>2023年度</w:t>
      </w:r>
      <w:r>
        <w:rPr>
          <w:rFonts w:ascii="Times New Roman" w:hAnsi="Times New Roman" w:eastAsia="黑体" w:cs="Times New Roman"/>
          <w:sz w:val="32"/>
          <w:szCs w:val="32"/>
        </w:rPr>
        <w:t>部门决算情况说明</w:t>
      </w:r>
    </w:p>
    <w:p>
      <w:pPr>
        <w:widowControl/>
        <w:spacing w:after="160" w:line="580" w:lineRule="exact"/>
        <w:ind w:firstLine="1280" w:firstLineChars="400"/>
        <w:rPr>
          <w:rFonts w:ascii="Times New Roman" w:hAnsi="Times New Roman" w:eastAsia="仿宋_GB2312" w:cs="Times New Roman"/>
          <w:sz w:val="32"/>
          <w:szCs w:val="32"/>
        </w:rPr>
      </w:pPr>
      <w:r>
        <w:rPr>
          <w:rFonts w:ascii="Times New Roman" w:hAnsi="Times New Roman" w:eastAsia="仿宋_GB2312" w:cs="Times New Roman"/>
          <w:sz w:val="32"/>
          <w:szCs w:val="32"/>
        </w:rPr>
        <w:t>一、</w:t>
      </w:r>
      <w:r>
        <w:rPr>
          <w:rFonts w:hint="eastAsia" w:ascii="Times New Roman" w:hAnsi="Times New Roman" w:eastAsia="仿宋_GB2312" w:cs="Times New Roman"/>
          <w:sz w:val="32"/>
          <w:szCs w:val="32"/>
        </w:rPr>
        <w:t>收入支出决算总体情况说明</w:t>
      </w:r>
    </w:p>
    <w:p>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二、收入决算情况说明</w:t>
      </w:r>
    </w:p>
    <w:p>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三、支出决算情况说明</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四、财政拨款收入支出决算总体情况说明</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五、财政拨款“三公” 经费支出决算情况说明</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六、机关运行经费支出说明</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七、政府采购支出说明</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八、国有资产占用情况说明</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九、预算绩效情况说明</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十、其他需要说明的情况</w:t>
      </w:r>
    </w:p>
    <w:p>
      <w:pPr>
        <w:widowControl/>
        <w:spacing w:after="160" w:line="580" w:lineRule="exact"/>
        <w:ind w:firstLine="640" w:firstLineChars="200"/>
        <w:rPr>
          <w:rFonts w:ascii="Times New Roman" w:hAnsi="Times New Roman" w:eastAsia="黑体" w:cs="Times New Roman"/>
          <w:sz w:val="32"/>
          <w:szCs w:val="32"/>
        </w:rPr>
        <w:sectPr>
          <w:headerReference r:id="rId4" w:type="first"/>
          <w:footerReference r:id="rId6" w:type="first"/>
          <w:headerReference r:id="rId3" w:type="default"/>
          <w:footerReference r:id="rId5" w:type="default"/>
          <w:pgSz w:w="11906" w:h="16838"/>
          <w:pgMar w:top="1474" w:right="1531" w:bottom="1474" w:left="1531" w:header="851" w:footer="992" w:gutter="0"/>
          <w:pgBorders>
            <w:top w:val="none" w:sz="0" w:space="0"/>
            <w:left w:val="none" w:sz="0" w:space="0"/>
            <w:bottom w:val="none" w:sz="0" w:space="0"/>
            <w:right w:val="none" w:sz="0" w:space="0"/>
          </w:pgBorders>
          <w:cols w:space="0" w:num="1"/>
          <w:titlePg/>
          <w:docGrid w:type="lines" w:linePitch="312" w:charSpace="0"/>
        </w:sectPr>
      </w:pPr>
      <w:r>
        <w:rPr>
          <w:rFonts w:ascii="Times New Roman" w:hAnsi="Times New Roman" w:eastAsia="黑体" w:cs="Times New Roman"/>
          <w:sz w:val="32"/>
          <w:szCs w:val="32"/>
        </w:rPr>
        <w:t>第</w:t>
      </w:r>
      <w:r>
        <w:rPr>
          <w:rFonts w:hint="eastAsia" w:ascii="Times New Roman" w:hAnsi="Times New Roman" w:eastAsia="黑体" w:cs="Times New Roman"/>
          <w:sz w:val="32"/>
          <w:szCs w:val="32"/>
        </w:rPr>
        <w:t>四</w:t>
      </w:r>
      <w:r>
        <w:rPr>
          <w:rFonts w:ascii="Times New Roman" w:hAnsi="Times New Roman" w:eastAsia="黑体" w:cs="Times New Roman"/>
          <w:sz w:val="32"/>
          <w:szCs w:val="32"/>
        </w:rPr>
        <w:t>部分</w:t>
      </w:r>
      <w:r>
        <w:rPr>
          <w:rFonts w:hint="eastAsia" w:ascii="Times New Roman" w:hAnsi="Times New Roman" w:eastAsia="黑体" w:cs="Times New Roman"/>
          <w:sz w:val="32"/>
          <w:szCs w:val="32"/>
        </w:rPr>
        <w:t xml:space="preserve">  </w:t>
      </w:r>
      <w:r>
        <w:rPr>
          <w:rFonts w:ascii="Times New Roman" w:hAnsi="Times New Roman" w:eastAsia="黑体" w:cs="Times New Roman"/>
          <w:sz w:val="32"/>
          <w:szCs w:val="32"/>
        </w:rPr>
        <w:t>名词解释</w:t>
      </w:r>
    </w:p>
    <w:p>
      <w:pPr>
        <w:rPr>
          <w:rFonts w:hint="default" w:ascii="Arial" w:hAnsi="Arial" w:eastAsia="Arial" w:cs="Arial"/>
          <w:i w:val="0"/>
          <w:iCs w:val="0"/>
          <w:caps w:val="0"/>
          <w:color w:val="000000"/>
          <w:spacing w:val="0"/>
          <w:sz w:val="18"/>
          <w:szCs w:val="18"/>
          <w:highlight w:val="none"/>
          <w:shd w:val="clear" w:fill="FFFFFF"/>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eastAsia="Arial" w:cs="Arial"/>
          <w:i w:val="0"/>
          <w:iCs w:val="0"/>
          <w:caps w:val="0"/>
          <w:color w:val="000000"/>
          <w:spacing w:val="0"/>
          <w:sz w:val="18"/>
          <w:szCs w:val="18"/>
          <w:highlight w:val="none"/>
          <w:shd w:val="clear" w:fill="FFFFFF"/>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黑体" w:hAnsi="宋体" w:eastAsia="黑体" w:cs="黑体"/>
          <w:i w:val="0"/>
          <w:iCs w:val="0"/>
          <w:caps w:val="0"/>
          <w:color w:val="000000"/>
          <w:spacing w:val="0"/>
          <w:sz w:val="72"/>
          <w:szCs w:val="72"/>
          <w:highlight w:val="none"/>
          <w:shd w:val="clear" w:fill="FFFFFF"/>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黑体" w:hAnsi="宋体" w:eastAsia="黑体" w:cs="黑体"/>
          <w:i w:val="0"/>
          <w:iCs w:val="0"/>
          <w:caps w:val="0"/>
          <w:color w:val="000000"/>
          <w:spacing w:val="0"/>
          <w:sz w:val="72"/>
          <w:szCs w:val="72"/>
          <w:highlight w:val="none"/>
          <w:shd w:val="clear" w:fill="FFFFFF"/>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黑体" w:hAnsi="宋体" w:eastAsia="黑体" w:cs="黑体"/>
          <w:i w:val="0"/>
          <w:iCs w:val="0"/>
          <w:caps w:val="0"/>
          <w:color w:val="000000"/>
          <w:spacing w:val="0"/>
          <w:sz w:val="72"/>
          <w:szCs w:val="72"/>
          <w:highlight w:val="none"/>
          <w:shd w:val="clear" w:fill="FFFFFF"/>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eastAsia" w:ascii="黑体" w:hAnsi="宋体" w:eastAsia="黑体" w:cs="黑体"/>
          <w:i w:val="0"/>
          <w:iCs w:val="0"/>
          <w:caps w:val="0"/>
          <w:color w:val="000000"/>
          <w:spacing w:val="0"/>
          <w:sz w:val="72"/>
          <w:szCs w:val="72"/>
          <w:highlight w:val="none"/>
          <w:shd w:val="clear" w:fill="FFFFFF"/>
        </w:rPr>
        <w:t xml:space="preserve">第一部分  </w:t>
      </w:r>
      <w:r>
        <w:rPr>
          <w:rFonts w:hint="eastAsia" w:ascii="黑体" w:hAnsi="宋体" w:eastAsia="黑体" w:cs="黑体"/>
          <w:i w:val="0"/>
          <w:iCs w:val="0"/>
          <w:caps w:val="0"/>
          <w:color w:val="000000"/>
          <w:spacing w:val="0"/>
          <w:sz w:val="72"/>
          <w:szCs w:val="72"/>
          <w:highlight w:val="none"/>
          <w:shd w:val="clear" w:fill="FFFFFF"/>
          <w:lang w:eastAsia="zh-CN"/>
        </w:rPr>
        <w:t>部门</w:t>
      </w:r>
      <w:r>
        <w:rPr>
          <w:rFonts w:hint="eastAsia" w:ascii="黑体" w:hAnsi="宋体" w:eastAsia="黑体" w:cs="黑体"/>
          <w:i w:val="0"/>
          <w:iCs w:val="0"/>
          <w:caps w:val="0"/>
          <w:color w:val="000000"/>
          <w:spacing w:val="0"/>
          <w:sz w:val="72"/>
          <w:szCs w:val="72"/>
          <w:highlight w:val="none"/>
          <w:shd w:val="clear" w:fill="FFFFFF"/>
        </w:rPr>
        <w:t>概况</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rPr>
          <w:rFonts w:hint="eastAsia" w:ascii="黑体" w:hAnsi="宋体" w:eastAsia="黑体" w:cs="黑体"/>
          <w:i w:val="0"/>
          <w:iCs w:val="0"/>
          <w:caps w:val="0"/>
          <w:color w:val="000000"/>
          <w:spacing w:val="0"/>
          <w:sz w:val="33"/>
          <w:szCs w:val="33"/>
          <w:highlight w:val="none"/>
          <w:shd w:val="clear" w:fill="FFFFFF"/>
        </w:rPr>
      </w:pPr>
      <w:r>
        <w:rPr>
          <w:rFonts w:hint="eastAsia" w:ascii="黑体" w:hAnsi="宋体" w:eastAsia="黑体" w:cs="黑体"/>
          <w:i w:val="0"/>
          <w:iCs w:val="0"/>
          <w:caps w:val="0"/>
          <w:color w:val="000000"/>
          <w:spacing w:val="0"/>
          <w:sz w:val="33"/>
          <w:szCs w:val="33"/>
          <w:highlight w:val="none"/>
          <w:shd w:val="clear" w:fill="FFFFFF"/>
        </w:rPr>
        <w:br w:type="page"/>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outlineLvl w:val="1"/>
        <w:rPr>
          <w:rFonts w:hint="default" w:ascii="Arial" w:hAnsi="Arial" w:eastAsia="Arial" w:cs="Arial"/>
          <w:i w:val="0"/>
          <w:iCs w:val="0"/>
          <w:caps w:val="0"/>
          <w:color w:val="000000"/>
          <w:spacing w:val="0"/>
          <w:sz w:val="32"/>
          <w:szCs w:val="32"/>
          <w:highlight w:val="none"/>
        </w:rPr>
      </w:pPr>
      <w:r>
        <w:rPr>
          <w:rFonts w:hint="eastAsia" w:ascii="黑体" w:hAnsi="宋体" w:eastAsia="黑体" w:cs="黑体"/>
          <w:i w:val="0"/>
          <w:iCs w:val="0"/>
          <w:caps w:val="0"/>
          <w:color w:val="000000"/>
          <w:spacing w:val="0"/>
          <w:sz w:val="32"/>
          <w:szCs w:val="32"/>
          <w:highlight w:val="none"/>
          <w:shd w:val="clear" w:fill="FFFFFF"/>
        </w:rPr>
        <w:t>一、</w:t>
      </w:r>
      <w:r>
        <w:rPr>
          <w:rFonts w:hint="eastAsia" w:ascii="黑体" w:hAnsi="宋体" w:eastAsia="黑体" w:cs="黑体"/>
          <w:i w:val="0"/>
          <w:iCs w:val="0"/>
          <w:caps w:val="0"/>
          <w:color w:val="000000"/>
          <w:spacing w:val="0"/>
          <w:sz w:val="32"/>
          <w:szCs w:val="32"/>
          <w:highlight w:val="none"/>
          <w:shd w:val="clear" w:fill="FFFFFF"/>
          <w:lang w:eastAsia="zh-CN"/>
        </w:rPr>
        <w:t>部门</w:t>
      </w:r>
      <w:r>
        <w:rPr>
          <w:rFonts w:hint="eastAsia" w:ascii="黑体" w:hAnsi="宋体" w:eastAsia="黑体" w:cs="黑体"/>
          <w:i w:val="0"/>
          <w:iCs w:val="0"/>
          <w:caps w:val="0"/>
          <w:color w:val="000000"/>
          <w:spacing w:val="0"/>
          <w:sz w:val="32"/>
          <w:szCs w:val="32"/>
          <w:highlight w:val="none"/>
          <w:shd w:val="clear" w:fill="FFFFFF"/>
        </w:rPr>
        <w:t>职责</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spacing w:line="580" w:lineRule="exact"/>
        <w:ind w:firstLine="640" w:firstLineChars="200"/>
        <w:rPr>
          <w:rFonts w:hint="eastAsia" w:ascii="仿宋_GB2312" w:eastAsia="仿宋_GB2312" w:cs="ArialUnicodeMS"/>
          <w:kern w:val="0"/>
          <w:sz w:val="32"/>
          <w:szCs w:val="32"/>
        </w:rPr>
      </w:pPr>
      <w:r>
        <w:rPr>
          <w:rFonts w:hint="eastAsia" w:ascii="仿宋_GB2312" w:eastAsia="仿宋_GB2312" w:cs="ArialUnicodeMS"/>
          <w:kern w:val="0"/>
          <w:sz w:val="32"/>
          <w:szCs w:val="32"/>
          <w:lang w:val="en-US" w:eastAsia="zh-CN"/>
        </w:rPr>
        <w:t xml:space="preserve">（一）承担城乡综合性消防救援工作，负责指挥调度相关灾害事故救援行动，承担重要会议、大型活动消防安全保卫工作。 </w:t>
      </w:r>
    </w:p>
    <w:p>
      <w:pPr>
        <w:spacing w:line="580" w:lineRule="exact"/>
        <w:ind w:firstLine="640" w:firstLineChars="200"/>
        <w:rPr>
          <w:rFonts w:hint="eastAsia" w:ascii="仿宋_GB2312" w:eastAsia="仿宋_GB2312" w:cs="ArialUnicodeMS"/>
          <w:kern w:val="0"/>
          <w:sz w:val="32"/>
          <w:szCs w:val="32"/>
        </w:rPr>
      </w:pPr>
      <w:r>
        <w:rPr>
          <w:rFonts w:hint="eastAsia" w:ascii="仿宋_GB2312" w:eastAsia="仿宋_GB2312" w:cs="ArialUnicodeMS"/>
          <w:kern w:val="0"/>
          <w:sz w:val="32"/>
          <w:szCs w:val="32"/>
          <w:lang w:val="en-US" w:eastAsia="zh-CN"/>
        </w:rPr>
        <w:t xml:space="preserve">（二）承担火灾预防、消防监督执法以及火灾事故调查处理 相关工作，依法行使消防安全综合监管职能，推动落实消防安全责任制。 </w:t>
      </w:r>
    </w:p>
    <w:p>
      <w:pPr>
        <w:spacing w:line="580" w:lineRule="exact"/>
        <w:ind w:firstLine="640" w:firstLineChars="200"/>
        <w:rPr>
          <w:rFonts w:hint="eastAsia" w:ascii="仿宋_GB2312" w:eastAsia="仿宋_GB2312" w:cs="ArialUnicodeMS"/>
          <w:kern w:val="0"/>
          <w:sz w:val="32"/>
          <w:szCs w:val="32"/>
        </w:rPr>
      </w:pPr>
      <w:r>
        <w:rPr>
          <w:rFonts w:hint="eastAsia" w:ascii="仿宋_GB2312" w:eastAsia="仿宋_GB2312" w:cs="ArialUnicodeMS"/>
          <w:kern w:val="0"/>
          <w:sz w:val="32"/>
          <w:szCs w:val="32"/>
          <w:lang w:val="en-US" w:eastAsia="zh-CN"/>
        </w:rPr>
        <w:t xml:space="preserve">（三）参与拟订消防专项规划，参与起草地方性消防法规、规章草案并监督实施。 </w:t>
      </w:r>
    </w:p>
    <w:p>
      <w:pPr>
        <w:spacing w:line="580" w:lineRule="exact"/>
        <w:ind w:firstLine="640" w:firstLineChars="200"/>
        <w:rPr>
          <w:rFonts w:hint="eastAsia" w:ascii="仿宋_GB2312" w:eastAsia="仿宋_GB2312" w:cs="ArialUnicodeMS"/>
          <w:kern w:val="0"/>
          <w:sz w:val="32"/>
          <w:szCs w:val="32"/>
        </w:rPr>
      </w:pPr>
      <w:r>
        <w:rPr>
          <w:rFonts w:hint="eastAsia" w:ascii="仿宋_GB2312" w:eastAsia="仿宋_GB2312" w:cs="ArialUnicodeMS"/>
          <w:kern w:val="0"/>
          <w:sz w:val="32"/>
          <w:szCs w:val="32"/>
          <w:lang w:val="en-US" w:eastAsia="zh-CN"/>
        </w:rPr>
        <w:t xml:space="preserve">（四）负责消防救援队伍综合性消防救援预案编制、战术研究和执勤备战、训练演练等工作。 </w:t>
      </w:r>
    </w:p>
    <w:p>
      <w:pPr>
        <w:spacing w:line="580" w:lineRule="exact"/>
        <w:ind w:firstLine="640" w:firstLineChars="200"/>
        <w:rPr>
          <w:rFonts w:hint="eastAsia" w:ascii="仿宋_GB2312" w:eastAsia="仿宋_GB2312" w:cs="ArialUnicodeMS"/>
          <w:kern w:val="0"/>
          <w:sz w:val="32"/>
          <w:szCs w:val="32"/>
        </w:rPr>
      </w:pPr>
      <w:r>
        <w:rPr>
          <w:rFonts w:hint="eastAsia" w:ascii="仿宋_GB2312" w:eastAsia="仿宋_GB2312" w:cs="ArialUnicodeMS"/>
          <w:kern w:val="0"/>
          <w:sz w:val="32"/>
          <w:szCs w:val="32"/>
          <w:lang w:val="en-US" w:eastAsia="zh-CN"/>
        </w:rPr>
        <w:t xml:space="preserve">（五）负责消防救援信息化和应急通信建设，承担综合性消防救援行动应急通信保障工作。 </w:t>
      </w:r>
    </w:p>
    <w:p>
      <w:pPr>
        <w:spacing w:line="580" w:lineRule="exact"/>
        <w:ind w:firstLine="640" w:firstLineChars="200"/>
        <w:rPr>
          <w:rFonts w:hint="eastAsia" w:ascii="仿宋_GB2312" w:eastAsia="仿宋_GB2312" w:cs="ArialUnicodeMS"/>
          <w:kern w:val="0"/>
          <w:sz w:val="32"/>
          <w:szCs w:val="32"/>
        </w:rPr>
      </w:pPr>
      <w:r>
        <w:rPr>
          <w:rFonts w:hint="eastAsia" w:ascii="仿宋_GB2312" w:eastAsia="仿宋_GB2312" w:cs="ArialUnicodeMS"/>
          <w:kern w:val="0"/>
          <w:sz w:val="32"/>
          <w:szCs w:val="32"/>
          <w:lang w:val="en-US" w:eastAsia="zh-CN"/>
        </w:rPr>
        <w:t xml:space="preserve">（六）负责消防安全宣传教育，组织指导社会消防力量建设。 </w:t>
      </w:r>
    </w:p>
    <w:p>
      <w:pPr>
        <w:spacing w:line="580" w:lineRule="exact"/>
        <w:ind w:firstLine="640" w:firstLineChars="200"/>
        <w:rPr>
          <w:rFonts w:hint="eastAsia" w:ascii="仿宋_GB2312" w:eastAsia="仿宋_GB2312" w:cs="ArialUnicodeMS"/>
          <w:kern w:val="0"/>
          <w:sz w:val="32"/>
          <w:szCs w:val="32"/>
        </w:rPr>
      </w:pPr>
      <w:r>
        <w:rPr>
          <w:rFonts w:hint="eastAsia" w:ascii="仿宋_GB2312" w:eastAsia="仿宋_GB2312" w:cs="ArialUnicodeMS"/>
          <w:kern w:val="0"/>
          <w:sz w:val="32"/>
          <w:szCs w:val="32"/>
          <w:lang w:val="en-US" w:eastAsia="zh-CN"/>
        </w:rPr>
        <w:t xml:space="preserve">（七）负责消防应急救援专业队伍规划、建设与调度指挥，参与组织协调动员各类社会救援力量参加救援任务。 </w:t>
      </w:r>
    </w:p>
    <w:p>
      <w:pPr>
        <w:spacing w:line="580" w:lineRule="exact"/>
        <w:ind w:firstLine="640" w:firstLineChars="200"/>
        <w:rPr>
          <w:rFonts w:hint="eastAsia" w:ascii="仿宋_GB2312" w:eastAsia="仿宋_GB2312" w:cs="ArialUnicodeMS"/>
          <w:kern w:val="0"/>
          <w:sz w:val="32"/>
          <w:szCs w:val="32"/>
        </w:rPr>
      </w:pPr>
      <w:r>
        <w:rPr>
          <w:rFonts w:hint="eastAsia" w:ascii="仿宋_GB2312" w:eastAsia="仿宋_GB2312" w:cs="ArialUnicodeMS"/>
          <w:kern w:val="0"/>
          <w:sz w:val="32"/>
          <w:szCs w:val="32"/>
          <w:lang w:val="en-US" w:eastAsia="zh-CN"/>
        </w:rPr>
        <w:t xml:space="preserve">（八）负责消防救援队伍建设与管理。 </w:t>
      </w:r>
    </w:p>
    <w:p>
      <w:pPr>
        <w:spacing w:line="580" w:lineRule="exact"/>
        <w:ind w:firstLine="640" w:firstLineChars="200"/>
        <w:rPr>
          <w:rFonts w:hint="default" w:ascii="仿宋_GB2312" w:eastAsia="仿宋_GB2312" w:cs="ArialUnicodeMS"/>
          <w:kern w:val="0"/>
          <w:sz w:val="32"/>
          <w:szCs w:val="32"/>
        </w:rPr>
      </w:pPr>
      <w:r>
        <w:rPr>
          <w:rFonts w:hint="eastAsia" w:ascii="仿宋_GB2312" w:eastAsia="仿宋_GB2312" w:cs="ArialUnicodeMS"/>
          <w:kern w:val="0"/>
          <w:sz w:val="32"/>
          <w:szCs w:val="32"/>
          <w:lang w:val="en-US" w:eastAsia="zh-CN"/>
        </w:rPr>
        <w:t>（九）完成应急管理部门和省、市、区党委政府交办的相关任务。</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outlineLvl w:val="1"/>
        <w:rPr>
          <w:rFonts w:hint="default" w:ascii="Arial" w:hAnsi="Arial" w:eastAsia="Arial" w:cs="Arial"/>
          <w:i w:val="0"/>
          <w:iCs w:val="0"/>
          <w:caps w:val="0"/>
          <w:color w:val="000000"/>
          <w:spacing w:val="0"/>
          <w:sz w:val="32"/>
          <w:szCs w:val="32"/>
          <w:highlight w:val="none"/>
        </w:rPr>
      </w:pPr>
      <w:r>
        <w:rPr>
          <w:rFonts w:hint="eastAsia" w:ascii="黑体" w:hAnsi="宋体" w:eastAsia="黑体" w:cs="黑体"/>
          <w:i w:val="0"/>
          <w:iCs w:val="0"/>
          <w:caps w:val="0"/>
          <w:color w:val="000000"/>
          <w:spacing w:val="0"/>
          <w:sz w:val="32"/>
          <w:szCs w:val="32"/>
          <w:highlight w:val="none"/>
          <w:shd w:val="clear" w:fill="FFFFFF"/>
        </w:rPr>
        <w:t>二、机构设置</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40" w:firstLineChars="200"/>
        <w:jc w:val="left"/>
        <w:rPr>
          <w:rFonts w:hint="default" w:ascii="仿宋_GB2312" w:hAnsi="仿宋_GB2312" w:eastAsia="仿宋_GB2312" w:cs="仿宋_GB2312"/>
          <w:i w:val="0"/>
          <w:iCs w:val="0"/>
          <w:caps w:val="0"/>
          <w:color w:val="auto"/>
          <w:spacing w:val="0"/>
          <w:sz w:val="32"/>
          <w:szCs w:val="32"/>
          <w:highlight w:val="none"/>
          <w:shd w:val="clear" w:fill="FFFFFF"/>
        </w:rPr>
      </w:pPr>
      <w:r>
        <w:rPr>
          <w:rFonts w:hint="default" w:ascii="仿宋_GB2312" w:hAnsi="仿宋_GB2312" w:eastAsia="仿宋_GB2312" w:cs="仿宋_GB2312"/>
          <w:i w:val="0"/>
          <w:iCs w:val="0"/>
          <w:caps w:val="0"/>
          <w:color w:val="auto"/>
          <w:spacing w:val="0"/>
          <w:sz w:val="32"/>
          <w:szCs w:val="32"/>
          <w:highlight w:val="none"/>
          <w:shd w:val="clear" w:fill="FFFFFF"/>
        </w:rPr>
        <w:t>从决算编报</w:t>
      </w:r>
      <w:r>
        <w:rPr>
          <w:rFonts w:hint="eastAsia" w:ascii="仿宋_GB2312" w:hAnsi="仿宋_GB2312" w:eastAsia="仿宋_GB2312" w:cs="仿宋_GB2312"/>
          <w:i w:val="0"/>
          <w:iCs w:val="0"/>
          <w:caps w:val="0"/>
          <w:color w:val="auto"/>
          <w:spacing w:val="0"/>
          <w:sz w:val="32"/>
          <w:szCs w:val="32"/>
          <w:highlight w:val="none"/>
          <w:shd w:val="clear" w:fill="FFFFFF"/>
          <w:lang w:val="en-US" w:eastAsia="zh-CN"/>
        </w:rPr>
        <w:t>单位</w:t>
      </w:r>
      <w:r>
        <w:rPr>
          <w:rFonts w:hint="default" w:ascii="仿宋_GB2312" w:hAnsi="仿宋_GB2312" w:eastAsia="仿宋_GB2312" w:cs="仿宋_GB2312"/>
          <w:i w:val="0"/>
          <w:iCs w:val="0"/>
          <w:caps w:val="0"/>
          <w:color w:val="auto"/>
          <w:spacing w:val="0"/>
          <w:sz w:val="32"/>
          <w:szCs w:val="32"/>
          <w:highlight w:val="none"/>
          <w:shd w:val="clear" w:fill="FFFFFF"/>
        </w:rPr>
        <w:t>构成看，纳入</w:t>
      </w:r>
      <w:r>
        <w:rPr>
          <w:rFonts w:hint="eastAsia" w:ascii="仿宋_GB2312" w:hAnsi="仿宋_GB2312" w:eastAsia="仿宋_GB2312" w:cs="仿宋_GB2312"/>
          <w:i w:val="0"/>
          <w:iCs w:val="0"/>
          <w:caps w:val="0"/>
          <w:color w:val="auto"/>
          <w:spacing w:val="0"/>
          <w:sz w:val="32"/>
          <w:szCs w:val="32"/>
          <w:highlight w:val="none"/>
          <w:shd w:val="clear" w:fill="FFFFFF"/>
          <w:lang w:val="en-US" w:eastAsia="zh-CN"/>
        </w:rPr>
        <w:t>2023</w:t>
      </w:r>
      <w:r>
        <w:rPr>
          <w:rFonts w:hint="default" w:ascii="仿宋_GB2312" w:hAnsi="仿宋_GB2312" w:eastAsia="仿宋_GB2312" w:cs="仿宋_GB2312"/>
          <w:i w:val="0"/>
          <w:iCs w:val="0"/>
          <w:caps w:val="0"/>
          <w:color w:val="auto"/>
          <w:spacing w:val="0"/>
          <w:sz w:val="32"/>
          <w:szCs w:val="32"/>
          <w:highlight w:val="none"/>
          <w:shd w:val="clear" w:fill="FFFFFF"/>
        </w:rPr>
        <w:t>年度</w:t>
      </w:r>
      <w:r>
        <w:rPr>
          <w:rFonts w:hint="eastAsia" w:ascii="仿宋_GB2312" w:hAnsi="仿宋_GB2312" w:eastAsia="仿宋_GB2312" w:cs="仿宋_GB2312"/>
          <w:i w:val="0"/>
          <w:iCs w:val="0"/>
          <w:caps w:val="0"/>
          <w:color w:val="auto"/>
          <w:spacing w:val="0"/>
          <w:sz w:val="32"/>
          <w:szCs w:val="32"/>
          <w:highlight w:val="none"/>
          <w:shd w:val="clear" w:fill="FFFFFF"/>
          <w:lang w:val="en-US" w:eastAsia="zh-CN"/>
        </w:rPr>
        <w:t>本部门</w:t>
      </w:r>
      <w:r>
        <w:rPr>
          <w:rFonts w:hint="default" w:ascii="仿宋_GB2312" w:hAnsi="仿宋_GB2312" w:eastAsia="仿宋_GB2312" w:cs="仿宋_GB2312"/>
          <w:i w:val="0"/>
          <w:iCs w:val="0"/>
          <w:caps w:val="0"/>
          <w:color w:val="auto"/>
          <w:spacing w:val="0"/>
          <w:sz w:val="32"/>
          <w:szCs w:val="32"/>
          <w:highlight w:val="none"/>
          <w:shd w:val="clear" w:fill="FFFFFF"/>
        </w:rPr>
        <w:t>决算汇编范围的独立核算</w:t>
      </w:r>
      <w:r>
        <w:rPr>
          <w:rFonts w:hint="eastAsia" w:ascii="仿宋_GB2312" w:hAnsi="仿宋_GB2312" w:eastAsia="仿宋_GB2312" w:cs="仿宋_GB2312"/>
          <w:i w:val="0"/>
          <w:iCs w:val="0"/>
          <w:caps w:val="0"/>
          <w:color w:val="auto"/>
          <w:spacing w:val="0"/>
          <w:sz w:val="32"/>
          <w:szCs w:val="32"/>
          <w:highlight w:val="none"/>
          <w:shd w:val="clear" w:fill="FFFFFF"/>
          <w:lang w:val="en-US" w:eastAsia="zh-CN"/>
        </w:rPr>
        <w:t>单位</w:t>
      </w:r>
      <w:r>
        <w:rPr>
          <w:rFonts w:hint="default" w:ascii="仿宋_GB2312" w:hAnsi="仿宋_GB2312" w:eastAsia="仿宋_GB2312" w:cs="仿宋_GB2312"/>
          <w:i w:val="0"/>
          <w:iCs w:val="0"/>
          <w:caps w:val="0"/>
          <w:color w:val="auto"/>
          <w:spacing w:val="0"/>
          <w:sz w:val="32"/>
          <w:szCs w:val="32"/>
          <w:highlight w:val="none"/>
          <w:shd w:val="clear" w:fill="FFFFFF"/>
        </w:rPr>
        <w:t>（以下简称“</w:t>
      </w:r>
      <w:r>
        <w:rPr>
          <w:rFonts w:hint="eastAsia" w:ascii="仿宋_GB2312" w:hAnsi="仿宋_GB2312" w:eastAsia="仿宋_GB2312" w:cs="仿宋_GB2312"/>
          <w:i w:val="0"/>
          <w:iCs w:val="0"/>
          <w:caps w:val="0"/>
          <w:color w:val="auto"/>
          <w:spacing w:val="0"/>
          <w:sz w:val="32"/>
          <w:szCs w:val="32"/>
          <w:highlight w:val="none"/>
          <w:shd w:val="clear" w:fill="FFFFFF"/>
          <w:lang w:val="en-US" w:eastAsia="zh-CN"/>
        </w:rPr>
        <w:t>单位</w:t>
      </w:r>
      <w:r>
        <w:rPr>
          <w:rFonts w:hint="default" w:ascii="仿宋_GB2312" w:hAnsi="仿宋_GB2312" w:eastAsia="仿宋_GB2312" w:cs="仿宋_GB2312"/>
          <w:i w:val="0"/>
          <w:iCs w:val="0"/>
          <w:caps w:val="0"/>
          <w:color w:val="auto"/>
          <w:spacing w:val="0"/>
          <w:sz w:val="32"/>
          <w:szCs w:val="32"/>
          <w:highlight w:val="none"/>
          <w:shd w:val="clear" w:fill="FFFFFF"/>
        </w:rPr>
        <w:t xml:space="preserve">”）共 </w:t>
      </w:r>
      <w:r>
        <w:rPr>
          <w:rFonts w:hint="eastAsia" w:ascii="仿宋_GB2312" w:hAnsi="仿宋_GB2312" w:eastAsia="仿宋_GB2312" w:cs="仿宋_GB2312"/>
          <w:i w:val="0"/>
          <w:iCs w:val="0"/>
          <w:caps w:val="0"/>
          <w:color w:val="auto"/>
          <w:spacing w:val="0"/>
          <w:sz w:val="32"/>
          <w:szCs w:val="32"/>
          <w:highlight w:val="none"/>
          <w:shd w:val="clear" w:fill="FFFFFF"/>
          <w:lang w:val="en-US" w:eastAsia="zh-CN"/>
        </w:rPr>
        <w:t>1</w:t>
      </w:r>
      <w:r>
        <w:rPr>
          <w:rFonts w:hint="default" w:ascii="仿宋_GB2312" w:hAnsi="仿宋_GB2312" w:eastAsia="仿宋_GB2312" w:cs="仿宋_GB2312"/>
          <w:i w:val="0"/>
          <w:iCs w:val="0"/>
          <w:caps w:val="0"/>
          <w:color w:val="auto"/>
          <w:spacing w:val="0"/>
          <w:sz w:val="32"/>
          <w:szCs w:val="32"/>
          <w:highlight w:val="none"/>
          <w:shd w:val="clear" w:fill="FFFFFF"/>
        </w:rPr>
        <w:t>个，具体情况如下：</w:t>
      </w:r>
    </w:p>
    <w:tbl>
      <w:tblPr>
        <w:tblStyle w:val="11"/>
        <w:tblpPr w:leftFromText="180" w:rightFromText="180" w:vertAnchor="text" w:horzAnchor="page" w:tblpXSpec="center" w:tblpY="10"/>
        <w:tblOverlap w:val="never"/>
        <w:tblW w:w="95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
        <w:gridCol w:w="3485"/>
        <w:gridCol w:w="2445"/>
        <w:gridCol w:w="26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1" w:hRule="atLeast"/>
          <w:jc w:val="center"/>
        </w:trPr>
        <w:tc>
          <w:tcPr>
            <w:tcW w:w="985" w:type="dxa"/>
            <w:vAlign w:val="center"/>
          </w:tcPr>
          <w:p>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序号</w:t>
            </w:r>
          </w:p>
        </w:tc>
        <w:tc>
          <w:tcPr>
            <w:tcW w:w="3485" w:type="dxa"/>
            <w:vAlign w:val="center"/>
          </w:tcPr>
          <w:p>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单位名称</w:t>
            </w:r>
          </w:p>
        </w:tc>
        <w:tc>
          <w:tcPr>
            <w:tcW w:w="2445" w:type="dxa"/>
            <w:vAlign w:val="center"/>
          </w:tcPr>
          <w:p>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单位基本性质</w:t>
            </w:r>
          </w:p>
        </w:tc>
        <w:tc>
          <w:tcPr>
            <w:tcW w:w="2665" w:type="dxa"/>
            <w:vAlign w:val="center"/>
          </w:tcPr>
          <w:p>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经费形式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5" w:type="dxa"/>
            <w:vAlign w:val="top"/>
          </w:tcPr>
          <w:p>
            <w:pPr>
              <w:spacing w:line="560" w:lineRule="exact"/>
              <w:jc w:val="center"/>
              <w:rPr>
                <w:rFonts w:ascii="仿宋_GB2312" w:eastAsia="仿宋_GB2312" w:cs="ArialUnicodeMS" w:hAnsiTheme="minorHAnsi"/>
                <w:color w:val="auto"/>
                <w:kern w:val="0"/>
                <w:sz w:val="28"/>
                <w:szCs w:val="28"/>
                <w:lang w:val="en-US" w:eastAsia="zh-CN" w:bidi="ar-SA"/>
              </w:rPr>
            </w:pPr>
            <w:r>
              <w:rPr>
                <w:rFonts w:hint="eastAsia" w:ascii="仿宋_GB2312" w:eastAsia="仿宋_GB2312" w:cs="ArialUnicodeMS"/>
                <w:kern w:val="0"/>
                <w:sz w:val="28"/>
                <w:szCs w:val="28"/>
              </w:rPr>
              <w:t>1</w:t>
            </w:r>
          </w:p>
        </w:tc>
        <w:tc>
          <w:tcPr>
            <w:tcW w:w="3485" w:type="dxa"/>
            <w:vAlign w:val="top"/>
          </w:tcPr>
          <w:p>
            <w:pPr>
              <w:spacing w:line="560" w:lineRule="exact"/>
              <w:rPr>
                <w:rFonts w:ascii="仿宋_GB2312" w:eastAsia="仿宋_GB2312" w:cs="ArialUnicodeMS" w:hAnsiTheme="minorHAnsi"/>
                <w:color w:val="auto"/>
                <w:kern w:val="0"/>
                <w:sz w:val="28"/>
                <w:szCs w:val="28"/>
                <w:lang w:val="en-US" w:eastAsia="zh-CN" w:bidi="ar-SA"/>
              </w:rPr>
            </w:pPr>
            <w:r>
              <w:rPr>
                <w:rFonts w:hint="eastAsia" w:ascii="仿宋_GB2312" w:eastAsia="仿宋_GB2312" w:cs="ArialUnicodeMS"/>
                <w:kern w:val="0"/>
                <w:sz w:val="28"/>
                <w:szCs w:val="28"/>
                <w:lang w:val="en-US" w:eastAsia="zh-CN"/>
              </w:rPr>
              <w:t>保定市徐水区消防救援大队</w:t>
            </w:r>
            <w:r>
              <w:rPr>
                <w:rFonts w:hint="eastAsia" w:ascii="仿宋_GB2312" w:eastAsia="仿宋_GB2312" w:cs="ArialUnicodeMS"/>
                <w:kern w:val="0"/>
                <w:sz w:val="28"/>
                <w:szCs w:val="28"/>
              </w:rPr>
              <w:t>(本级)</w:t>
            </w:r>
          </w:p>
        </w:tc>
        <w:tc>
          <w:tcPr>
            <w:tcW w:w="2445" w:type="dxa"/>
            <w:vAlign w:val="top"/>
          </w:tcPr>
          <w:p>
            <w:pPr>
              <w:spacing w:line="560" w:lineRule="exact"/>
              <w:jc w:val="center"/>
              <w:rPr>
                <w:rFonts w:hint="default" w:ascii="仿宋_GB2312" w:eastAsia="仿宋_GB2312" w:cs="ArialUnicodeMS" w:hAnsiTheme="minorHAnsi"/>
                <w:color w:val="auto"/>
                <w:kern w:val="0"/>
                <w:sz w:val="28"/>
                <w:szCs w:val="28"/>
                <w:lang w:val="en-US" w:eastAsia="zh-CN" w:bidi="ar-SA"/>
              </w:rPr>
            </w:pPr>
            <w:r>
              <w:rPr>
                <w:rFonts w:hint="eastAsia" w:ascii="仿宋_GB2312" w:eastAsia="仿宋_GB2312" w:cs="ArialUnicodeMS"/>
                <w:kern w:val="0"/>
                <w:sz w:val="28"/>
                <w:szCs w:val="28"/>
                <w:lang w:val="en-US" w:eastAsia="zh-CN"/>
              </w:rPr>
              <w:t>行政单位</w:t>
            </w:r>
          </w:p>
        </w:tc>
        <w:tc>
          <w:tcPr>
            <w:tcW w:w="2665" w:type="dxa"/>
            <w:vAlign w:val="top"/>
          </w:tcPr>
          <w:p>
            <w:pPr>
              <w:spacing w:line="560" w:lineRule="exact"/>
              <w:jc w:val="center"/>
              <w:rPr>
                <w:rFonts w:ascii="仿宋_GB2312" w:eastAsia="仿宋_GB2312" w:cs="ArialUnicodeMS" w:hAnsiTheme="minorHAnsi"/>
                <w:color w:val="auto"/>
                <w:kern w:val="0"/>
                <w:sz w:val="28"/>
                <w:szCs w:val="28"/>
                <w:lang w:val="en-US" w:eastAsia="zh-CN" w:bidi="ar-SA"/>
              </w:rPr>
            </w:pPr>
            <w:r>
              <w:rPr>
                <w:rFonts w:hint="eastAsia" w:ascii="仿宋_GB2312" w:eastAsia="仿宋_GB2312" w:cs="ArialUnicodeMS"/>
                <w:kern w:val="0"/>
                <w:sz w:val="28"/>
                <w:szCs w:val="28"/>
              </w:rPr>
              <w:t>财政拨款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9580" w:type="dxa"/>
            <w:gridSpan w:val="4"/>
            <w:tcBorders>
              <w:top w:val="single" w:color="auto" w:sz="4" w:space="0"/>
              <w:left w:val="nil"/>
              <w:bottom w:val="nil"/>
              <w:right w:val="nil"/>
            </w:tcBorders>
          </w:tcPr>
          <w:p>
            <w:pPr>
              <w:spacing w:line="560" w:lineRule="exact"/>
              <w:jc w:val="left"/>
            </w:pPr>
            <w:r>
              <w:rPr>
                <w:rFonts w:hint="eastAsia"/>
              </w:rPr>
              <w:t>注：1、单位基本性质分为行政单位、参公事业单位、财政补助事业单位、经费自理事业单位四类。</w:t>
            </w:r>
          </w:p>
          <w:p>
            <w:pPr>
              <w:numPr>
                <w:ilvl w:val="0"/>
                <w:numId w:val="2"/>
              </w:numPr>
              <w:spacing w:line="560" w:lineRule="exact"/>
              <w:ind w:firstLine="480" w:firstLineChars="200"/>
              <w:jc w:val="left"/>
            </w:pPr>
            <w:r>
              <w:rPr>
                <w:rFonts w:hint="eastAsia"/>
              </w:rPr>
              <w:t>经费形式分为财政拨款、财政性资金基本保证、财政性资金定额或定项补助、财政性资金零补助四类。</w:t>
            </w:r>
          </w:p>
        </w:tc>
      </w:tr>
    </w:tbl>
    <w:p>
      <w:pPr>
        <w:rPr>
          <w:rFonts w:hint="eastAsia" w:ascii="Times New Roman" w:hAnsi="Times New Roman" w:eastAsia="黑体" w:cs="Times New Roman"/>
          <w:sz w:val="32"/>
          <w:szCs w:val="32"/>
          <w:highlight w:val="yellow"/>
        </w:rPr>
      </w:pPr>
      <w:r>
        <w:rPr>
          <w:rFonts w:hint="eastAsia" w:ascii="Times New Roman" w:hAnsi="Times New Roman" w:eastAsia="黑体" w:cs="Times New Roman"/>
          <w:sz w:val="32"/>
          <w:szCs w:val="32"/>
          <w:highlight w:val="yellow"/>
        </w:rPr>
        <w:br w:type="page"/>
      </w:r>
    </w:p>
    <w:p>
      <w:pPr>
        <w:widowControl/>
        <w:spacing w:after="160" w:line="580" w:lineRule="exact"/>
        <w:ind w:firstLine="640" w:firstLineChars="200"/>
        <w:rPr>
          <w:rFonts w:hint="eastAsia" w:ascii="Times New Roman" w:hAnsi="Times New Roman" w:eastAsia="黑体" w:cs="Times New Roman"/>
          <w:sz w:val="32"/>
          <w:szCs w:val="32"/>
          <w:highlight w:val="yellow"/>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eastAsia="Arial" w:cs="Arial"/>
          <w:i w:val="0"/>
          <w:iCs w:val="0"/>
          <w:caps w:val="0"/>
          <w:color w:val="000000"/>
          <w:spacing w:val="0"/>
          <w:kern w:val="0"/>
          <w:sz w:val="18"/>
          <w:szCs w:val="18"/>
          <w:highlight w:val="none"/>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eastAsia="Arial" w:cs="Arial"/>
          <w:highlight w:val="none"/>
        </w:rPr>
      </w:pPr>
      <w:r>
        <w:rPr>
          <w:rFonts w:hint="default" w:ascii="Arial" w:hAnsi="Arial" w:eastAsia="Arial" w:cs="Arial"/>
          <w:i w:val="0"/>
          <w:iCs w:val="0"/>
          <w:caps w:val="0"/>
          <w:color w:val="000000"/>
          <w:spacing w:val="0"/>
          <w:kern w:val="0"/>
          <w:sz w:val="18"/>
          <w:szCs w:val="18"/>
          <w:highlight w:val="none"/>
          <w:shd w:val="clear" w:fill="FFFFFF"/>
          <w:lang w:val="en-US" w:eastAsia="zh-CN" w:bidi="ar"/>
        </w:rPr>
        <w:t> </w:t>
      </w: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outlineLvl w:val="0"/>
        <w:rPr>
          <w:rFonts w:hint="default" w:ascii="Arial" w:hAnsi="Arial" w:eastAsia="Arial" w:cs="Arial"/>
          <w:highlight w:val="none"/>
        </w:rPr>
      </w:pPr>
      <w:r>
        <w:rPr>
          <w:rFonts w:hint="eastAsia" w:ascii="黑体" w:hAnsi="宋体" w:eastAsia="黑体" w:cs="黑体"/>
          <w:i w:val="0"/>
          <w:iCs w:val="0"/>
          <w:caps w:val="0"/>
          <w:color w:val="000000"/>
          <w:spacing w:val="0"/>
          <w:sz w:val="72"/>
          <w:szCs w:val="72"/>
          <w:highlight w:val="none"/>
          <w:shd w:val="clear" w:fill="FFFFFF"/>
        </w:rPr>
        <w:t>第二部分</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eastAsia" w:ascii="黑体" w:hAnsi="宋体" w:eastAsia="黑体" w:cs="黑体"/>
          <w:i w:val="0"/>
          <w:iCs w:val="0"/>
          <w:caps w:val="0"/>
          <w:color w:val="000000"/>
          <w:spacing w:val="0"/>
          <w:sz w:val="72"/>
          <w:szCs w:val="72"/>
          <w:highlight w:val="none"/>
          <w:shd w:val="clear" w:fill="FFFFFF"/>
          <w:lang w:val="en-US" w:eastAsia="zh-CN"/>
        </w:rPr>
        <w:t>2023</w:t>
      </w:r>
      <w:r>
        <w:rPr>
          <w:rFonts w:hint="eastAsia" w:ascii="黑体" w:hAnsi="宋体" w:eastAsia="黑体" w:cs="黑体"/>
          <w:i w:val="0"/>
          <w:iCs w:val="0"/>
          <w:caps w:val="0"/>
          <w:color w:val="000000"/>
          <w:spacing w:val="0"/>
          <w:sz w:val="72"/>
          <w:szCs w:val="72"/>
          <w:highlight w:val="none"/>
          <w:shd w:val="clear" w:fill="FFFFFF"/>
        </w:rPr>
        <w:t>年</w:t>
      </w:r>
      <w:r>
        <w:rPr>
          <w:rFonts w:hint="eastAsia" w:ascii="黑体" w:hAnsi="宋体" w:eastAsia="黑体" w:cs="黑体"/>
          <w:i w:val="0"/>
          <w:iCs w:val="0"/>
          <w:caps w:val="0"/>
          <w:color w:val="000000"/>
          <w:spacing w:val="0"/>
          <w:sz w:val="72"/>
          <w:szCs w:val="72"/>
          <w:highlight w:val="none"/>
          <w:shd w:val="clear" w:fill="FFFFFF"/>
          <w:lang w:val="en-US" w:eastAsia="zh-CN"/>
        </w:rPr>
        <w:t>度</w:t>
      </w:r>
      <w:r>
        <w:rPr>
          <w:rFonts w:hint="eastAsia" w:ascii="黑体" w:hAnsi="宋体" w:eastAsia="黑体" w:cs="黑体"/>
          <w:i w:val="0"/>
          <w:iCs w:val="0"/>
          <w:caps w:val="0"/>
          <w:color w:val="000000"/>
          <w:spacing w:val="0"/>
          <w:sz w:val="72"/>
          <w:szCs w:val="72"/>
          <w:highlight w:val="none"/>
          <w:shd w:val="clear" w:fill="FFFFFF"/>
        </w:rPr>
        <w:t>部门决算报表</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仿宋_GB2312" w:hAnsi="仿宋_GB2312" w:eastAsia="仿宋_GB2312" w:cs="仿宋_GB2312"/>
          <w:i w:val="0"/>
          <w:iCs w:val="0"/>
          <w:caps w:val="0"/>
          <w:color w:val="FF0000"/>
          <w:spacing w:val="0"/>
          <w:sz w:val="33"/>
          <w:szCs w:val="33"/>
          <w:highlight w:val="none"/>
          <w:shd w:val="clear" w:fill="FFFFFF"/>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仿宋_GB2312" w:hAnsi="仿宋_GB2312" w:eastAsia="仿宋_GB2312" w:cs="仿宋_GB2312"/>
          <w:i w:val="0"/>
          <w:iCs w:val="0"/>
          <w:caps w:val="0"/>
          <w:color w:val="FF0000"/>
          <w:spacing w:val="0"/>
          <w:sz w:val="33"/>
          <w:szCs w:val="33"/>
          <w:highlight w:val="none"/>
          <w:shd w:val="clear" w:fill="FFFFFF"/>
        </w:rPr>
        <w:sectPr>
          <w:headerReference r:id="rId7" w:type="default"/>
          <w:pgSz w:w="11906" w:h="16838"/>
          <w:pgMar w:top="1531" w:right="1984" w:bottom="1531" w:left="2098" w:header="851" w:footer="992" w:gutter="0"/>
          <w:pgBorders>
            <w:top w:val="none" w:sz="0" w:space="0"/>
            <w:left w:val="none" w:sz="0" w:space="0"/>
            <w:bottom w:val="none" w:sz="0" w:space="0"/>
            <w:right w:val="none" w:sz="0" w:space="0"/>
          </w:pgBorders>
          <w:cols w:space="720" w:num="1"/>
          <w:docGrid w:type="lines" w:linePitch="312" w:charSpace="0"/>
        </w:sectPr>
      </w:pPr>
    </w:p>
    <w:tbl>
      <w:tblPr>
        <w:tblStyle w:val="11"/>
        <w:tblW w:w="7250" w:type="pct"/>
        <w:tblInd w:w="-181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346"/>
        <w:gridCol w:w="624"/>
        <w:gridCol w:w="611"/>
        <w:gridCol w:w="1317"/>
        <w:gridCol w:w="1628"/>
        <w:gridCol w:w="1547"/>
        <w:gridCol w:w="624"/>
        <w:gridCol w:w="1928"/>
        <w:gridCol w:w="3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361" w:hRule="atLeast"/>
        </w:trPr>
        <w:tc>
          <w:tcPr>
            <w:tcW w:w="4985" w:type="pct"/>
            <w:gridSpan w:val="8"/>
            <w:tcBorders>
              <w:top w:val="nil"/>
              <w:left w:val="nil"/>
              <w:bottom w:val="nil"/>
              <w:right w:val="nil"/>
            </w:tcBorders>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收入支出决算总表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357" w:hRule="atLeast"/>
        </w:trPr>
        <w:tc>
          <w:tcPr>
            <w:tcW w:w="4985" w:type="pct"/>
            <w:gridSpan w:val="8"/>
            <w:tcBorders>
              <w:top w:val="nil"/>
              <w:left w:val="nil"/>
              <w:bottom w:val="nil"/>
              <w:right w:val="nil"/>
            </w:tcBorders>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 公开</w:t>
            </w:r>
            <w:r>
              <w:rPr>
                <w:rFonts w:hint="eastAsia" w:ascii="Times New Roman" w:hAnsi="Times New Roman" w:eastAsia="宋体" w:cs="Times New Roman"/>
                <w:i w:val="0"/>
                <w:iCs w:val="0"/>
                <w:color w:val="000000"/>
                <w:sz w:val="20"/>
                <w:szCs w:val="20"/>
                <w:highlight w:val="none"/>
                <w:u w:val="none"/>
                <w:lang w:val="en-US" w:eastAsia="zh-CN"/>
              </w:rPr>
              <w:t>01</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351" w:hRule="atLeast"/>
        </w:trPr>
        <w:tc>
          <w:tcPr>
            <w:tcW w:w="1964" w:type="pct"/>
            <w:gridSpan w:val="3"/>
            <w:tcBorders>
              <w:top w:val="nil"/>
              <w:left w:val="nil"/>
              <w:bottom w:val="single" w:color="auto" w:sz="4" w:space="0"/>
              <w:right w:val="nil"/>
            </w:tcBorders>
            <w:noWrap/>
            <w:vAlign w:val="bottom"/>
          </w:tcPr>
          <w:p>
            <w:pPr>
              <w:jc w:val="both"/>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编制部门（单位）：保定市徐水区消防救援大队</w:t>
            </w:r>
          </w:p>
        </w:tc>
        <w:tc>
          <w:tcPr>
            <w:tcW w:w="1262" w:type="pct"/>
            <w:gridSpan w:val="2"/>
            <w:tcBorders>
              <w:top w:val="nil"/>
              <w:left w:val="nil"/>
              <w:bottom w:val="single" w:color="auto" w:sz="4" w:space="0"/>
              <w:right w:val="nil"/>
            </w:tcBorders>
            <w:noWrap/>
            <w:vAlign w:val="bottom"/>
          </w:tcPr>
          <w:p>
            <w:pPr>
              <w:jc w:val="center"/>
              <w:rPr>
                <w:rFonts w:hint="default" w:ascii="宋体" w:hAnsi="宋体" w:eastAsia="宋体" w:cs="宋体"/>
                <w:i w:val="0"/>
                <w:iCs w:val="0"/>
                <w:color w:val="000000"/>
                <w:kern w:val="0"/>
                <w:sz w:val="20"/>
                <w:szCs w:val="20"/>
                <w:highlight w:val="none"/>
                <w:u w:val="none"/>
                <w:lang w:val="en-US" w:eastAsia="zh-CN" w:bidi="ar"/>
              </w:rPr>
            </w:pPr>
            <w:r>
              <w:rPr>
                <w:rFonts w:hint="eastAsia" w:ascii="Times New Roman" w:hAnsi="Times New Roman" w:eastAsia="宋体" w:cs="Times New Roman"/>
                <w:i w:val="0"/>
                <w:iCs w:val="0"/>
                <w:color w:val="000000"/>
                <w:sz w:val="20"/>
                <w:szCs w:val="20"/>
                <w:highlight w:val="none"/>
                <w:u w:val="none"/>
                <w:lang w:val="en-US" w:eastAsia="zh-CN"/>
              </w:rPr>
              <w:t>2023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757" w:type="pct"/>
            <w:gridSpan w:val="3"/>
            <w:tcBorders>
              <w:top w:val="nil"/>
              <w:left w:val="nil"/>
              <w:bottom w:val="single" w:color="auto" w:sz="4" w:space="0"/>
              <w:right w:val="nil"/>
            </w:tcBorders>
            <w:noWrap/>
            <w:vAlign w:val="bottom"/>
          </w:tcPr>
          <w:p>
            <w:pPr>
              <w:jc w:val="right"/>
              <w:rPr>
                <w:rFonts w:hint="default" w:ascii="宋体" w:hAnsi="宋体" w:eastAsia="宋体" w:cs="宋体"/>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544" w:hRule="atLeast"/>
        </w:trPr>
        <w:tc>
          <w:tcPr>
            <w:tcW w:w="2529" w:type="pct"/>
            <w:gridSpan w:val="4"/>
            <w:tcBorders>
              <w:top w:val="single" w:color="auto"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收入</w:t>
            </w:r>
          </w:p>
        </w:tc>
        <w:tc>
          <w:tcPr>
            <w:tcW w:w="2456" w:type="pct"/>
            <w:gridSpan w:val="4"/>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支出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308" w:hRule="atLeast"/>
        </w:trPr>
        <w:tc>
          <w:tcPr>
            <w:tcW w:w="1434"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826"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决算数</w:t>
            </w: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82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决算数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267" w:type="pct"/>
            <w:tcBorders>
              <w:top w:val="nil"/>
              <w:left w:val="nil"/>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0"/>
                <w:szCs w:val="20"/>
                <w:highlight w:val="none"/>
                <w:u w:val="none"/>
              </w:rPr>
            </w:pPr>
          </w:p>
        </w:tc>
        <w:tc>
          <w:tcPr>
            <w:tcW w:w="826"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Times New Roman" w:hAnsi="Times New Roman" w:eastAsia="宋体" w:cs="Times New Roman"/>
                <w:i w:val="0"/>
                <w:iCs w:val="0"/>
                <w:color w:val="000000"/>
                <w:sz w:val="20"/>
                <w:szCs w:val="20"/>
                <w:highlight w:val="none"/>
                <w:u w:val="none"/>
                <w:lang w:val="en-US" w:eastAsia="zh-CN"/>
              </w:rPr>
              <w:t>1</w:t>
            </w: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267" w:type="pct"/>
            <w:tcBorders>
              <w:top w:val="nil"/>
              <w:left w:val="nil"/>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0"/>
                <w:szCs w:val="20"/>
                <w:highlight w:val="none"/>
                <w:u w:val="none"/>
              </w:rPr>
            </w:pPr>
          </w:p>
        </w:tc>
        <w:tc>
          <w:tcPr>
            <w:tcW w:w="82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Times New Roman" w:hAnsi="Times New Roman" w:eastAsia="宋体" w:cs="Times New Roman"/>
                <w:i w:val="0"/>
                <w:iCs w:val="0"/>
                <w:color w:val="000000"/>
                <w:sz w:val="20"/>
                <w:szCs w:val="20"/>
                <w:highlight w:val="none"/>
                <w:u w:val="none"/>
                <w:lang w:val="en-US" w:eastAsia="zh-CN"/>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一、一般公共预算财政拨款收入</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宋体" w:hAnsi="宋体" w:eastAsia="宋体" w:cs="宋体"/>
                <w:i w:val="0"/>
                <w:iCs w:val="0"/>
                <w:color w:val="000000"/>
                <w:sz w:val="20"/>
                <w:szCs w:val="20"/>
                <w:highlight w:val="none"/>
                <w:u w:val="none"/>
                <w:lang w:val="en-US" w:eastAsia="zh-CN"/>
              </w:rPr>
              <w:t>1</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1,259.99</w:t>
            </w: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一、一般公共服务支出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32</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二、政府性基金预算财政拨款收入</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二、外交支出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33</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三、国有资本经营预算财政拨款收入</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三、国防支出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34</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四、上级补助收入</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四、公共安全支出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35</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五、事业收入</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五、教育支出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36</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六、经营收入</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六、科学技术支出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37</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七、附属单位上缴收入</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7</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七、文化旅游体育与传媒支出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38</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八、其他收入</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8</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八、社会保障和就业支出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39</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9</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九、卫生健康支出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eastAsia="zh-CN"/>
              </w:rPr>
            </w:pPr>
            <w:r>
              <w:rPr>
                <w:rFonts w:hint="default" w:ascii="Times New Roman" w:hAnsi="Times New Roman" w:eastAsia="宋体" w:cs="Times New Roman"/>
                <w:i w:val="0"/>
                <w:iCs w:val="0"/>
                <w:color w:val="000000"/>
                <w:sz w:val="20"/>
                <w:szCs w:val="20"/>
                <w:highlight w:val="none"/>
                <w:u w:val="none"/>
                <w:lang w:val="en-US" w:eastAsia="zh-CN"/>
              </w:rPr>
              <w:t>40</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10</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十、节能环保支出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41</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11</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十一、城乡社区支出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42</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12</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十二、农林水支出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43</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13</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十三、交通运输支出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44</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auto"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auto"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14</w:t>
            </w:r>
          </w:p>
        </w:tc>
        <w:tc>
          <w:tcPr>
            <w:tcW w:w="826" w:type="pct"/>
            <w:gridSpan w:val="2"/>
            <w:tcBorders>
              <w:top w:val="nil"/>
              <w:left w:val="nil"/>
              <w:bottom w:val="single" w:color="auto"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auto"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十四、资源勘探工业信息等支出</w:t>
            </w:r>
          </w:p>
        </w:tc>
        <w:tc>
          <w:tcPr>
            <w:tcW w:w="267" w:type="pct"/>
            <w:tcBorders>
              <w:top w:val="nil"/>
              <w:left w:val="nil"/>
              <w:bottom w:val="single" w:color="auto"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45</w:t>
            </w:r>
          </w:p>
        </w:tc>
        <w:tc>
          <w:tcPr>
            <w:tcW w:w="826" w:type="pct"/>
            <w:tcBorders>
              <w:top w:val="nil"/>
              <w:left w:val="nil"/>
              <w:bottom w:val="single" w:color="auto"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15</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十五、商业服务业等支出</w:t>
            </w:r>
          </w:p>
        </w:tc>
        <w:tc>
          <w:tcPr>
            <w:tcW w:w="267"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46</w:t>
            </w:r>
          </w:p>
        </w:tc>
        <w:tc>
          <w:tcPr>
            <w:tcW w:w="826"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16</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十六、金融支出</w:t>
            </w:r>
          </w:p>
        </w:tc>
        <w:tc>
          <w:tcPr>
            <w:tcW w:w="267"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47</w:t>
            </w:r>
          </w:p>
        </w:tc>
        <w:tc>
          <w:tcPr>
            <w:tcW w:w="826"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17</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十七、援助其他地区支出</w:t>
            </w:r>
          </w:p>
        </w:tc>
        <w:tc>
          <w:tcPr>
            <w:tcW w:w="267"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48</w:t>
            </w:r>
          </w:p>
        </w:tc>
        <w:tc>
          <w:tcPr>
            <w:tcW w:w="826"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18</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十八、自然资源海洋气象等支出</w:t>
            </w:r>
          </w:p>
        </w:tc>
        <w:tc>
          <w:tcPr>
            <w:tcW w:w="267"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49</w:t>
            </w:r>
          </w:p>
        </w:tc>
        <w:tc>
          <w:tcPr>
            <w:tcW w:w="826"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19</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十九、住房保障支出</w:t>
            </w:r>
          </w:p>
        </w:tc>
        <w:tc>
          <w:tcPr>
            <w:tcW w:w="267"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eastAsia="zh-CN"/>
              </w:rPr>
            </w:pPr>
            <w:r>
              <w:rPr>
                <w:rFonts w:hint="default" w:ascii="Times New Roman" w:hAnsi="Times New Roman" w:eastAsia="宋体" w:cs="Times New Roman"/>
                <w:i w:val="0"/>
                <w:iCs w:val="0"/>
                <w:color w:val="000000"/>
                <w:sz w:val="20"/>
                <w:szCs w:val="20"/>
                <w:highlight w:val="none"/>
                <w:u w:val="none"/>
                <w:lang w:val="en-US" w:eastAsia="zh-CN"/>
              </w:rPr>
              <w:t>50</w:t>
            </w:r>
          </w:p>
        </w:tc>
        <w:tc>
          <w:tcPr>
            <w:tcW w:w="826"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20</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二十、粮油物资储备支出</w:t>
            </w:r>
          </w:p>
        </w:tc>
        <w:tc>
          <w:tcPr>
            <w:tcW w:w="267"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51</w:t>
            </w:r>
          </w:p>
        </w:tc>
        <w:tc>
          <w:tcPr>
            <w:tcW w:w="826"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21</w:t>
            </w:r>
          </w:p>
        </w:tc>
        <w:tc>
          <w:tcPr>
            <w:tcW w:w="826" w:type="pct"/>
            <w:gridSpan w:val="2"/>
            <w:tcBorders>
              <w:top w:val="single" w:color="auto" w:sz="4" w:space="0"/>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二十一、国有资本经营预算支出</w:t>
            </w:r>
          </w:p>
        </w:tc>
        <w:tc>
          <w:tcPr>
            <w:tcW w:w="267" w:type="pct"/>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52</w:t>
            </w:r>
          </w:p>
        </w:tc>
        <w:tc>
          <w:tcPr>
            <w:tcW w:w="826" w:type="pct"/>
            <w:tcBorders>
              <w:top w:val="single" w:color="auto" w:sz="4" w:space="0"/>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22</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二十二、灾害防治及应急管理支出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53</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1,259.99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23</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二十三、其他支出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54</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24</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二十四、债务还本支出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55</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25</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二十五、债务付息支出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56</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26</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二十六、抗疫特别国债安排的支出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57</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本年收入合计</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27</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1,259.99</w:t>
            </w: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本年支出合计</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58</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1,259.99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使用非财政拨款结余（含专用结余）</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28</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结余分配</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59</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年初结转和结余</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29</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年末结转和结余</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eastAsia="zh-CN"/>
              </w:rPr>
            </w:pPr>
            <w:r>
              <w:rPr>
                <w:rFonts w:hint="default" w:ascii="Times New Roman" w:hAnsi="Times New Roman" w:eastAsia="宋体" w:cs="Times New Roman"/>
                <w:i w:val="0"/>
                <w:iCs w:val="0"/>
                <w:color w:val="000000"/>
                <w:sz w:val="20"/>
                <w:szCs w:val="20"/>
                <w:highlight w:val="none"/>
                <w:u w:val="none"/>
                <w:lang w:val="en-US" w:eastAsia="zh-CN"/>
              </w:rPr>
              <w:t>60</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pP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30</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pP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61</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308" w:hRule="atLeast"/>
        </w:trPr>
        <w:tc>
          <w:tcPr>
            <w:tcW w:w="1434"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31</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1,259.99</w:t>
            </w: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62</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1,259.99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000" w:type="pct"/>
            <w:gridSpan w:val="9"/>
            <w:tcBorders>
              <w:top w:val="nil"/>
              <w:left w:val="nil"/>
              <w:bottom w:val="nil"/>
              <w:right w:val="nil"/>
            </w:tcBorders>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注：1.本表反映部门本年度的总收支和年末结转结余情况。2.本套报表金额转换时可能存在尾数误差。</w:t>
            </w:r>
          </w:p>
        </w:tc>
      </w:tr>
    </w:tbl>
    <w:p>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p>
      <w:pPr>
        <w:keepNext w:val="0"/>
        <w:keepLines w:val="0"/>
        <w:widowControl/>
        <w:suppressLineNumbers w:val="0"/>
        <w:jc w:val="center"/>
        <w:textAlignment w:val="bottom"/>
        <w:rPr>
          <w:rFonts w:hint="eastAsia" w:ascii="黑体" w:hAnsi="黑体" w:eastAsia="黑体" w:cs="宋体"/>
          <w:bCs/>
          <w:kern w:val="0"/>
          <w:sz w:val="32"/>
          <w:szCs w:val="32"/>
          <w:highlight w:val="none"/>
        </w:rPr>
      </w:pPr>
    </w:p>
    <w:tbl>
      <w:tblPr>
        <w:tblStyle w:val="11"/>
        <w:tblW w:w="923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040"/>
        <w:gridCol w:w="1160"/>
        <w:gridCol w:w="1037"/>
        <w:gridCol w:w="1037"/>
        <w:gridCol w:w="1037"/>
        <w:gridCol w:w="964"/>
        <w:gridCol w:w="367"/>
        <w:gridCol w:w="597"/>
        <w:gridCol w:w="1027"/>
        <w:gridCol w:w="96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jc w:val="center"/>
        </w:trPr>
        <w:tc>
          <w:tcPr>
            <w:tcW w:w="9230" w:type="dxa"/>
            <w:gridSpan w:val="10"/>
            <w:tcBorders>
              <w:top w:val="nil"/>
              <w:left w:val="nil"/>
              <w:bottom w:val="nil"/>
              <w:right w:val="nil"/>
            </w:tcBorders>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收入决算表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9230" w:type="dxa"/>
            <w:gridSpan w:val="10"/>
            <w:tcBorders>
              <w:top w:val="nil"/>
              <w:left w:val="nil"/>
              <w:bottom w:val="nil"/>
              <w:right w:val="nil"/>
            </w:tcBorders>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eastAsia" w:ascii="Times New Roman" w:hAnsi="Times New Roman" w:eastAsia="宋体" w:cs="Times New Roman"/>
                <w:i w:val="0"/>
                <w:iCs w:val="0"/>
                <w:color w:val="000000"/>
                <w:sz w:val="20"/>
                <w:szCs w:val="20"/>
                <w:highlight w:val="none"/>
                <w:u w:val="none"/>
                <w:lang w:val="en-US" w:eastAsia="zh-CN"/>
              </w:rPr>
              <w:t>02</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3237" w:type="dxa"/>
            <w:gridSpan w:val="3"/>
            <w:tcBorders>
              <w:top w:val="nil"/>
              <w:left w:val="nil"/>
              <w:bottom w:val="single" w:color="auto" w:sz="4" w:space="0"/>
              <w:right w:val="nil"/>
            </w:tcBorders>
            <w:noWrap/>
            <w:vAlign w:val="bottom"/>
          </w:tcPr>
          <w:p>
            <w:pP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编制部门（单位）：保定市徐水区消防救援大队                                                                                                         </w:t>
            </w:r>
          </w:p>
        </w:tc>
        <w:tc>
          <w:tcPr>
            <w:tcW w:w="3405" w:type="dxa"/>
            <w:gridSpan w:val="4"/>
            <w:tcBorders>
              <w:top w:val="nil"/>
              <w:left w:val="nil"/>
              <w:bottom w:val="single" w:color="auto" w:sz="4" w:space="0"/>
              <w:right w:val="nil"/>
            </w:tcBorders>
            <w:noWrap/>
            <w:vAlign w:val="bottom"/>
          </w:tcPr>
          <w:p>
            <w:pPr>
              <w:jc w:val="cente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default" w:ascii="Times New Roman" w:hAnsi="Times New Roman" w:eastAsia="方正仿宋_GB2312" w:cs="Times New Roman"/>
                <w:i w:val="0"/>
                <w:iCs w:val="0"/>
                <w:color w:val="000000"/>
                <w:sz w:val="20"/>
                <w:szCs w:val="20"/>
                <w:highlight w:val="none"/>
                <w:u w:val="none"/>
                <w:lang w:val="en-US" w:eastAsia="zh-CN"/>
              </w:rPr>
              <w:t>2023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2588" w:type="dxa"/>
            <w:gridSpan w:val="3"/>
            <w:tcBorders>
              <w:top w:val="nil"/>
              <w:left w:val="nil"/>
              <w:bottom w:val="single" w:color="auto" w:sz="4" w:space="0"/>
              <w:right w:val="nil"/>
            </w:tcBorders>
            <w:noWrap/>
            <w:vAlign w:val="bottom"/>
          </w:tcPr>
          <w:p>
            <w:pPr>
              <w:jc w:val="right"/>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2200" w:type="dxa"/>
            <w:gridSpan w:val="2"/>
            <w:tcBorders>
              <w:top w:val="single" w:color="auto"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1037" w:type="dxa"/>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本年收入合计</w:t>
            </w:r>
          </w:p>
        </w:tc>
        <w:tc>
          <w:tcPr>
            <w:tcW w:w="1037" w:type="dxa"/>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财政拨款收入</w:t>
            </w:r>
          </w:p>
        </w:tc>
        <w:tc>
          <w:tcPr>
            <w:tcW w:w="1037" w:type="dxa"/>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上级补助收入</w:t>
            </w:r>
          </w:p>
        </w:tc>
        <w:tc>
          <w:tcPr>
            <w:tcW w:w="964" w:type="dxa"/>
            <w:vMerge w:val="restart"/>
            <w:tcBorders>
              <w:top w:val="single" w:color="auto" w:sz="4" w:space="0"/>
              <w:left w:val="nil"/>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事业收入</w:t>
            </w:r>
          </w:p>
        </w:tc>
        <w:tc>
          <w:tcPr>
            <w:tcW w:w="964" w:type="dxa"/>
            <w:gridSpan w:val="2"/>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经营收入</w:t>
            </w:r>
          </w:p>
        </w:tc>
        <w:tc>
          <w:tcPr>
            <w:tcW w:w="1027" w:type="dxa"/>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附属单位上缴收入</w:t>
            </w:r>
          </w:p>
        </w:tc>
        <w:tc>
          <w:tcPr>
            <w:tcW w:w="964" w:type="dxa"/>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其他收入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040" w:type="dxa"/>
            <w:vMerge w:val="restart"/>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1160" w:type="dxa"/>
            <w:vMerge w:val="restar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103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964" w:type="dxa"/>
            <w:vMerge w:val="continue"/>
            <w:tcBorders>
              <w:left w:val="nil"/>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c>
          <w:tcPr>
            <w:tcW w:w="964" w:type="dxa"/>
            <w:gridSpan w:val="2"/>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964"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040" w:type="dxa"/>
            <w:vMerge w:val="continue"/>
            <w:tcBorders>
              <w:top w:val="nil"/>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60" w:type="dxa"/>
            <w:vMerge w:val="continue"/>
            <w:tcBorders>
              <w:top w:val="nil"/>
              <w:left w:val="nil"/>
              <w:bottom w:val="single" w:color="000000" w:sz="4" w:space="0"/>
              <w:right w:val="single" w:color="000000" w:sz="4" w:space="0"/>
            </w:tcBorders>
            <w:noWrap/>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964" w:type="dxa"/>
            <w:vMerge w:val="continue"/>
            <w:tcBorders>
              <w:left w:val="nil"/>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964" w:type="dxa"/>
            <w:gridSpan w:val="2"/>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964"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040" w:type="dxa"/>
            <w:vMerge w:val="continue"/>
            <w:tcBorders>
              <w:top w:val="nil"/>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60" w:type="dxa"/>
            <w:vMerge w:val="continue"/>
            <w:tcBorders>
              <w:top w:val="nil"/>
              <w:left w:val="nil"/>
              <w:bottom w:val="single" w:color="000000" w:sz="4" w:space="0"/>
              <w:right w:val="single" w:color="000000" w:sz="4" w:space="0"/>
            </w:tcBorders>
            <w:noWrap/>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964" w:type="dxa"/>
            <w:vMerge w:val="continue"/>
            <w:tcBorders>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964" w:type="dxa"/>
            <w:gridSpan w:val="2"/>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964"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2200" w:type="dxa"/>
            <w:gridSpan w:val="2"/>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1037" w:type="dxa"/>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w:t>
            </w:r>
          </w:p>
        </w:tc>
        <w:tc>
          <w:tcPr>
            <w:tcW w:w="1037" w:type="dxa"/>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1037" w:type="dxa"/>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964" w:type="dxa"/>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4</w:t>
            </w:r>
          </w:p>
        </w:tc>
        <w:tc>
          <w:tcPr>
            <w:tcW w:w="964" w:type="dxa"/>
            <w:gridSpan w:val="2"/>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1027" w:type="dxa"/>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6</w:t>
            </w:r>
          </w:p>
        </w:tc>
        <w:tc>
          <w:tcPr>
            <w:tcW w:w="964" w:type="dxa"/>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2200" w:type="dxa"/>
            <w:gridSpan w:val="2"/>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rPr>
              <w:t>1,259.99</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rPr>
              <w:t>1,259.99</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224</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灾害防治及应急管理支出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1,259.99</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1,259.99</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22402</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消防救援事务</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1,259.99</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1,259.99</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2240201</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行政运行</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1,259.99</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1,259.99</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9230" w:type="dxa"/>
            <w:gridSpan w:val="10"/>
            <w:tcBorders>
              <w:top w:val="nil"/>
              <w:left w:val="nil"/>
              <w:bottom w:val="nil"/>
              <w:right w:val="nil"/>
            </w:tcBorders>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注：本表反映部门本年度取得的各项收入情况。</w:t>
            </w:r>
          </w:p>
        </w:tc>
      </w:tr>
    </w:tbl>
    <w:p>
      <w:pPr>
        <w:rPr>
          <w:rFonts w:hint="eastAsia" w:ascii="黑体" w:hAnsi="黑体" w:eastAsia="黑体" w:cs="宋体"/>
          <w:bCs/>
          <w:kern w:val="0"/>
          <w:sz w:val="32"/>
          <w:szCs w:val="32"/>
          <w:highlight w:val="none"/>
        </w:rPr>
      </w:pPr>
      <w:r>
        <w:rPr>
          <w:rFonts w:hint="eastAsia" w:ascii="仿宋_GB2312" w:hAnsi="宋体" w:eastAsia="仿宋_GB2312"/>
          <w:b/>
          <w:color w:val="auto"/>
          <w:kern w:val="0"/>
          <w:sz w:val="32"/>
          <w:szCs w:val="32"/>
          <w:highlight w:val="none"/>
        </w:rPr>
        <w:br w:type="page"/>
      </w:r>
    </w:p>
    <w:p>
      <w:pPr>
        <w:keepNext w:val="0"/>
        <w:keepLines w:val="0"/>
        <w:widowControl/>
        <w:suppressLineNumbers w:val="0"/>
        <w:jc w:val="center"/>
        <w:textAlignment w:val="bottom"/>
        <w:rPr>
          <w:rFonts w:hint="eastAsia" w:ascii="宋体" w:hAnsi="宋体" w:eastAsia="宋体" w:cs="宋体"/>
          <w:spacing w:val="-2"/>
          <w:sz w:val="20"/>
          <w:highlight w:val="none"/>
          <w:lang w:val="en-US" w:eastAsia="zh-CN"/>
        </w:rPr>
      </w:pPr>
    </w:p>
    <w:tbl>
      <w:tblPr>
        <w:tblStyle w:val="11"/>
        <w:tblW w:w="5812"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040"/>
        <w:gridCol w:w="1187"/>
        <w:gridCol w:w="1128"/>
        <w:gridCol w:w="126"/>
        <w:gridCol w:w="1000"/>
        <w:gridCol w:w="1126"/>
        <w:gridCol w:w="497"/>
        <w:gridCol w:w="629"/>
        <w:gridCol w:w="1126"/>
        <w:gridCol w:w="148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jc w:val="center"/>
        </w:trPr>
        <w:tc>
          <w:tcPr>
            <w:tcW w:w="5000" w:type="pct"/>
            <w:gridSpan w:val="10"/>
            <w:tcBorders>
              <w:top w:val="nil"/>
              <w:left w:val="nil"/>
              <w:bottom w:val="nil"/>
              <w:right w:val="nil"/>
            </w:tcBorders>
            <w:noWrap/>
            <w:vAlign w:val="bottom"/>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1"/>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br w:type="page"/>
            </w:r>
            <w:r>
              <w:rPr>
                <w:rFonts w:hint="eastAsia" w:ascii="方正仿宋_GB2312" w:hAnsi="方正仿宋_GB2312" w:eastAsia="方正仿宋_GB2312" w:cs="方正仿宋_GB2312"/>
                <w:b w:val="0"/>
                <w:bCs/>
                <w:color w:val="auto"/>
                <w:kern w:val="0"/>
                <w:sz w:val="32"/>
                <w:szCs w:val="32"/>
                <w:highlight w:val="none"/>
                <w:lang w:val="en-US" w:eastAsia="zh-CN"/>
              </w:rPr>
              <w:t>支出决算表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5000" w:type="pct"/>
            <w:gridSpan w:val="10"/>
            <w:tcBorders>
              <w:top w:val="nil"/>
              <w:left w:val="nil"/>
              <w:bottom w:val="nil"/>
              <w:right w:val="nil"/>
            </w:tcBorders>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宋体" w:cs="Times New Roman"/>
                <w:i w:val="0"/>
                <w:iCs w:val="0"/>
                <w:color w:val="000000"/>
                <w:kern w:val="0"/>
                <w:sz w:val="20"/>
                <w:szCs w:val="20"/>
                <w:highlight w:val="none"/>
                <w:u w:val="none"/>
                <w:lang w:val="en-US" w:eastAsia="zh-CN" w:bidi="ar"/>
              </w:rPr>
              <w:t>03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1862" w:type="pct"/>
            <w:gridSpan w:val="4"/>
            <w:tcBorders>
              <w:top w:val="nil"/>
              <w:left w:val="nil"/>
              <w:bottom w:val="single" w:color="auto" w:sz="4" w:space="0"/>
              <w:right w:val="nil"/>
            </w:tcBorders>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编制部门（单位）：保定市徐水区消防救援大队 </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 xml:space="preserve">                                                                                                         </w:t>
            </w:r>
          </w:p>
        </w:tc>
        <w:tc>
          <w:tcPr>
            <w:tcW w:w="1403" w:type="pct"/>
            <w:gridSpan w:val="3"/>
            <w:tcBorders>
              <w:top w:val="nil"/>
              <w:left w:val="nil"/>
              <w:bottom w:val="single" w:color="auto" w:sz="4" w:space="0"/>
              <w:right w:val="nil"/>
            </w:tcBorders>
            <w:noWrap/>
            <w:vAlign w:val="bottom"/>
          </w:tcPr>
          <w:p>
            <w:pPr>
              <w:keepNext w:val="0"/>
              <w:keepLines w:val="0"/>
              <w:widowControl/>
              <w:suppressLineNumbers w:val="0"/>
              <w:jc w:val="center"/>
              <w:textAlignment w:val="bottom"/>
              <w:rPr>
                <w:rFonts w:hint="eastAsia" w:asciiTheme="minorEastAsia" w:hAnsiTheme="minorEastAsia" w:eastAsiaTheme="minorEastAsia" w:cstheme="minorEastAsia"/>
                <w:i w:val="0"/>
                <w:iCs w:val="0"/>
                <w:color w:val="000000"/>
                <w:kern w:val="0"/>
                <w:sz w:val="20"/>
                <w:szCs w:val="20"/>
                <w:highlight w:val="none"/>
                <w:u w:val="none"/>
                <w:lang w:val="en-US" w:eastAsia="zh-CN" w:bidi="ar"/>
              </w:rPr>
            </w:pPr>
            <w:r>
              <w:rPr>
                <w:rFonts w:hint="default" w:ascii="Times New Roman" w:hAnsi="Times New Roman" w:cs="Times New Roman" w:eastAsiaTheme="minorEastAsia"/>
                <w:i w:val="0"/>
                <w:iCs w:val="0"/>
                <w:color w:val="000000"/>
                <w:kern w:val="0"/>
                <w:sz w:val="20"/>
                <w:szCs w:val="20"/>
                <w:highlight w:val="none"/>
                <w:u w:val="none"/>
                <w:lang w:val="en-US" w:eastAsia="zh-CN" w:bidi="ar"/>
              </w:rPr>
              <w:t>2023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734" w:type="pct"/>
            <w:gridSpan w:val="3"/>
            <w:tcBorders>
              <w:top w:val="nil"/>
              <w:left w:val="nil"/>
              <w:bottom w:val="single" w:color="auto" w:sz="4" w:space="0"/>
              <w:right w:val="nil"/>
            </w:tcBorders>
            <w:noWrap/>
            <w:vAlign w:val="bottom"/>
          </w:tcPr>
          <w:p>
            <w:pPr>
              <w:keepNext w:val="0"/>
              <w:keepLines w:val="0"/>
              <w:widowControl/>
              <w:suppressLineNumbers w:val="0"/>
              <w:jc w:val="right"/>
              <w:textAlignment w:val="bottom"/>
              <w:rPr>
                <w:rFonts w:hint="eastAsia" w:asciiTheme="minorEastAsia" w:hAnsiTheme="minorEastAsia" w:eastAsiaTheme="minorEastAsia" w:cstheme="minorEastAsia"/>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 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1191" w:type="pct"/>
            <w:gridSpan w:val="2"/>
            <w:tcBorders>
              <w:top w:val="single" w:color="auto"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603" w:type="pct"/>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本年支出合计</w:t>
            </w:r>
          </w:p>
        </w:tc>
        <w:tc>
          <w:tcPr>
            <w:tcW w:w="602" w:type="pct"/>
            <w:gridSpan w:val="2"/>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基本支出</w:t>
            </w:r>
          </w:p>
        </w:tc>
        <w:tc>
          <w:tcPr>
            <w:tcW w:w="602" w:type="pct"/>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项目支出</w:t>
            </w:r>
          </w:p>
        </w:tc>
        <w:tc>
          <w:tcPr>
            <w:tcW w:w="602" w:type="pct"/>
            <w:gridSpan w:val="2"/>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上缴上级支出</w:t>
            </w:r>
          </w:p>
        </w:tc>
        <w:tc>
          <w:tcPr>
            <w:tcW w:w="602" w:type="pct"/>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经营支出</w:t>
            </w:r>
          </w:p>
        </w:tc>
        <w:tc>
          <w:tcPr>
            <w:tcW w:w="795" w:type="pct"/>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对附属单位补助支出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vMerge w:val="restart"/>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635" w:type="pct"/>
            <w:vMerge w:val="restar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603" w:type="pct"/>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795" w:type="pct"/>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vMerge w:val="continue"/>
            <w:tcBorders>
              <w:top w:val="nil"/>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635" w:type="pct"/>
            <w:vMerge w:val="continue"/>
            <w:tcBorders>
              <w:top w:val="nil"/>
              <w:left w:val="nil"/>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0"/>
                <w:szCs w:val="20"/>
                <w:highlight w:val="none"/>
                <w:u w:val="none"/>
              </w:rPr>
            </w:pPr>
          </w:p>
        </w:tc>
        <w:tc>
          <w:tcPr>
            <w:tcW w:w="603" w:type="pct"/>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795" w:type="pct"/>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vMerge w:val="continue"/>
            <w:tcBorders>
              <w:top w:val="nil"/>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635" w:type="pct"/>
            <w:vMerge w:val="continue"/>
            <w:tcBorders>
              <w:top w:val="nil"/>
              <w:left w:val="nil"/>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0"/>
                <w:szCs w:val="20"/>
                <w:highlight w:val="none"/>
                <w:u w:val="none"/>
              </w:rPr>
            </w:pPr>
          </w:p>
        </w:tc>
        <w:tc>
          <w:tcPr>
            <w:tcW w:w="603" w:type="pct"/>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795" w:type="pct"/>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191" w:type="pct"/>
            <w:gridSpan w:val="2"/>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603" w:type="pc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w:t>
            </w:r>
          </w:p>
        </w:tc>
        <w:tc>
          <w:tcPr>
            <w:tcW w:w="602" w:type="pct"/>
            <w:gridSpan w:val="2"/>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w:t>
            </w:r>
          </w:p>
        </w:tc>
        <w:tc>
          <w:tcPr>
            <w:tcW w:w="602" w:type="pc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w:t>
            </w:r>
          </w:p>
        </w:tc>
        <w:tc>
          <w:tcPr>
            <w:tcW w:w="602" w:type="pct"/>
            <w:gridSpan w:val="2"/>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w:t>
            </w:r>
          </w:p>
        </w:tc>
        <w:tc>
          <w:tcPr>
            <w:tcW w:w="602" w:type="pc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w:t>
            </w:r>
          </w:p>
        </w:tc>
        <w:tc>
          <w:tcPr>
            <w:tcW w:w="795" w:type="pc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191" w:type="pct"/>
            <w:gridSpan w:val="2"/>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1,259.99</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1,259.99</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224</w:t>
            </w:r>
          </w:p>
        </w:tc>
        <w:tc>
          <w:tcPr>
            <w:tcW w:w="635" w:type="pct"/>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灾害防治及应急管理支出</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1,259.99</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1,259.99</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22402</w:t>
            </w:r>
          </w:p>
        </w:tc>
        <w:tc>
          <w:tcPr>
            <w:tcW w:w="635" w:type="pct"/>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消防救援事务</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1,259.99</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1,259.99</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2240201</w:t>
            </w:r>
          </w:p>
        </w:tc>
        <w:tc>
          <w:tcPr>
            <w:tcW w:w="635" w:type="pct"/>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行政运行</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1,259.99</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1,259.99</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000" w:type="pct"/>
            <w:gridSpan w:val="10"/>
            <w:tcBorders>
              <w:top w:val="nil"/>
              <w:left w:val="nil"/>
              <w:bottom w:val="nil"/>
              <w:right w:val="nil"/>
            </w:tcBorders>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注：本表反映部门本年度各项支出情况。</w:t>
            </w:r>
          </w:p>
        </w:tc>
      </w:tr>
    </w:tbl>
    <w:p>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W w:w="7281" w:type="pct"/>
        <w:tblInd w:w="-185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984"/>
        <w:gridCol w:w="624"/>
        <w:gridCol w:w="1427"/>
        <w:gridCol w:w="1659"/>
        <w:gridCol w:w="439"/>
        <w:gridCol w:w="624"/>
        <w:gridCol w:w="458"/>
        <w:gridCol w:w="837"/>
        <w:gridCol w:w="1219"/>
        <w:gridCol w:w="1219"/>
        <w:gridCol w:w="121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5000" w:type="pct"/>
            <w:gridSpan w:val="11"/>
            <w:tcBorders>
              <w:top w:val="nil"/>
              <w:left w:val="nil"/>
              <w:bottom w:val="nil"/>
              <w:right w:val="nil"/>
            </w:tcBorders>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财政拨款收入支出决算总表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000" w:type="pct"/>
            <w:gridSpan w:val="11"/>
            <w:tcBorders>
              <w:top w:val="nil"/>
              <w:left w:val="nil"/>
              <w:bottom w:val="nil"/>
              <w:right w:val="nil"/>
            </w:tcBorders>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公开04表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431" w:type="pct"/>
            <w:gridSpan w:val="4"/>
            <w:tcBorders>
              <w:top w:val="nil"/>
              <w:left w:val="nil"/>
              <w:bottom w:val="single" w:color="auto" w:sz="4" w:space="0"/>
              <w:right w:val="nil"/>
            </w:tcBorders>
            <w:noWrap/>
            <w:vAlign w:val="bottom"/>
          </w:tcPr>
          <w:p>
            <w:pPr>
              <w:rPr>
                <w:rFonts w:hint="eastAsia" w:ascii="仿宋" w:hAnsi="仿宋" w:eastAsia="仿宋" w:cs="仿宋"/>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编制部门（单位）：保定市徐水区消防救援大队 </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 xml:space="preserve">                                                                                                   </w:t>
            </w:r>
          </w:p>
        </w:tc>
        <w:tc>
          <w:tcPr>
            <w:tcW w:w="649" w:type="pct"/>
            <w:gridSpan w:val="3"/>
            <w:tcBorders>
              <w:top w:val="nil"/>
              <w:left w:val="nil"/>
              <w:bottom w:val="single" w:color="auto" w:sz="4" w:space="0"/>
              <w:right w:val="nil"/>
            </w:tcBorders>
            <w:noWrap/>
            <w:vAlign w:val="bottom"/>
          </w:tcPr>
          <w:p>
            <w:pPr>
              <w:jc w:val="center"/>
              <w:rPr>
                <w:rFonts w:hint="default" w:asciiTheme="minorEastAsia" w:hAnsiTheme="minorEastAsia" w:eastAsiaTheme="minorEastAsia" w:cstheme="minorEastAsia"/>
                <w:i w:val="0"/>
                <w:iCs w:val="0"/>
                <w:color w:val="000000"/>
                <w:kern w:val="0"/>
                <w:sz w:val="20"/>
                <w:szCs w:val="20"/>
                <w:highlight w:val="none"/>
                <w:u w:val="none"/>
                <w:lang w:val="en-US" w:eastAsia="zh-CN" w:bidi="ar"/>
              </w:rPr>
            </w:pPr>
            <w:r>
              <w:rPr>
                <w:rFonts w:hint="default" w:ascii="Times New Roman" w:hAnsi="Times New Roman" w:cs="Times New Roman"/>
                <w:i w:val="0"/>
                <w:iCs w:val="0"/>
                <w:color w:val="000000"/>
                <w:kern w:val="0"/>
                <w:sz w:val="20"/>
                <w:szCs w:val="20"/>
                <w:highlight w:val="none"/>
                <w:u w:val="none"/>
                <w:lang w:val="en-US" w:eastAsia="zh-CN" w:bidi="ar"/>
              </w:rPr>
              <w:t>2023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919" w:type="pct"/>
            <w:gridSpan w:val="4"/>
            <w:tcBorders>
              <w:top w:val="nil"/>
              <w:left w:val="nil"/>
              <w:bottom w:val="single" w:color="auto" w:sz="4" w:space="0"/>
              <w:right w:val="nil"/>
            </w:tcBorders>
            <w:noWrap/>
            <w:vAlign w:val="bottom"/>
          </w:tcPr>
          <w:p>
            <w:pPr>
              <w:jc w:val="right"/>
              <w:rPr>
                <w:rFonts w:hint="default" w:asciiTheme="minorEastAsia" w:hAnsiTheme="minorEastAsia" w:eastAsiaTheme="minorEastAsia" w:cstheme="minorEastAsia"/>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723" w:type="pct"/>
            <w:gridSpan w:val="3"/>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收入</w:t>
            </w:r>
          </w:p>
        </w:tc>
        <w:tc>
          <w:tcPr>
            <w:tcW w:w="3276" w:type="pct"/>
            <w:gridSpan w:val="8"/>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支出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847" w:type="pct"/>
            <w:vMerge w:val="restart"/>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    目</w:t>
            </w:r>
          </w:p>
        </w:tc>
        <w:tc>
          <w:tcPr>
            <w:tcW w:w="266" w:type="pct"/>
            <w:vMerge w:val="restar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609" w:type="pct"/>
            <w:vMerge w:val="restar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金额</w:t>
            </w:r>
          </w:p>
        </w:tc>
        <w:tc>
          <w:tcPr>
            <w:tcW w:w="895" w:type="pct"/>
            <w:gridSpan w:val="2"/>
            <w:vMerge w:val="restar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266" w:type="pct"/>
            <w:vMerge w:val="restar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552" w:type="pct"/>
            <w:gridSpan w:val="2"/>
            <w:vMerge w:val="restart"/>
            <w:tcBorders>
              <w:top w:val="nil"/>
              <w:left w:val="nil"/>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合计</w:t>
            </w:r>
          </w:p>
        </w:tc>
        <w:tc>
          <w:tcPr>
            <w:tcW w:w="520" w:type="pct"/>
            <w:vMerge w:val="restart"/>
            <w:tcBorders>
              <w:top w:val="nil"/>
              <w:left w:val="nil"/>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一般公共预算财政拨款</w:t>
            </w:r>
          </w:p>
        </w:tc>
        <w:tc>
          <w:tcPr>
            <w:tcW w:w="520" w:type="pct"/>
            <w:vMerge w:val="restart"/>
            <w:tcBorders>
              <w:top w:val="nil"/>
              <w:left w:val="nil"/>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政府性基金预算财政拨款</w:t>
            </w:r>
          </w:p>
        </w:tc>
        <w:tc>
          <w:tcPr>
            <w:tcW w:w="520" w:type="pct"/>
            <w:vMerge w:val="restart"/>
            <w:tcBorders>
              <w:top w:val="nil"/>
              <w:left w:val="nil"/>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国有资本经营预算财政拨款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847" w:type="pct"/>
            <w:vMerge w:val="continue"/>
            <w:tcBorders>
              <w:top w:val="nil"/>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266" w:type="pct"/>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609" w:type="pct"/>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895" w:type="pct"/>
            <w:gridSpan w:val="2"/>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266" w:type="pct"/>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52" w:type="pct"/>
            <w:gridSpan w:val="2"/>
            <w:vMerge w:val="continue"/>
            <w:tcBorders>
              <w:left w:val="nil"/>
              <w:bottom w:val="single" w:color="000000" w:sz="4" w:space="0"/>
              <w:right w:val="single" w:color="000000" w:sz="8"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520" w:type="pct"/>
            <w:vMerge w:val="continue"/>
            <w:tcBorders>
              <w:left w:val="nil"/>
              <w:bottom w:val="single" w:color="000000" w:sz="4" w:space="0"/>
              <w:right w:val="single" w:color="000000" w:sz="8"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520" w:type="pct"/>
            <w:vMerge w:val="continue"/>
            <w:tcBorders>
              <w:left w:val="nil"/>
              <w:bottom w:val="single" w:color="000000" w:sz="4" w:space="0"/>
              <w:right w:val="single" w:color="000000" w:sz="8"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520" w:type="pct"/>
            <w:vMerge w:val="continue"/>
            <w:tcBorders>
              <w:left w:val="nil"/>
              <w:bottom w:val="single" w:color="000000" w:sz="4" w:space="0"/>
              <w:right w:val="single" w:color="000000" w:sz="8"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    次</w:t>
            </w:r>
          </w:p>
        </w:tc>
        <w:tc>
          <w:tcPr>
            <w:tcW w:w="266" w:type="pct"/>
            <w:tcBorders>
              <w:top w:val="nil"/>
              <w:left w:val="nil"/>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0"/>
                <w:szCs w:val="20"/>
                <w:highlight w:val="none"/>
                <w:u w:val="none"/>
              </w:rPr>
            </w:pPr>
          </w:p>
        </w:tc>
        <w:tc>
          <w:tcPr>
            <w:tcW w:w="609"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w:t>
            </w:r>
          </w:p>
        </w:tc>
        <w:tc>
          <w:tcPr>
            <w:tcW w:w="895"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    次</w:t>
            </w:r>
          </w:p>
        </w:tc>
        <w:tc>
          <w:tcPr>
            <w:tcW w:w="266" w:type="pct"/>
            <w:tcBorders>
              <w:top w:val="nil"/>
              <w:left w:val="nil"/>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0"/>
                <w:szCs w:val="20"/>
                <w:highlight w:val="none"/>
                <w:u w:val="none"/>
              </w:rPr>
            </w:pPr>
          </w:p>
        </w:tc>
        <w:tc>
          <w:tcPr>
            <w:tcW w:w="552"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520"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20"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w:t>
            </w:r>
          </w:p>
        </w:tc>
        <w:tc>
          <w:tcPr>
            <w:tcW w:w="520" w:type="pct"/>
            <w:tcBorders>
              <w:top w:val="nil"/>
              <w:left w:val="nil"/>
              <w:bottom w:val="single" w:color="000000" w:sz="4" w:space="0"/>
              <w:right w:val="single" w:color="000000" w:sz="8"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一、一般公共预算财政拨款</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1,259.99</w:t>
            </w:r>
          </w:p>
        </w:tc>
        <w:tc>
          <w:tcPr>
            <w:tcW w:w="895"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一、一般公共服务支出</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33</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二、政府性基金预算财政拨款</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二、外交支出</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34</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三、国有资本经营预算财政拨款</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三、国防支出</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35</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四、公共安全支出</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36</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五、教育支出</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37</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六、科学技术支出</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38</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7</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七、文化旅游体育与传媒支出</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39</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8</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八、社会保障和就业支出</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40</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9</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九、卫生健康支出</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41</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10</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十、节能环保支出</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42</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11</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十一、城乡社区支出</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43</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auto"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auto"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12</w:t>
            </w:r>
          </w:p>
        </w:tc>
        <w:tc>
          <w:tcPr>
            <w:tcW w:w="609" w:type="pct"/>
            <w:tcBorders>
              <w:top w:val="nil"/>
              <w:left w:val="nil"/>
              <w:bottom w:val="single" w:color="auto"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auto"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十二、农林水支出</w:t>
            </w:r>
          </w:p>
        </w:tc>
        <w:tc>
          <w:tcPr>
            <w:tcW w:w="266" w:type="pct"/>
            <w:tcBorders>
              <w:top w:val="nil"/>
              <w:left w:val="nil"/>
              <w:bottom w:val="single" w:color="auto"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44</w:t>
            </w:r>
          </w:p>
        </w:tc>
        <w:tc>
          <w:tcPr>
            <w:tcW w:w="552" w:type="pct"/>
            <w:gridSpan w:val="2"/>
            <w:tcBorders>
              <w:top w:val="nil"/>
              <w:left w:val="nil"/>
              <w:bottom w:val="single" w:color="auto"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auto"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auto"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auto"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13</w:t>
            </w:r>
          </w:p>
        </w:tc>
        <w:tc>
          <w:tcPr>
            <w:tcW w:w="60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十三、交通运输支出</w:t>
            </w: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45</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14</w:t>
            </w:r>
          </w:p>
        </w:tc>
        <w:tc>
          <w:tcPr>
            <w:tcW w:w="60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十四、资源勘探工业信息等支出</w:t>
            </w: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46</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15</w:t>
            </w:r>
          </w:p>
        </w:tc>
        <w:tc>
          <w:tcPr>
            <w:tcW w:w="60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十五、商业服务业等支出</w:t>
            </w: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47</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16</w:t>
            </w:r>
          </w:p>
        </w:tc>
        <w:tc>
          <w:tcPr>
            <w:tcW w:w="60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十六、金融支出</w:t>
            </w: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48</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17</w:t>
            </w:r>
          </w:p>
        </w:tc>
        <w:tc>
          <w:tcPr>
            <w:tcW w:w="60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十七、援助其他地区支出</w:t>
            </w: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49</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18</w:t>
            </w:r>
          </w:p>
        </w:tc>
        <w:tc>
          <w:tcPr>
            <w:tcW w:w="60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十八、自然资源海洋气象等支出</w:t>
            </w: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50</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19</w:t>
            </w:r>
          </w:p>
        </w:tc>
        <w:tc>
          <w:tcPr>
            <w:tcW w:w="60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十九、住房保障支出</w:t>
            </w: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51</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20</w:t>
            </w:r>
          </w:p>
        </w:tc>
        <w:tc>
          <w:tcPr>
            <w:tcW w:w="60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二十、粮油物资储备支出</w:t>
            </w: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52</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21</w:t>
            </w:r>
          </w:p>
        </w:tc>
        <w:tc>
          <w:tcPr>
            <w:tcW w:w="60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二十一、国有资本经营预算支出</w:t>
            </w: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53</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22</w:t>
            </w:r>
          </w:p>
        </w:tc>
        <w:tc>
          <w:tcPr>
            <w:tcW w:w="60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二十二、灾害防治及应急管理支出</w:t>
            </w: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54</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1,259.99</w:t>
            </w: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1,259.99</w:t>
            </w: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23</w:t>
            </w:r>
          </w:p>
        </w:tc>
        <w:tc>
          <w:tcPr>
            <w:tcW w:w="60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二十三、其他支出</w:t>
            </w: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55</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24</w:t>
            </w:r>
          </w:p>
        </w:tc>
        <w:tc>
          <w:tcPr>
            <w:tcW w:w="609" w:type="pct"/>
            <w:tcBorders>
              <w:top w:val="single" w:color="auto" w:sz="4" w:space="0"/>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二十四、债务还本支出</w:t>
            </w:r>
          </w:p>
        </w:tc>
        <w:tc>
          <w:tcPr>
            <w:tcW w:w="266" w:type="pct"/>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56</w:t>
            </w:r>
          </w:p>
        </w:tc>
        <w:tc>
          <w:tcPr>
            <w:tcW w:w="552" w:type="pct"/>
            <w:gridSpan w:val="2"/>
            <w:tcBorders>
              <w:top w:val="single" w:color="auto" w:sz="4" w:space="0"/>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b/>
                <w:bCs/>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25</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二十五、债务付息支出</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57</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26</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二十六、抗疫特别国债安排的支出</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58</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本年收入合计</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27</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1,259.99</w:t>
            </w:r>
          </w:p>
        </w:tc>
        <w:tc>
          <w:tcPr>
            <w:tcW w:w="895"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本年支出合计</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59</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1,259.99</w:t>
            </w: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1,259.99</w:t>
            </w: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年初财政拨款结转和结余</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28</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年末财政拨款结转和结余</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60</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both"/>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jc w:val="both"/>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一、一般公共预算财政拨款</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29</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61</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jc w:val="lef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二、政府性基金预算财政拨款</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30</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62</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jc w:val="lef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三、国有资本经营预算财政拨款</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31</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63</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jc w:val="lef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8"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266" w:type="pct"/>
            <w:tcBorders>
              <w:top w:val="nil"/>
              <w:left w:val="nil"/>
              <w:bottom w:val="single" w:color="000000" w:sz="8"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32</w:t>
            </w:r>
          </w:p>
        </w:tc>
        <w:tc>
          <w:tcPr>
            <w:tcW w:w="609" w:type="pct"/>
            <w:tcBorders>
              <w:top w:val="nil"/>
              <w:left w:val="nil"/>
              <w:bottom w:val="single" w:color="000000" w:sz="8"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1,259.99</w:t>
            </w:r>
          </w:p>
        </w:tc>
        <w:tc>
          <w:tcPr>
            <w:tcW w:w="895" w:type="pct"/>
            <w:gridSpan w:val="2"/>
            <w:tcBorders>
              <w:top w:val="nil"/>
              <w:left w:val="nil"/>
              <w:bottom w:val="single" w:color="000000" w:sz="8"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266" w:type="pct"/>
            <w:tcBorders>
              <w:top w:val="nil"/>
              <w:left w:val="nil"/>
              <w:bottom w:val="single" w:color="000000" w:sz="8"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64</w:t>
            </w:r>
          </w:p>
        </w:tc>
        <w:tc>
          <w:tcPr>
            <w:tcW w:w="552" w:type="pct"/>
            <w:gridSpan w:val="2"/>
            <w:tcBorders>
              <w:top w:val="nil"/>
              <w:left w:val="nil"/>
              <w:bottom w:val="single" w:color="000000" w:sz="8"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1,259.99</w:t>
            </w:r>
          </w:p>
        </w:tc>
        <w:tc>
          <w:tcPr>
            <w:tcW w:w="520" w:type="pct"/>
            <w:tcBorders>
              <w:top w:val="nil"/>
              <w:left w:val="nil"/>
              <w:bottom w:val="single" w:color="000000" w:sz="8" w:space="0"/>
              <w:right w:val="single" w:color="000000" w:sz="4" w:space="0"/>
            </w:tcBorders>
            <w:noWrap/>
            <w:vAlign w:val="center"/>
          </w:tcPr>
          <w:p>
            <w:pPr>
              <w:jc w:val="right"/>
              <w:rPr>
                <w:rFonts w:hint="default" w:ascii="Times New Roman" w:hAnsi="Times New Roman" w:cs="Times New Roman"/>
                <w:sz w:val="20"/>
                <w:szCs w:val="20"/>
                <w:highlight w:val="none"/>
              </w:rPr>
            </w:pPr>
          </w:p>
          <w:p>
            <w:pPr>
              <w:jc w:val="right"/>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1,259.99</w:t>
            </w:r>
          </w:p>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8"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8"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000" w:type="pct"/>
            <w:gridSpan w:val="11"/>
            <w:tcBorders>
              <w:top w:val="nil"/>
              <w:left w:val="nil"/>
              <w:bottom w:val="nil"/>
              <w:right w:val="nil"/>
            </w:tcBorders>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注：本表反映部门本年度一般公共预算财政拨款、政府性基金预算财政拨款和国有资本经营预算财政拨款的总收支和年末结转结余情况。</w:t>
            </w:r>
          </w:p>
        </w:tc>
      </w:tr>
    </w:tbl>
    <w:p>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spacing w:val="-2"/>
          <w:sz w:val="20"/>
          <w:highlight w:val="none"/>
          <w:lang w:val="en-US" w:eastAsia="zh-CN"/>
        </w:rPr>
      </w:pPr>
    </w:p>
    <w:tbl>
      <w:tblPr>
        <w:tblStyle w:val="11"/>
        <w:tblW w:w="5455" w:type="pct"/>
        <w:tblInd w:w="-65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661"/>
        <w:gridCol w:w="2416"/>
        <w:gridCol w:w="973"/>
        <w:gridCol w:w="884"/>
        <w:gridCol w:w="939"/>
        <w:gridCol w:w="383"/>
        <w:gridCol w:w="151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5000" w:type="pct"/>
            <w:gridSpan w:val="7"/>
            <w:tcBorders>
              <w:top w:val="nil"/>
              <w:left w:val="nil"/>
              <w:bottom w:val="nil"/>
              <w:right w:val="nil"/>
            </w:tcBorders>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一般公共预算财政拨款支出决算表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000" w:type="pct"/>
            <w:gridSpan w:val="7"/>
            <w:tcBorders>
              <w:top w:val="nil"/>
              <w:left w:val="nil"/>
              <w:bottom w:val="nil"/>
              <w:right w:val="nil"/>
            </w:tcBorders>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方正仿宋_GB2312" w:cs="Times New Roman"/>
                <w:i w:val="0"/>
                <w:iCs w:val="0"/>
                <w:color w:val="000000"/>
                <w:kern w:val="0"/>
                <w:sz w:val="20"/>
                <w:szCs w:val="20"/>
                <w:highlight w:val="none"/>
                <w:u w:val="none"/>
                <w:lang w:val="en-US" w:eastAsia="zh-CN" w:bidi="ar"/>
              </w:rPr>
              <w:t>05</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856" w:type="pct"/>
            <w:gridSpan w:val="3"/>
            <w:tcBorders>
              <w:top w:val="nil"/>
              <w:left w:val="nil"/>
              <w:bottom w:val="single" w:color="auto" w:sz="4" w:space="0"/>
              <w:right w:val="nil"/>
            </w:tcBorders>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编制部门（单位）：保定市徐水区消防救援大队</w:t>
            </w:r>
          </w:p>
        </w:tc>
        <w:tc>
          <w:tcPr>
            <w:tcW w:w="1551" w:type="pct"/>
            <w:gridSpan w:val="2"/>
            <w:tcBorders>
              <w:top w:val="nil"/>
              <w:left w:val="nil"/>
              <w:bottom w:val="single" w:color="auto" w:sz="4" w:space="0"/>
              <w:right w:val="nil"/>
            </w:tcBorders>
            <w:noWrap/>
            <w:vAlign w:val="bottom"/>
          </w:tcPr>
          <w:p>
            <w:pPr>
              <w:keepNext w:val="0"/>
              <w:keepLines w:val="0"/>
              <w:widowControl/>
              <w:suppressLineNumbers w:val="0"/>
              <w:jc w:val="center"/>
              <w:textAlignment w:val="bottom"/>
              <w:rPr>
                <w:rFonts w:hint="default" w:asciiTheme="minorEastAsia" w:hAnsiTheme="minorEastAsia" w:eastAsiaTheme="minorEastAsia" w:cstheme="minorEastAsia"/>
                <w:i w:val="0"/>
                <w:iCs w:val="0"/>
                <w:color w:val="000000"/>
                <w:kern w:val="0"/>
                <w:sz w:val="20"/>
                <w:szCs w:val="20"/>
                <w:highlight w:val="none"/>
                <w:u w:val="none"/>
                <w:lang w:val="en-US" w:eastAsia="zh-CN" w:bidi="ar"/>
              </w:rPr>
            </w:pPr>
            <w:r>
              <w:rPr>
                <w:rFonts w:hint="default" w:ascii="Times New Roman" w:hAnsi="Times New Roman" w:cs="Times New Roman"/>
                <w:i w:val="0"/>
                <w:iCs w:val="0"/>
                <w:color w:val="000000"/>
                <w:kern w:val="0"/>
                <w:sz w:val="20"/>
                <w:szCs w:val="20"/>
                <w:highlight w:val="none"/>
                <w:u w:val="none"/>
                <w:lang w:val="en-US" w:eastAsia="zh-CN" w:bidi="ar"/>
              </w:rPr>
              <w:t>2023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591" w:type="pct"/>
            <w:gridSpan w:val="2"/>
            <w:tcBorders>
              <w:top w:val="nil"/>
              <w:left w:val="nil"/>
              <w:bottom w:val="single" w:color="auto" w:sz="4" w:space="0"/>
              <w:right w:val="nil"/>
            </w:tcBorders>
            <w:noWrap/>
            <w:vAlign w:val="bottom"/>
          </w:tcPr>
          <w:p>
            <w:pPr>
              <w:keepNext w:val="0"/>
              <w:keepLines w:val="0"/>
              <w:widowControl/>
              <w:suppressLineNumbers w:val="0"/>
              <w:jc w:val="right"/>
              <w:textAlignment w:val="bottom"/>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5" w:hRule="atLeast"/>
        </w:trPr>
        <w:tc>
          <w:tcPr>
            <w:tcW w:w="1447" w:type="pct"/>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3552" w:type="pct"/>
            <w:gridSpan w:val="5"/>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本年支出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98" w:type="pct"/>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科目代码</w:t>
            </w:r>
          </w:p>
        </w:tc>
        <w:tc>
          <w:tcPr>
            <w:tcW w:w="748" w:type="pct"/>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1169" w:type="pct"/>
            <w:gridSpan w:val="2"/>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小计</w:t>
            </w:r>
          </w:p>
        </w:tc>
        <w:tc>
          <w:tcPr>
            <w:tcW w:w="1169" w:type="pct"/>
            <w:gridSpan w:val="2"/>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基本支出</w:t>
            </w:r>
          </w:p>
        </w:tc>
        <w:tc>
          <w:tcPr>
            <w:tcW w:w="1213" w:type="pct"/>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项目支出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7" w:hRule="atLeast"/>
        </w:trPr>
        <w:tc>
          <w:tcPr>
            <w:tcW w:w="698" w:type="pct"/>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748" w:type="pct"/>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169" w:type="pct"/>
            <w:gridSpan w:val="2"/>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169" w:type="pct"/>
            <w:gridSpan w:val="2"/>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213" w:type="pct"/>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98" w:type="pct"/>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748" w:type="pct"/>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169" w:type="pct"/>
            <w:gridSpan w:val="2"/>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169" w:type="pct"/>
            <w:gridSpan w:val="2"/>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213" w:type="pct"/>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447" w:type="pct"/>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1</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2</w:t>
            </w:r>
          </w:p>
        </w:tc>
        <w:tc>
          <w:tcPr>
            <w:tcW w:w="1213"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447" w:type="pct"/>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1,259.99</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1,259.99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224</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灾害防治及应急管理支出</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1,259.99</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1,259.99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22402</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消防救援事务</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1,259.99</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1,259.99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2240201</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行政运行</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1,259.99</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1,259.99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000" w:type="pct"/>
            <w:gridSpan w:val="7"/>
            <w:tcBorders>
              <w:top w:val="single" w:color="auto" w:sz="4" w:space="0"/>
              <w:left w:val="nil"/>
              <w:bottom w:val="nil"/>
              <w:right w:val="nil"/>
            </w:tcBorders>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注：本表反映部门本年度一般公共预算财政拨款支出情况。</w:t>
            </w:r>
          </w:p>
        </w:tc>
      </w:tr>
    </w:tbl>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W w:w="7050" w:type="pct"/>
        <w:tblInd w:w="-161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64"/>
        <w:gridCol w:w="1814"/>
        <w:gridCol w:w="1020"/>
        <w:gridCol w:w="964"/>
        <w:gridCol w:w="438"/>
        <w:gridCol w:w="1376"/>
        <w:gridCol w:w="587"/>
        <w:gridCol w:w="377"/>
        <w:gridCol w:w="964"/>
        <w:gridCol w:w="1814"/>
        <w:gridCol w:w="102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trPr>
        <w:tc>
          <w:tcPr>
            <w:tcW w:w="5000" w:type="pct"/>
            <w:gridSpan w:val="11"/>
            <w:tcBorders>
              <w:top w:val="nil"/>
              <w:left w:val="nil"/>
              <w:bottom w:val="nil"/>
              <w:right w:val="nil"/>
            </w:tcBorders>
            <w:noWrap/>
            <w:vAlign w:val="bottom"/>
          </w:tcPr>
          <w:p>
            <w:pPr>
              <w:keepNext w:val="0"/>
              <w:keepLines w:val="0"/>
              <w:widowControl/>
              <w:suppressLineNumbers w:val="0"/>
              <w:jc w:val="center"/>
              <w:textAlignment w:val="bottom"/>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一般公共预算财政拨款基本支出决算表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000" w:type="pct"/>
            <w:gridSpan w:val="11"/>
            <w:tcBorders>
              <w:top w:val="nil"/>
              <w:left w:val="nil"/>
              <w:bottom w:val="nil"/>
              <w:right w:val="nil"/>
            </w:tcBorders>
            <w:noWrap/>
            <w:vAlign w:val="bottom"/>
          </w:tcPr>
          <w:p>
            <w:pPr>
              <w:keepNext w:val="0"/>
              <w:keepLines w:val="0"/>
              <w:widowControl/>
              <w:suppressLineNumbers w:val="0"/>
              <w:jc w:val="right"/>
              <w:textAlignment w:val="bottom"/>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公开</w:t>
            </w:r>
            <w:r>
              <w:rPr>
                <w:rFonts w:hint="default" w:ascii="Times New Roman" w:hAnsi="Times New Roman" w:eastAsia="方正仿宋_GB2312" w:cs="Times New Roman"/>
                <w:i w:val="0"/>
                <w:iCs w:val="0"/>
                <w:color w:val="000000"/>
                <w:kern w:val="0"/>
                <w:sz w:val="18"/>
                <w:szCs w:val="18"/>
                <w:highlight w:val="none"/>
                <w:u w:val="none"/>
                <w:lang w:val="en-US" w:eastAsia="zh-CN" w:bidi="ar"/>
              </w:rPr>
              <w:t>06</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2293" w:type="pct"/>
            <w:gridSpan w:val="5"/>
            <w:tcBorders>
              <w:top w:val="nil"/>
              <w:left w:val="nil"/>
              <w:bottom w:val="single" w:color="auto" w:sz="4" w:space="0"/>
              <w:right w:val="nil"/>
            </w:tcBorders>
            <w:noWrap/>
            <w:vAlign w:val="bottom"/>
          </w:tcPr>
          <w:p>
            <w:pPr>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编制部门（单位）：保定市徐水区消防救援大队 </w:t>
            </w:r>
            <w:r>
              <w:rPr>
                <w:rFonts w:hint="eastAsia" w:asciiTheme="minorEastAsia" w:hAnsiTheme="minorEastAsia" w:cstheme="minorEastAsia"/>
                <w:i w:val="0"/>
                <w:iCs w:val="0"/>
                <w:color w:val="000000"/>
                <w:kern w:val="0"/>
                <w:sz w:val="18"/>
                <w:szCs w:val="18"/>
                <w:highlight w:val="none"/>
                <w:u w:val="none"/>
                <w:lang w:val="en-US" w:eastAsia="zh-CN" w:bidi="ar"/>
              </w:rPr>
              <w:t xml:space="preserve">                                                                   </w:t>
            </w:r>
          </w:p>
        </w:tc>
        <w:tc>
          <w:tcPr>
            <w:tcW w:w="865" w:type="pct"/>
            <w:gridSpan w:val="2"/>
            <w:tcBorders>
              <w:top w:val="nil"/>
              <w:left w:val="nil"/>
              <w:bottom w:val="single" w:color="auto" w:sz="4" w:space="0"/>
              <w:right w:val="nil"/>
            </w:tcBorders>
            <w:noWrap/>
            <w:vAlign w:val="bottom"/>
          </w:tcPr>
          <w:p>
            <w:pPr>
              <w:jc w:val="center"/>
              <w:rPr>
                <w:rFonts w:hint="default" w:asciiTheme="minorEastAsia" w:hAnsiTheme="minorEastAsia" w:eastAsiaTheme="minorEastAsia" w:cstheme="minorEastAsia"/>
                <w:i w:val="0"/>
                <w:iCs w:val="0"/>
                <w:color w:val="000000"/>
                <w:kern w:val="0"/>
                <w:sz w:val="18"/>
                <w:szCs w:val="18"/>
                <w:highlight w:val="none"/>
                <w:u w:val="none"/>
                <w:lang w:val="en-US" w:eastAsia="zh-CN" w:bidi="ar"/>
              </w:rPr>
            </w:pPr>
            <w:r>
              <w:rPr>
                <w:rFonts w:hint="eastAsia" w:asciiTheme="minorEastAsia" w:hAnsiTheme="minorEastAsia" w:cstheme="minorEastAsia"/>
                <w:i w:val="0"/>
                <w:iCs w:val="0"/>
                <w:color w:val="000000"/>
                <w:kern w:val="0"/>
                <w:sz w:val="18"/>
                <w:szCs w:val="18"/>
                <w:highlight w:val="none"/>
                <w:u w:val="none"/>
                <w:lang w:val="en-US" w:eastAsia="zh-CN" w:bidi="ar"/>
              </w:rPr>
              <w:t>2023</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年度</w:t>
            </w:r>
          </w:p>
        </w:tc>
        <w:tc>
          <w:tcPr>
            <w:tcW w:w="1841" w:type="pct"/>
            <w:gridSpan w:val="4"/>
            <w:tcBorders>
              <w:top w:val="nil"/>
              <w:left w:val="nil"/>
              <w:bottom w:val="single" w:color="auto" w:sz="4" w:space="0"/>
              <w:right w:val="nil"/>
            </w:tcBorders>
            <w:noWrap/>
            <w:vAlign w:val="bottom"/>
          </w:tcPr>
          <w:p>
            <w:pPr>
              <w:jc w:val="right"/>
              <w:rPr>
                <w:rFonts w:hint="default" w:asciiTheme="minorEastAsia" w:hAnsiTheme="minorEastAsia" w:eastAsiaTheme="minorEastAsia" w:cstheme="minorEastAsia"/>
                <w:i w:val="0"/>
                <w:iCs w:val="0"/>
                <w:color w:val="000000"/>
                <w:kern w:val="0"/>
                <w:sz w:val="18"/>
                <w:szCs w:val="18"/>
                <w:highlight w:val="none"/>
                <w:u w:val="none"/>
                <w:lang w:val="en-US" w:eastAsia="zh-CN" w:bidi="ar"/>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1674" w:type="pct"/>
            <w:gridSpan w:val="3"/>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人员经费</w:t>
            </w:r>
          </w:p>
        </w:tc>
        <w:tc>
          <w:tcPr>
            <w:tcW w:w="3325" w:type="pct"/>
            <w:gridSpan w:val="8"/>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公用经费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lang w:val="en-US"/>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科目代码</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科目名称</w:t>
            </w:r>
          </w:p>
        </w:tc>
        <w:tc>
          <w:tcPr>
            <w:tcW w:w="44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w:t>
            </w:r>
          </w:p>
        </w:tc>
        <w:tc>
          <w:tcPr>
            <w:tcW w:w="42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lang w:val="en-US" w:eastAsia="zh-CN"/>
              </w:rPr>
            </w:pPr>
            <w:r>
              <w:rPr>
                <w:rFonts w:hint="eastAsia" w:ascii="方正仿宋_GB2312" w:hAnsi="方正仿宋_GB2312" w:eastAsia="方正仿宋_GB2312" w:cs="方正仿宋_GB2312"/>
                <w:i w:val="0"/>
                <w:iCs w:val="0"/>
                <w:color w:val="000000"/>
                <w:sz w:val="18"/>
                <w:szCs w:val="18"/>
                <w:highlight w:val="none"/>
                <w:u w:val="none"/>
                <w:lang w:val="en-US" w:eastAsia="zh-CN"/>
              </w:rPr>
              <w:t>科目代码</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科目名称</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w:t>
            </w:r>
          </w:p>
        </w:tc>
        <w:tc>
          <w:tcPr>
            <w:tcW w:w="42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lang w:val="en-US" w:eastAsia="zh-CN"/>
              </w:rPr>
            </w:pPr>
            <w:r>
              <w:rPr>
                <w:rFonts w:hint="eastAsia" w:ascii="方正仿宋_GB2312" w:hAnsi="方正仿宋_GB2312" w:eastAsia="方正仿宋_GB2312" w:cs="方正仿宋_GB2312"/>
                <w:i w:val="0"/>
                <w:iCs w:val="0"/>
                <w:color w:val="000000"/>
                <w:sz w:val="18"/>
                <w:szCs w:val="18"/>
                <w:highlight w:val="none"/>
                <w:u w:val="none"/>
                <w:lang w:val="en-US" w:eastAsia="zh-CN"/>
              </w:rPr>
              <w:t>科目代码</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科目名称</w:t>
            </w:r>
          </w:p>
        </w:tc>
        <w:tc>
          <w:tcPr>
            <w:tcW w:w="44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工资福利支出</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商品和服务支出</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307</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债务利息及费用支出</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30101</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基本工资</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30201</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办公费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30701</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国内债务付息</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30102</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津贴补贴</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30202</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印刷费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30702</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国外债务付息</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30103</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奖金</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30203</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咨询费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资本性支出</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30106</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伙食补助费</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30204</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手续费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31001</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房屋建筑物购建</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30107</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绩效工资</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30205</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水费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31002</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办公设备购置</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30108</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机关事业单位基本养老保险缴费</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30206</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电费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31003</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专用设备购置</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30109</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职业年金缴费</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30207</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邮电费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31005</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基础设施建设</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30110</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职工基本医疗保险缴费</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30208</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取暖费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31006</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大型修缮</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30111</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公务员医疗补助缴费</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30209</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物业管理费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31007</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信息网络及软件购置更新</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30112</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其他社会保障缴费</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30211</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差旅费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31008</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物资储备</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30113</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住房公积金</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30212</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因公出国（境）费用</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31009</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土地补偿</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30114</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医疗费</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30213</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维修（护）费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31010</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安置补助</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30199</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其他工资福利支出</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30214</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租赁费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31011</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地上附着物和青苗补偿</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对个人和家庭的补助</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30215</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会议费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31012</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拆迁补偿</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30301</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离休费</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30216</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培训费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31013</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30302</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退休费</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30217</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公务接待费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31019</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其他交通工具购置</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30303</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退职（役）费</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30218</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专用材料费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31021</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文物和陈列品购置</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30304</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抚恤金</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30224</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被装购置费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31022</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无形资产购置</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30305</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生活补助</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30225</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专用燃料费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31099</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其他资本性支出</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30306</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救济费</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30226</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劳务费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对企业补助</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30307</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医疗费补助</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30227</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委托业务费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31201</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资本金注入</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30308</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助学金</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30228</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工会经费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31203</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政府投资基金股权投资</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30309</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奖励金</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30229</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福利费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31204</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费用补贴</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30310</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个人农业生产补贴</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30231</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公务用车运行维护费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31205</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利息补贴</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30311</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代缴社会保险费</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30239</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其他交通费用</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31299</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其他对企业补助</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30399</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其他对个人和家庭的补助</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30240</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税金及附加费用</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其他支出</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jc w:val="center"/>
              <w:rPr>
                <w:rFonts w:hint="eastAsia" w:asciiTheme="minorEastAsia" w:hAnsiTheme="minorEastAsia" w:eastAsiaTheme="minorEastAsia" w:cstheme="minorEastAsia"/>
                <w:i w:val="0"/>
                <w:iCs w:val="0"/>
                <w:color w:val="000000"/>
                <w:sz w:val="18"/>
                <w:szCs w:val="18"/>
                <w:highlight w:val="none"/>
                <w:u w:val="none"/>
              </w:rPr>
            </w:pPr>
          </w:p>
        </w:tc>
        <w:tc>
          <w:tcPr>
            <w:tcW w:w="799"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449" w:type="pct"/>
            <w:tcBorders>
              <w:top w:val="single" w:color="auto" w:sz="4" w:space="0"/>
              <w:left w:val="single" w:color="auto" w:sz="4" w:space="0"/>
              <w:bottom w:val="single" w:color="auto" w:sz="4" w:space="0"/>
              <w:right w:val="single" w:color="auto" w:sz="4" w:space="0"/>
            </w:tcBorders>
            <w:noWrap/>
            <w:vAlign w:val="center"/>
          </w:tcPr>
          <w:p>
            <w:pPr>
              <w:jc w:val="lef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30299</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其他商品和服务支出</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39907</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国家赔偿费用支出</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jc w:val="center"/>
              <w:rPr>
                <w:rFonts w:hint="eastAsia" w:asciiTheme="minorEastAsia" w:hAnsiTheme="minorEastAsia" w:eastAsiaTheme="minorEastAsia" w:cstheme="minorEastAsia"/>
                <w:i w:val="0"/>
                <w:iCs w:val="0"/>
                <w:color w:val="000000"/>
                <w:sz w:val="18"/>
                <w:szCs w:val="18"/>
                <w:highlight w:val="none"/>
                <w:u w:val="none"/>
              </w:rPr>
            </w:pPr>
          </w:p>
        </w:tc>
        <w:tc>
          <w:tcPr>
            <w:tcW w:w="799"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449"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lef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39908</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对民间非营利组织和群众性自治组织补贴</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jc w:val="center"/>
              <w:rPr>
                <w:rFonts w:hint="eastAsia" w:asciiTheme="minorEastAsia" w:hAnsiTheme="minorEastAsia" w:eastAsiaTheme="minorEastAsia" w:cstheme="minorEastAsia"/>
                <w:i w:val="0"/>
                <w:iCs w:val="0"/>
                <w:color w:val="000000"/>
                <w:sz w:val="18"/>
                <w:szCs w:val="18"/>
                <w:highlight w:val="none"/>
                <w:u w:val="none"/>
              </w:rPr>
            </w:pPr>
          </w:p>
        </w:tc>
        <w:tc>
          <w:tcPr>
            <w:tcW w:w="799"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449"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lef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39909</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经常性赠与</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jc w:val="center"/>
              <w:rPr>
                <w:rFonts w:hint="eastAsia" w:asciiTheme="minorEastAsia" w:hAnsiTheme="minorEastAsia" w:eastAsiaTheme="minorEastAsia" w:cstheme="minorEastAsia"/>
                <w:i w:val="0"/>
                <w:iCs w:val="0"/>
                <w:color w:val="000000"/>
                <w:sz w:val="18"/>
                <w:szCs w:val="18"/>
                <w:highlight w:val="none"/>
                <w:u w:val="none"/>
              </w:rPr>
            </w:pPr>
          </w:p>
        </w:tc>
        <w:tc>
          <w:tcPr>
            <w:tcW w:w="799"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449"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lef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39910</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资本性赠与</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jc w:val="center"/>
              <w:rPr>
                <w:rFonts w:hint="eastAsia" w:asciiTheme="minorEastAsia" w:hAnsiTheme="minorEastAsia" w:eastAsiaTheme="minorEastAsia" w:cstheme="minorEastAsia"/>
                <w:i w:val="0"/>
                <w:iCs w:val="0"/>
                <w:color w:val="000000"/>
                <w:sz w:val="18"/>
                <w:szCs w:val="18"/>
                <w:highlight w:val="none"/>
                <w:u w:val="none"/>
              </w:rPr>
            </w:pPr>
          </w:p>
        </w:tc>
        <w:tc>
          <w:tcPr>
            <w:tcW w:w="799"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449"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lef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39999</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其他支出</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1225" w:type="pct"/>
            <w:gridSpan w:val="2"/>
            <w:tcBorders>
              <w:top w:val="single" w:color="auto" w:sz="4" w:space="0"/>
              <w:left w:val="single" w:color="auto" w:sz="4" w:space="0"/>
              <w:bottom w:val="single" w:color="auto" w:sz="4" w:space="0"/>
              <w:right w:val="single" w:color="auto" w:sz="4" w:space="0"/>
            </w:tcBorders>
            <w:noWrap/>
            <w:vAlign w:val="center"/>
          </w:tcPr>
          <w:p>
            <w:pPr>
              <w:jc w:val="center"/>
              <w:rPr>
                <w:rFonts w:hint="default" w:ascii="Times New Roman" w:hAnsi="Times New Roman" w:cs="Times New Roman" w:eastAsiaTheme="minorEastAsia"/>
                <w:sz w:val="18"/>
                <w:szCs w:val="18"/>
                <w:highlight w:val="none"/>
                <w:lang w:val="en-US" w:eastAsia="zh-CN"/>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人员经费合计</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sz w:val="18"/>
                <w:szCs w:val="18"/>
                <w:highlight w:val="none"/>
              </w:rPr>
            </w:pPr>
          </w:p>
        </w:tc>
        <w:tc>
          <w:tcPr>
            <w:tcW w:w="2875" w:type="pct"/>
            <w:gridSpan w:val="7"/>
            <w:tcBorders>
              <w:top w:val="single" w:color="auto" w:sz="4" w:space="0"/>
              <w:left w:val="single" w:color="auto" w:sz="4" w:space="0"/>
              <w:bottom w:val="single" w:color="auto" w:sz="4" w:space="0"/>
              <w:right w:val="single" w:color="auto" w:sz="4" w:space="0"/>
            </w:tcBorders>
            <w:noWrap/>
            <w:vAlign w:val="center"/>
          </w:tcPr>
          <w:p>
            <w:pPr>
              <w:jc w:val="center"/>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公用经费合计</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5000" w:type="pct"/>
            <w:gridSpan w:val="11"/>
            <w:tcBorders>
              <w:top w:val="single" w:color="auto" w:sz="4" w:space="0"/>
              <w:left w:val="nil"/>
              <w:bottom w:val="nil"/>
              <w:right w:val="nil"/>
            </w:tcBorders>
            <w:noWrap/>
            <w:vAlign w:val="center"/>
          </w:tcPr>
          <w:p>
            <w:pPr>
              <w:ind w:firstLine="360" w:firstLineChars="200"/>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注：本表反映部门本年度一般公共预算财政拨款基本支出明细情况。</w:t>
            </w:r>
          </w:p>
          <w:p>
            <w:pPr>
              <w:ind w:firstLine="720" w:firstLineChars="400"/>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我部门本年度无一般公共预算财政拨款基本支出，按要求空表列示。</w:t>
            </w:r>
          </w:p>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8"/>
                <w:szCs w:val="18"/>
                <w:highlight w:val="none"/>
                <w:u w:val="none"/>
              </w:rPr>
            </w:pPr>
          </w:p>
        </w:tc>
      </w:tr>
    </w:tbl>
    <w:p>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仿宋_GB2312" w:hAnsi="宋体" w:eastAsia="仿宋_GB2312"/>
          <w:b/>
          <w:color w:val="auto"/>
          <w:kern w:val="0"/>
          <w:sz w:val="32"/>
          <w:szCs w:val="32"/>
          <w:highlight w:val="none"/>
        </w:rPr>
      </w:pPr>
    </w:p>
    <w:tbl>
      <w:tblPr>
        <w:tblStyle w:val="11"/>
        <w:tblW w:w="6517" w:type="pct"/>
        <w:tblInd w:w="-140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60"/>
        <w:gridCol w:w="1474"/>
        <w:gridCol w:w="1306"/>
        <w:gridCol w:w="1027"/>
        <w:gridCol w:w="1107"/>
        <w:gridCol w:w="418"/>
        <w:gridCol w:w="702"/>
        <w:gridCol w:w="1146"/>
        <w:gridCol w:w="204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5000" w:type="pct"/>
            <w:gridSpan w:val="9"/>
            <w:tcBorders>
              <w:top w:val="nil"/>
              <w:left w:val="nil"/>
              <w:bottom w:val="nil"/>
              <w:right w:val="nil"/>
            </w:tcBorders>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政府性基金预算财政拨款收入支出决算表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000" w:type="pct"/>
            <w:gridSpan w:val="9"/>
            <w:tcBorders>
              <w:top w:val="nil"/>
              <w:left w:val="nil"/>
              <w:bottom w:val="nil"/>
              <w:right w:val="nil"/>
            </w:tcBorders>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宋体" w:cs="Times New Roman"/>
                <w:i w:val="0"/>
                <w:iCs w:val="0"/>
                <w:color w:val="000000"/>
                <w:kern w:val="0"/>
                <w:sz w:val="20"/>
                <w:szCs w:val="20"/>
                <w:highlight w:val="none"/>
                <w:u w:val="none"/>
                <w:lang w:val="en-US" w:eastAsia="zh-CN" w:bidi="ar"/>
              </w:rPr>
              <w:t>07</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927" w:type="pct"/>
            <w:gridSpan w:val="3"/>
            <w:tcBorders>
              <w:top w:val="nil"/>
              <w:left w:val="nil"/>
              <w:bottom w:val="single" w:color="auto" w:sz="4" w:space="0"/>
              <w:right w:val="nil"/>
            </w:tcBorders>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编制部门（单位）：保定市徐水区消防救援大队 </w:t>
            </w:r>
            <w:r>
              <w:rPr>
                <w:rFonts w:hint="eastAsia" w:ascii="宋体" w:hAnsi="宋体" w:eastAsia="宋体" w:cs="宋体"/>
                <w:i w:val="0"/>
                <w:iCs w:val="0"/>
                <w:color w:val="000000"/>
                <w:kern w:val="0"/>
                <w:sz w:val="20"/>
                <w:szCs w:val="20"/>
                <w:highlight w:val="none"/>
                <w:u w:val="none"/>
                <w:lang w:val="en-US" w:eastAsia="zh-CN" w:bidi="ar"/>
              </w:rPr>
              <w:t xml:space="preserve">                                                                                     </w:t>
            </w:r>
          </w:p>
        </w:tc>
        <w:tc>
          <w:tcPr>
            <w:tcW w:w="1217" w:type="pct"/>
            <w:gridSpan w:val="3"/>
            <w:tcBorders>
              <w:top w:val="nil"/>
              <w:left w:val="nil"/>
              <w:bottom w:val="single" w:color="auto" w:sz="4" w:space="0"/>
              <w:right w:val="nil"/>
            </w:tcBorders>
            <w:noWrap/>
            <w:vAlign w:val="bottom"/>
          </w:tcPr>
          <w:p>
            <w:pPr>
              <w:keepNext w:val="0"/>
              <w:keepLines w:val="0"/>
              <w:widowControl/>
              <w:suppressLineNumbers w:val="0"/>
              <w:jc w:val="center"/>
              <w:textAlignment w:val="bottom"/>
              <w:rPr>
                <w:rFonts w:hint="default" w:ascii="宋体" w:hAnsi="宋体" w:eastAsia="宋体" w:cs="宋体"/>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2023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854" w:type="pct"/>
            <w:gridSpan w:val="3"/>
            <w:tcBorders>
              <w:top w:val="nil"/>
              <w:left w:val="nil"/>
              <w:bottom w:val="single" w:color="auto" w:sz="4" w:space="0"/>
              <w:right w:val="nil"/>
            </w:tcBorders>
            <w:noWrap/>
            <w:vAlign w:val="bottom"/>
          </w:tcPr>
          <w:p>
            <w:pPr>
              <w:keepNext w:val="0"/>
              <w:keepLines w:val="0"/>
              <w:widowControl/>
              <w:suppressLineNumbers w:val="0"/>
              <w:jc w:val="right"/>
              <w:textAlignment w:val="bottom"/>
              <w:rPr>
                <w:rFonts w:hint="default" w:ascii="宋体" w:hAnsi="宋体" w:eastAsia="宋体" w:cs="宋体"/>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304" w:type="pct"/>
            <w:gridSpan w:val="2"/>
            <w:tcBorders>
              <w:top w:val="single" w:color="auto"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623" w:type="pct"/>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年初结转和结余</w:t>
            </w:r>
          </w:p>
        </w:tc>
        <w:tc>
          <w:tcPr>
            <w:tcW w:w="489" w:type="pct"/>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本年收入</w:t>
            </w:r>
          </w:p>
        </w:tc>
        <w:tc>
          <w:tcPr>
            <w:tcW w:w="1609" w:type="pct"/>
            <w:gridSpan w:val="4"/>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本年支出</w:t>
            </w:r>
          </w:p>
        </w:tc>
        <w:tc>
          <w:tcPr>
            <w:tcW w:w="973" w:type="pct"/>
            <w:vMerge w:val="restart"/>
            <w:tcBorders>
              <w:top w:val="single" w:color="auto" w:sz="4" w:space="0"/>
              <w:left w:val="nil"/>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年末结转和结余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01" w:type="pct"/>
            <w:vMerge w:val="restart"/>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703" w:type="pct"/>
            <w:vMerge w:val="restar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623" w:type="pct"/>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489" w:type="pct"/>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28" w:type="pct"/>
            <w:vMerge w:val="restar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小计</w:t>
            </w:r>
          </w:p>
        </w:tc>
        <w:tc>
          <w:tcPr>
            <w:tcW w:w="534" w:type="pct"/>
            <w:gridSpan w:val="2"/>
            <w:vMerge w:val="restar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基本支出</w:t>
            </w:r>
          </w:p>
        </w:tc>
        <w:tc>
          <w:tcPr>
            <w:tcW w:w="546" w:type="pct"/>
            <w:vMerge w:val="restar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项目支出</w:t>
            </w:r>
          </w:p>
        </w:tc>
        <w:tc>
          <w:tcPr>
            <w:tcW w:w="973" w:type="pct"/>
            <w:vMerge w:val="continue"/>
            <w:tcBorders>
              <w:left w:val="nil"/>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结转</w:t>
            </w:r>
          </w:p>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结余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01" w:type="pct"/>
            <w:vMerge w:val="continue"/>
            <w:tcBorders>
              <w:top w:val="nil"/>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703" w:type="pct"/>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623" w:type="pct"/>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489" w:type="pct"/>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28" w:type="pct"/>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34" w:type="pct"/>
            <w:gridSpan w:val="2"/>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46" w:type="pct"/>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973" w:type="pct"/>
            <w:vMerge w:val="continue"/>
            <w:tcBorders>
              <w:left w:val="nil"/>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01" w:type="pct"/>
            <w:vMerge w:val="continue"/>
            <w:tcBorders>
              <w:top w:val="nil"/>
              <w:left w:val="single" w:color="000000" w:sz="4" w:space="0"/>
              <w:bottom w:val="single" w:color="auto"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703" w:type="pct"/>
            <w:vMerge w:val="continue"/>
            <w:tcBorders>
              <w:top w:val="nil"/>
              <w:left w:val="nil"/>
              <w:bottom w:val="single" w:color="auto"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623" w:type="pct"/>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489" w:type="pct"/>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28" w:type="pct"/>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34" w:type="pct"/>
            <w:gridSpan w:val="2"/>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46" w:type="pct"/>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973" w:type="pct"/>
            <w:vMerge w:val="continue"/>
            <w:tcBorders>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304" w:type="pct"/>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623" w:type="pct"/>
            <w:tcBorders>
              <w:top w:val="nil"/>
              <w:left w:val="single" w:color="auto"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1</w:t>
            </w:r>
          </w:p>
        </w:tc>
        <w:tc>
          <w:tcPr>
            <w:tcW w:w="489"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2</w:t>
            </w:r>
          </w:p>
        </w:tc>
        <w:tc>
          <w:tcPr>
            <w:tcW w:w="528"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3</w:t>
            </w:r>
          </w:p>
        </w:tc>
        <w:tc>
          <w:tcPr>
            <w:tcW w:w="534"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4</w:t>
            </w:r>
          </w:p>
        </w:tc>
        <w:tc>
          <w:tcPr>
            <w:tcW w:w="54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5</w:t>
            </w:r>
          </w:p>
        </w:tc>
        <w:tc>
          <w:tcPr>
            <w:tcW w:w="973"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lang w:val="en-US" w:eastAsia="zh-CN"/>
              </w:rPr>
            </w:pPr>
            <w:r>
              <w:rPr>
                <w:rFonts w:hint="default" w:ascii="Times New Roman" w:hAnsi="Times New Roman" w:eastAsia="方正仿宋_GB2312" w:cs="Times New Roman"/>
                <w:i w:val="0"/>
                <w:iCs w:val="0"/>
                <w:color w:val="000000"/>
                <w:sz w:val="20"/>
                <w:szCs w:val="20"/>
                <w:highlight w:val="none"/>
                <w:u w:val="none"/>
                <w:lang w:val="en-US" w:eastAsia="zh-CN"/>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9" w:hRule="atLeast"/>
        </w:trPr>
        <w:tc>
          <w:tcPr>
            <w:tcW w:w="1304" w:type="pct"/>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623" w:type="pct"/>
            <w:tcBorders>
              <w:top w:val="nil"/>
              <w:left w:val="single" w:color="auto" w:sz="4" w:space="0"/>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48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8"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34"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4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97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000" w:type="pct"/>
            <w:gridSpan w:val="9"/>
            <w:tcBorders>
              <w:top w:val="nil"/>
              <w:left w:val="nil"/>
              <w:bottom w:val="nil"/>
              <w:right w:val="nil"/>
            </w:tcBorders>
            <w:noWrap/>
            <w:vAlign w:val="center"/>
          </w:tcPr>
          <w:p>
            <w:pPr>
              <w:ind w:firstLine="400" w:firstLineChars="200"/>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注：本表反映部门本年度政府性基金预算财政拨款收入、支出及结转和结余情况。</w:t>
            </w:r>
          </w:p>
          <w:p>
            <w:pPr>
              <w:ind w:firstLine="800" w:firstLineChars="400"/>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我部门本年度无政府性基金预算财政拨款收入、支出及结转和结余情况，按要求空表列示。</w:t>
            </w:r>
          </w:p>
          <w:p>
            <w:pP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br w:type="page"/>
            </w:r>
          </w:p>
        </w:tc>
      </w:tr>
    </w:tbl>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p>
      <w:pPr>
        <w:keepNext w:val="0"/>
        <w:keepLines w:val="0"/>
        <w:widowControl/>
        <w:suppressLineNumbers w:val="0"/>
        <w:jc w:val="center"/>
        <w:textAlignment w:val="bottom"/>
        <w:rPr>
          <w:rFonts w:hint="eastAsia" w:ascii="宋体" w:hAnsi="宋体" w:eastAsia="宋体" w:cs="宋体"/>
          <w:spacing w:val="-2"/>
          <w:sz w:val="20"/>
          <w:highlight w:val="none"/>
          <w:lang w:val="en-US" w:eastAsia="zh-CN"/>
        </w:rPr>
      </w:pPr>
    </w:p>
    <w:tbl>
      <w:tblPr>
        <w:tblStyle w:val="11"/>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017"/>
        <w:gridCol w:w="731"/>
        <w:gridCol w:w="1296"/>
        <w:gridCol w:w="1332"/>
        <w:gridCol w:w="5"/>
        <w:gridCol w:w="47"/>
        <w:gridCol w:w="1281"/>
        <w:gridCol w:w="10"/>
        <w:gridCol w:w="132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5000" w:type="pct"/>
            <w:gridSpan w:val="9"/>
            <w:tcBorders>
              <w:top w:val="nil"/>
              <w:left w:val="nil"/>
              <w:bottom w:val="nil"/>
              <w:right w:val="nil"/>
            </w:tcBorders>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国有资本经营预算财政拨款支出决算表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000" w:type="pct"/>
            <w:gridSpan w:val="9"/>
            <w:tcBorders>
              <w:top w:val="nil"/>
              <w:left w:val="nil"/>
              <w:bottom w:val="nil"/>
              <w:right w:val="nil"/>
            </w:tcBorders>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方正仿宋_GB2312" w:cs="Times New Roman"/>
                <w:i w:val="0"/>
                <w:iCs w:val="0"/>
                <w:color w:val="000000"/>
                <w:kern w:val="0"/>
                <w:sz w:val="20"/>
                <w:szCs w:val="20"/>
                <w:highlight w:val="none"/>
                <w:u w:val="none"/>
                <w:lang w:val="en-US" w:eastAsia="zh-CN" w:bidi="ar"/>
              </w:rPr>
              <w:t>08</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708" w:type="pct"/>
            <w:gridSpan w:val="2"/>
            <w:tcBorders>
              <w:top w:val="nil"/>
              <w:left w:val="nil"/>
              <w:bottom w:val="single" w:color="auto" w:sz="4" w:space="0"/>
              <w:right w:val="nil"/>
            </w:tcBorders>
            <w:noWrap/>
            <w:vAlign w:val="bottom"/>
          </w:tcPr>
          <w:p>
            <w:pPr>
              <w:keepNext w:val="0"/>
              <w:keepLines w:val="0"/>
              <w:widowControl/>
              <w:suppressLineNumbers w:val="0"/>
              <w:jc w:val="both"/>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编制部门（单位）：保定市徐水区消防救援大队</w:t>
            </w:r>
          </w:p>
        </w:tc>
        <w:tc>
          <w:tcPr>
            <w:tcW w:w="1666" w:type="pct"/>
            <w:gridSpan w:val="4"/>
            <w:tcBorders>
              <w:top w:val="nil"/>
              <w:left w:val="nil"/>
              <w:bottom w:val="single" w:color="auto" w:sz="4" w:space="0"/>
              <w:right w:val="nil"/>
            </w:tcBorders>
            <w:noWrap/>
            <w:vAlign w:val="bottom"/>
          </w:tcPr>
          <w:p>
            <w:pPr>
              <w:keepNext w:val="0"/>
              <w:keepLines w:val="0"/>
              <w:widowControl/>
              <w:suppressLineNumbers w:val="0"/>
              <w:jc w:val="center"/>
              <w:textAlignment w:val="bottom"/>
              <w:rPr>
                <w:rFonts w:hint="default" w:ascii="宋体" w:hAnsi="宋体" w:eastAsia="宋体" w:cs="宋体"/>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2023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624" w:type="pct"/>
            <w:gridSpan w:val="3"/>
            <w:tcBorders>
              <w:top w:val="nil"/>
              <w:left w:val="nil"/>
              <w:bottom w:val="single" w:color="auto" w:sz="4" w:space="0"/>
              <w:right w:val="nil"/>
            </w:tcBorders>
            <w:noWrap/>
            <w:vAlign w:val="bottom"/>
          </w:tcPr>
          <w:p>
            <w:pPr>
              <w:keepNext w:val="0"/>
              <w:keepLines w:val="0"/>
              <w:widowControl/>
              <w:suppressLineNumbers w:val="0"/>
              <w:jc w:val="right"/>
              <w:textAlignment w:val="bottom"/>
              <w:rPr>
                <w:rFonts w:hint="default" w:ascii="宋体" w:hAnsi="宋体" w:eastAsia="宋体" w:cs="宋体"/>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515" w:type="pct"/>
            <w:gridSpan w:val="3"/>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 项目</w:t>
            </w:r>
          </w:p>
        </w:tc>
        <w:tc>
          <w:tcPr>
            <w:tcW w:w="2484" w:type="pct"/>
            <w:gridSpan w:val="6"/>
            <w:vMerge w:val="restart"/>
            <w:tcBorders>
              <w:top w:val="single" w:color="auto" w:sz="4" w:space="0"/>
              <w:left w:val="single" w:color="auto" w:sz="4" w:space="0"/>
              <w:right w:val="single" w:color="000000" w:sz="4" w:space="0"/>
            </w:tcBorders>
            <w:noWrap w:val="0"/>
            <w:vAlign w:val="center"/>
          </w:tcPr>
          <w:p>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本年支出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515" w:type="pct"/>
            <w:gridSpan w:val="3"/>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2484" w:type="pct"/>
            <w:gridSpan w:val="6"/>
            <w:vMerge w:val="continue"/>
            <w:tcBorders>
              <w:left w:val="single" w:color="auto"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1254" w:type="pct"/>
            <w:vMerge w:val="restar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1260" w:type="pct"/>
            <w:gridSpan w:val="2"/>
            <w:vMerge w:val="restar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科目名称</w:t>
            </w:r>
          </w:p>
        </w:tc>
        <w:tc>
          <w:tcPr>
            <w:tcW w:w="831" w:type="pct"/>
            <w:gridSpan w:val="2"/>
            <w:vMerge w:val="restart"/>
            <w:tcBorders>
              <w:top w:val="nil"/>
              <w:left w:val="single" w:color="auto"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合计</w:t>
            </w:r>
          </w:p>
        </w:tc>
        <w:tc>
          <w:tcPr>
            <w:tcW w:w="831" w:type="pct"/>
            <w:gridSpan w:val="3"/>
            <w:vMerge w:val="restart"/>
            <w:tcBorders>
              <w:top w:val="nil"/>
              <w:left w:val="nil"/>
              <w:right w:val="single" w:color="000000" w:sz="4" w:space="0"/>
            </w:tcBorders>
            <w:noWrap w:val="0"/>
            <w:vAlign w:val="center"/>
          </w:tcPr>
          <w:p>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基本支出</w:t>
            </w:r>
          </w:p>
        </w:tc>
        <w:tc>
          <w:tcPr>
            <w:tcW w:w="821" w:type="pct"/>
            <w:vMerge w:val="restart"/>
            <w:tcBorders>
              <w:top w:val="nil"/>
              <w:left w:val="nil"/>
              <w:right w:val="single" w:color="000000" w:sz="4" w:space="0"/>
            </w:tcBorders>
            <w:noWrap w:val="0"/>
            <w:vAlign w:val="center"/>
          </w:tcPr>
          <w:p>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项目支出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1254" w:type="pct"/>
            <w:vMerge w:val="continue"/>
            <w:tcBorders>
              <w:top w:val="single" w:color="auto" w:sz="4" w:space="0"/>
              <w:left w:val="single" w:color="auto" w:sz="4" w:space="0"/>
              <w:bottom w:val="single" w:color="auto"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260" w:type="pct"/>
            <w:gridSpan w:val="2"/>
            <w:vMerge w:val="continue"/>
            <w:tcBorders>
              <w:top w:val="single" w:color="auto" w:sz="4" w:space="0"/>
              <w:left w:val="nil"/>
              <w:bottom w:val="single" w:color="auto" w:sz="4" w:space="0"/>
              <w:right w:val="single" w:color="auto"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831" w:type="pct"/>
            <w:gridSpan w:val="2"/>
            <w:vMerge w:val="continue"/>
            <w:tcBorders>
              <w:left w:val="single" w:color="auto"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831" w:type="pct"/>
            <w:gridSpan w:val="3"/>
            <w:vMerge w:val="continue"/>
            <w:tcBorders>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821" w:type="pct"/>
            <w:vMerge w:val="continue"/>
            <w:tcBorders>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2515" w:type="pct"/>
            <w:gridSpan w:val="3"/>
            <w:tcBorders>
              <w:top w:val="single" w:color="auto" w:sz="4" w:space="0"/>
              <w:left w:val="single" w:color="auto" w:sz="4" w:space="0"/>
              <w:bottom w:val="single" w:color="000000" w:sz="4" w:space="0"/>
              <w:right w:val="single" w:color="auto" w:sz="4" w:space="0"/>
            </w:tcBorders>
            <w:noWrap/>
            <w:vAlign w:val="center"/>
          </w:tcPr>
          <w:p>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栏次</w:t>
            </w:r>
          </w:p>
        </w:tc>
        <w:tc>
          <w:tcPr>
            <w:tcW w:w="828" w:type="pct"/>
            <w:tcBorders>
              <w:top w:val="nil"/>
              <w:left w:val="single" w:color="auto"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1</w:t>
            </w:r>
          </w:p>
        </w:tc>
        <w:tc>
          <w:tcPr>
            <w:tcW w:w="828" w:type="pct"/>
            <w:gridSpan w:val="3"/>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2</w:t>
            </w:r>
          </w:p>
        </w:tc>
        <w:tc>
          <w:tcPr>
            <w:tcW w:w="828"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2515" w:type="pct"/>
            <w:gridSpan w:val="3"/>
            <w:tcBorders>
              <w:top w:val="single" w:color="000000" w:sz="4" w:space="0"/>
              <w:left w:val="single" w:color="000000" w:sz="4" w:space="0"/>
              <w:bottom w:val="single" w:color="000000" w:sz="4" w:space="0"/>
              <w:right w:val="single" w:color="000000" w:sz="4" w:space="0"/>
            </w:tcBorders>
            <w:noWrap/>
            <w:vAlign w:val="center"/>
          </w:tcPr>
          <w:p>
            <w:pPr>
              <w:jc w:val="center"/>
              <w:rPr>
                <w:rFonts w:hint="default" w:ascii="Times New Roman" w:hAnsi="Times New Roman" w:eastAsia="宋体"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合计</w:t>
            </w:r>
          </w:p>
        </w:tc>
        <w:tc>
          <w:tcPr>
            <w:tcW w:w="828" w:type="pct"/>
            <w:tcBorders>
              <w:top w:val="single" w:color="000000" w:sz="4" w:space="0"/>
              <w:left w:val="single" w:color="000000" w:sz="4" w:space="0"/>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28" w:type="pct"/>
            <w:gridSpan w:val="3"/>
            <w:tcBorders>
              <w:top w:val="single" w:color="000000" w:sz="4" w:space="0"/>
              <w:left w:val="single" w:color="000000" w:sz="4" w:space="0"/>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28" w:type="pct"/>
            <w:gridSpan w:val="2"/>
            <w:tcBorders>
              <w:top w:val="single" w:color="000000" w:sz="4" w:space="0"/>
              <w:left w:val="single" w:color="000000" w:sz="4" w:space="0"/>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000" w:type="pct"/>
            <w:gridSpan w:val="9"/>
            <w:tcBorders>
              <w:top w:val="nil"/>
              <w:left w:val="nil"/>
              <w:bottom w:val="nil"/>
              <w:right w:val="nil"/>
            </w:tcBorders>
            <w:noWrap/>
            <w:vAlign w:val="center"/>
          </w:tcPr>
          <w:p>
            <w:pPr>
              <w:ind w:firstLine="400" w:firstLineChars="200"/>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注：本表反映部门本年度国有资本经营预算财政拨款支出情况。</w:t>
            </w:r>
          </w:p>
          <w:p>
            <w:pPr>
              <w:ind w:firstLine="800" w:firstLineChars="400"/>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我部门本年度无国有资本经营预算财政拨款支出情况，按要求空表列示。</w:t>
            </w:r>
          </w:p>
          <w:p>
            <w:pPr>
              <w:keepNext w:val="0"/>
              <w:keepLines w:val="0"/>
              <w:widowControl/>
              <w:suppressLineNumbers w:val="0"/>
              <w:jc w:val="left"/>
              <w:textAlignment w:val="center"/>
              <w:rPr>
                <w:rFonts w:hint="eastAsia"/>
              </w:rPr>
            </w:pPr>
          </w:p>
        </w:tc>
      </w:tr>
    </w:tbl>
    <w:p>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pPr w:leftFromText="180" w:rightFromText="180" w:vertAnchor="text" w:horzAnchor="page" w:tblpX="282" w:tblpY="39"/>
        <w:tblOverlap w:val="never"/>
        <w:tblW w:w="7211"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87"/>
        <w:gridCol w:w="1226"/>
        <w:gridCol w:w="814"/>
        <w:gridCol w:w="946"/>
        <w:gridCol w:w="519"/>
        <w:gridCol w:w="544"/>
        <w:gridCol w:w="777"/>
        <w:gridCol w:w="845"/>
        <w:gridCol w:w="5"/>
        <w:gridCol w:w="1133"/>
        <w:gridCol w:w="640"/>
        <w:gridCol w:w="1027"/>
        <w:gridCol w:w="946"/>
        <w:gridCol w:w="118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5000" w:type="pct"/>
            <w:gridSpan w:val="14"/>
            <w:tcBorders>
              <w:top w:val="nil"/>
              <w:left w:val="nil"/>
              <w:bottom w:val="nil"/>
              <w:right w:val="nil"/>
            </w:tcBorders>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财政拨款“三公”经费支出决算表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5000" w:type="pct"/>
            <w:gridSpan w:val="14"/>
            <w:tcBorders>
              <w:top w:val="nil"/>
              <w:left w:val="nil"/>
              <w:bottom w:val="nil"/>
              <w:right w:val="nil"/>
            </w:tcBorders>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公开</w:t>
            </w:r>
            <w:r>
              <w:rPr>
                <w:rFonts w:hint="default" w:ascii="Times New Roman" w:hAnsi="Times New Roman" w:eastAsia="方正仿宋_GB2312" w:cs="Times New Roman"/>
                <w:i w:val="0"/>
                <w:iCs w:val="0"/>
                <w:color w:val="000000"/>
                <w:kern w:val="0"/>
                <w:sz w:val="18"/>
                <w:szCs w:val="18"/>
                <w:highlight w:val="none"/>
                <w:u w:val="none"/>
                <w:lang w:val="en-US" w:eastAsia="zh-CN" w:bidi="ar"/>
              </w:rPr>
              <w:t>09</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1936" w:type="pct"/>
            <w:gridSpan w:val="5"/>
            <w:tcBorders>
              <w:top w:val="nil"/>
              <w:left w:val="nil"/>
              <w:bottom w:val="single" w:color="auto" w:sz="4" w:space="0"/>
              <w:right w:val="nil"/>
            </w:tcBorders>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编制部门（单位）：保定市徐水区消防救援大队</w:t>
            </w:r>
          </w:p>
        </w:tc>
        <w:tc>
          <w:tcPr>
            <w:tcW w:w="933" w:type="pct"/>
            <w:gridSpan w:val="3"/>
            <w:tcBorders>
              <w:top w:val="nil"/>
              <w:left w:val="nil"/>
              <w:bottom w:val="single" w:color="auto" w:sz="4" w:space="0"/>
              <w:right w:val="nil"/>
            </w:tcBorders>
            <w:noWrap/>
            <w:vAlign w:val="bottom"/>
          </w:tcPr>
          <w:p>
            <w:pPr>
              <w:keepNext w:val="0"/>
              <w:keepLines w:val="0"/>
              <w:widowControl/>
              <w:suppressLineNumbers w:val="0"/>
              <w:jc w:val="center"/>
              <w:textAlignment w:val="bottom"/>
              <w:rPr>
                <w:rFonts w:hint="default" w:ascii="宋体" w:hAnsi="宋体" w:eastAsia="宋体" w:cs="宋体"/>
                <w:i w:val="0"/>
                <w:iCs w:val="0"/>
                <w:color w:val="000000"/>
                <w:kern w:val="0"/>
                <w:sz w:val="18"/>
                <w:szCs w:val="18"/>
                <w:highlight w:val="none"/>
                <w:u w:val="none"/>
                <w:lang w:val="en-US" w:eastAsia="zh-CN" w:bidi="ar"/>
              </w:rPr>
            </w:pPr>
            <w:r>
              <w:rPr>
                <w:rFonts w:hint="default" w:ascii="Times New Roman" w:hAnsi="Times New Roman" w:eastAsia="宋体" w:cs="Times New Roman"/>
                <w:i w:val="0"/>
                <w:iCs w:val="0"/>
                <w:color w:val="000000"/>
                <w:kern w:val="0"/>
                <w:sz w:val="18"/>
                <w:szCs w:val="18"/>
                <w:highlight w:val="none"/>
                <w:u w:val="none"/>
                <w:lang w:val="en-US" w:eastAsia="zh-CN" w:bidi="ar"/>
              </w:rPr>
              <w:t>2023</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年度</w:t>
            </w:r>
          </w:p>
        </w:tc>
        <w:tc>
          <w:tcPr>
            <w:tcW w:w="2129" w:type="pct"/>
            <w:gridSpan w:val="6"/>
            <w:tcBorders>
              <w:top w:val="nil"/>
              <w:left w:val="nil"/>
              <w:bottom w:val="single" w:color="auto" w:sz="4" w:space="0"/>
              <w:right w:val="nil"/>
            </w:tcBorders>
            <w:noWrap/>
            <w:vAlign w:val="bottom"/>
          </w:tcPr>
          <w:p>
            <w:pPr>
              <w:keepNext w:val="0"/>
              <w:keepLines w:val="0"/>
              <w:widowControl/>
              <w:suppressLineNumbers w:val="0"/>
              <w:jc w:val="right"/>
              <w:textAlignment w:val="bottom"/>
              <w:rPr>
                <w:rFonts w:hint="default" w:ascii="宋体" w:hAnsi="宋体" w:eastAsia="宋体" w:cs="宋体"/>
                <w:i w:val="0"/>
                <w:iCs w:val="0"/>
                <w:color w:val="000000"/>
                <w:kern w:val="0"/>
                <w:sz w:val="18"/>
                <w:szCs w:val="18"/>
                <w:highlight w:val="none"/>
                <w:u w:val="none"/>
                <w:lang w:val="en-US" w:eastAsia="zh-CN" w:bidi="ar"/>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2506" w:type="pct"/>
            <w:gridSpan w:val="7"/>
            <w:tcBorders>
              <w:top w:val="single" w:color="auto"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预算数</w:t>
            </w:r>
          </w:p>
        </w:tc>
        <w:tc>
          <w:tcPr>
            <w:tcW w:w="2493" w:type="pct"/>
            <w:gridSpan w:val="7"/>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决算数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425" w:type="pct"/>
            <w:vMerge w:val="restar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合计</w:t>
            </w:r>
          </w:p>
        </w:tc>
        <w:tc>
          <w:tcPr>
            <w:tcW w:w="528" w:type="pct"/>
            <w:vMerge w:val="restar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因公出国（境）费</w:t>
            </w:r>
          </w:p>
        </w:tc>
        <w:tc>
          <w:tcPr>
            <w:tcW w:w="1217" w:type="pct"/>
            <w:gridSpan w:val="4"/>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公务用车购置及运行维护费</w:t>
            </w:r>
          </w:p>
        </w:tc>
        <w:tc>
          <w:tcPr>
            <w:tcW w:w="335" w:type="pct"/>
            <w:vMerge w:val="restar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公务接待费</w:t>
            </w:r>
          </w:p>
        </w:tc>
        <w:tc>
          <w:tcPr>
            <w:tcW w:w="366" w:type="pct"/>
            <w:gridSpan w:val="2"/>
            <w:vMerge w:val="restar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合计</w:t>
            </w:r>
          </w:p>
        </w:tc>
        <w:tc>
          <w:tcPr>
            <w:tcW w:w="488" w:type="pct"/>
            <w:vMerge w:val="restar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因公出国（境）费</w:t>
            </w:r>
          </w:p>
        </w:tc>
        <w:tc>
          <w:tcPr>
            <w:tcW w:w="1126" w:type="pct"/>
            <w:gridSpan w:val="3"/>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公务用车购置及运行维护费</w:t>
            </w:r>
          </w:p>
        </w:tc>
        <w:tc>
          <w:tcPr>
            <w:tcW w:w="511" w:type="pct"/>
            <w:vMerge w:val="restar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公务接待费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425" w:type="pct"/>
            <w:vMerge w:val="continue"/>
            <w:tcBorders>
              <w:top w:val="nil"/>
              <w:left w:val="single" w:color="000000" w:sz="4" w:space="0"/>
              <w:bottom w:val="single" w:color="000000" w:sz="4" w:space="0"/>
              <w:right w:val="single" w:color="000000" w:sz="4" w:space="0"/>
            </w:tcBorders>
            <w:noWrap/>
            <w:vAlign w:val="center"/>
          </w:tcPr>
          <w:p>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528" w:type="pct"/>
            <w:vMerge w:val="continue"/>
            <w:tcBorders>
              <w:top w:val="nil"/>
              <w:left w:val="nil"/>
              <w:bottom w:val="single" w:color="000000" w:sz="4" w:space="0"/>
              <w:right w:val="single" w:color="000000" w:sz="4" w:space="0"/>
            </w:tcBorders>
            <w:noWrap/>
            <w:vAlign w:val="center"/>
          </w:tcPr>
          <w:p>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350"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小计</w:t>
            </w:r>
          </w:p>
        </w:tc>
        <w:tc>
          <w:tcPr>
            <w:tcW w:w="40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公务用车购置费</w:t>
            </w:r>
          </w:p>
        </w:tc>
        <w:tc>
          <w:tcPr>
            <w:tcW w:w="458"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公务用车运行维护费</w:t>
            </w:r>
          </w:p>
        </w:tc>
        <w:tc>
          <w:tcPr>
            <w:tcW w:w="335" w:type="pct"/>
            <w:vMerge w:val="continue"/>
            <w:tcBorders>
              <w:top w:val="nil"/>
              <w:left w:val="nil"/>
              <w:bottom w:val="single" w:color="000000" w:sz="4" w:space="0"/>
              <w:right w:val="single" w:color="000000" w:sz="4" w:space="0"/>
            </w:tcBorders>
            <w:noWrap/>
            <w:vAlign w:val="center"/>
          </w:tcPr>
          <w:p>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366" w:type="pct"/>
            <w:gridSpan w:val="2"/>
            <w:vMerge w:val="continue"/>
            <w:tcBorders>
              <w:top w:val="nil"/>
              <w:left w:val="nil"/>
              <w:bottom w:val="single" w:color="000000" w:sz="4" w:space="0"/>
              <w:right w:val="single" w:color="000000" w:sz="4" w:space="0"/>
            </w:tcBorders>
            <w:noWrap/>
            <w:vAlign w:val="center"/>
          </w:tcPr>
          <w:p>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488" w:type="pct"/>
            <w:vMerge w:val="continue"/>
            <w:tcBorders>
              <w:top w:val="nil"/>
              <w:left w:val="nil"/>
              <w:bottom w:val="single" w:color="000000" w:sz="4" w:space="0"/>
              <w:right w:val="single" w:color="000000" w:sz="4" w:space="0"/>
            </w:tcBorders>
            <w:noWrap/>
            <w:vAlign w:val="center"/>
          </w:tcPr>
          <w:p>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275"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小计</w:t>
            </w:r>
          </w:p>
        </w:tc>
        <w:tc>
          <w:tcPr>
            <w:tcW w:w="442"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公务用车购置费</w:t>
            </w:r>
          </w:p>
        </w:tc>
        <w:tc>
          <w:tcPr>
            <w:tcW w:w="40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公务用车运行维护费</w:t>
            </w:r>
          </w:p>
        </w:tc>
        <w:tc>
          <w:tcPr>
            <w:tcW w:w="511" w:type="pct"/>
            <w:vMerge w:val="continue"/>
            <w:tcBorders>
              <w:top w:val="nil"/>
              <w:left w:val="nil"/>
              <w:bottom w:val="single" w:color="000000" w:sz="4" w:space="0"/>
              <w:right w:val="single" w:color="000000" w:sz="4" w:space="0"/>
            </w:tcBorders>
            <w:noWrap/>
            <w:vAlign w:val="center"/>
          </w:tcPr>
          <w:p>
            <w:pPr>
              <w:jc w:val="center"/>
              <w:rPr>
                <w:rFonts w:hint="eastAsia" w:ascii="方正仿宋_GB2312" w:hAnsi="方正仿宋_GB2312" w:eastAsia="方正仿宋_GB2312" w:cs="方正仿宋_GB2312"/>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425"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w:t>
            </w:r>
          </w:p>
        </w:tc>
        <w:tc>
          <w:tcPr>
            <w:tcW w:w="528"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2</w:t>
            </w:r>
          </w:p>
        </w:tc>
        <w:tc>
          <w:tcPr>
            <w:tcW w:w="350"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3</w:t>
            </w:r>
          </w:p>
        </w:tc>
        <w:tc>
          <w:tcPr>
            <w:tcW w:w="40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4</w:t>
            </w:r>
          </w:p>
        </w:tc>
        <w:tc>
          <w:tcPr>
            <w:tcW w:w="458"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5</w:t>
            </w:r>
          </w:p>
        </w:tc>
        <w:tc>
          <w:tcPr>
            <w:tcW w:w="335"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6</w:t>
            </w:r>
          </w:p>
        </w:tc>
        <w:tc>
          <w:tcPr>
            <w:tcW w:w="366"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7</w:t>
            </w:r>
          </w:p>
        </w:tc>
        <w:tc>
          <w:tcPr>
            <w:tcW w:w="488"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8</w:t>
            </w:r>
          </w:p>
        </w:tc>
        <w:tc>
          <w:tcPr>
            <w:tcW w:w="275"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9</w:t>
            </w:r>
          </w:p>
        </w:tc>
        <w:tc>
          <w:tcPr>
            <w:tcW w:w="442"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10</w:t>
            </w:r>
          </w:p>
        </w:tc>
        <w:tc>
          <w:tcPr>
            <w:tcW w:w="40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11</w:t>
            </w:r>
          </w:p>
        </w:tc>
        <w:tc>
          <w:tcPr>
            <w:tcW w:w="511"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425" w:type="pct"/>
            <w:tcBorders>
              <w:top w:val="nil"/>
              <w:left w:val="single" w:color="000000" w:sz="4" w:space="0"/>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p>
        </w:tc>
        <w:tc>
          <w:tcPr>
            <w:tcW w:w="528"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p>
        </w:tc>
        <w:tc>
          <w:tcPr>
            <w:tcW w:w="35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p>
        </w:tc>
        <w:tc>
          <w:tcPr>
            <w:tcW w:w="407"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p>
        </w:tc>
        <w:tc>
          <w:tcPr>
            <w:tcW w:w="458"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p>
        </w:tc>
        <w:tc>
          <w:tcPr>
            <w:tcW w:w="33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p>
        </w:tc>
        <w:tc>
          <w:tcPr>
            <w:tcW w:w="36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p>
        </w:tc>
        <w:tc>
          <w:tcPr>
            <w:tcW w:w="488"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p>
        </w:tc>
        <w:tc>
          <w:tcPr>
            <w:tcW w:w="27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p>
        </w:tc>
        <w:tc>
          <w:tcPr>
            <w:tcW w:w="44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p>
        </w:tc>
        <w:tc>
          <w:tcPr>
            <w:tcW w:w="407"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p>
        </w:tc>
        <w:tc>
          <w:tcPr>
            <w:tcW w:w="511"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5000" w:type="pct"/>
            <w:gridSpan w:val="14"/>
            <w:tcBorders>
              <w:top w:val="nil"/>
              <w:left w:val="nil"/>
              <w:bottom w:val="nil"/>
              <w:right w:val="nil"/>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注：本表反映部门本年度财政拨款“三公”经费支出预决算情况。其中：预算数为“三公”经费全年预算数，反映按规定程序调整后的预算数；决算数是包括当年财政拨款和以前年度结转资金安排的实际支出。</w:t>
            </w:r>
          </w:p>
          <w:p>
            <w:pPr>
              <w:keepNext w:val="0"/>
              <w:keepLines w:val="0"/>
              <w:widowControl/>
              <w:suppressLineNumbers w:val="0"/>
              <w:ind w:firstLine="360" w:firstLineChars="200"/>
              <w:jc w:val="left"/>
              <w:textAlignment w:val="center"/>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我部门本年度无财政拨款“三公”经费支出预决算情况。其中，预算数为“三公”经费全年预算数，反映按规定程序调整后的预算数；决算数是包括当年财政拨款和以前年度结转资金安排的实际支出，按要求空表列示。</w:t>
            </w:r>
          </w:p>
        </w:tc>
      </w:tr>
    </w:tbl>
    <w:p>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sectPr>
          <w:pgSz w:w="11906" w:h="16838"/>
          <w:pgMar w:top="1531" w:right="1984" w:bottom="1531" w:left="2098" w:header="851" w:footer="992" w:gutter="0"/>
          <w:pgBorders>
            <w:top w:val="none" w:sz="0" w:space="0"/>
            <w:left w:val="none" w:sz="0" w:space="0"/>
            <w:bottom w:val="none" w:sz="0" w:space="0"/>
            <w:right w:val="none" w:sz="0" w:space="0"/>
          </w:pgBorders>
          <w:cols w:space="720" w:num="1"/>
          <w:docGrid w:type="lines" w:linePitch="312" w:charSpace="0"/>
        </w:sect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outlineLvl w:val="0"/>
        <w:rPr>
          <w:rFonts w:hint="default" w:ascii="Arial" w:hAnsi="Arial" w:eastAsia="Arial" w:cs="Arial"/>
          <w:highlight w:val="none"/>
        </w:rPr>
      </w:pPr>
      <w:r>
        <w:rPr>
          <w:rFonts w:hint="eastAsia" w:ascii="黑体" w:hAnsi="宋体" w:eastAsia="黑体" w:cs="黑体"/>
          <w:i w:val="0"/>
          <w:iCs w:val="0"/>
          <w:caps w:val="0"/>
          <w:color w:val="000000"/>
          <w:spacing w:val="0"/>
          <w:sz w:val="72"/>
          <w:szCs w:val="72"/>
          <w:highlight w:val="none"/>
          <w:shd w:val="clear" w:fill="FFFFFF"/>
        </w:rPr>
        <w:t>第三部分</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spacing w:val="-20"/>
          <w:highlight w:val="none"/>
        </w:rPr>
      </w:pPr>
      <w:r>
        <w:rPr>
          <w:rFonts w:hint="eastAsia" w:ascii="黑体" w:hAnsi="宋体" w:eastAsia="黑体" w:cs="黑体"/>
          <w:i w:val="0"/>
          <w:iCs w:val="0"/>
          <w:caps w:val="0"/>
          <w:color w:val="000000"/>
          <w:spacing w:val="-20"/>
          <w:sz w:val="72"/>
          <w:szCs w:val="72"/>
          <w:highlight w:val="none"/>
          <w:shd w:val="clear" w:fill="FFFFFF"/>
        </w:rPr>
        <w:t>202</w:t>
      </w:r>
      <w:r>
        <w:rPr>
          <w:rFonts w:hint="eastAsia" w:ascii="黑体" w:hAnsi="宋体" w:eastAsia="黑体" w:cs="黑体"/>
          <w:i w:val="0"/>
          <w:iCs w:val="0"/>
          <w:caps w:val="0"/>
          <w:color w:val="000000"/>
          <w:spacing w:val="-20"/>
          <w:sz w:val="72"/>
          <w:szCs w:val="72"/>
          <w:highlight w:val="none"/>
          <w:shd w:val="clear" w:fill="FFFFFF"/>
          <w:lang w:val="en-US" w:eastAsia="zh-CN"/>
        </w:rPr>
        <w:t>3</w:t>
      </w:r>
      <w:r>
        <w:rPr>
          <w:rFonts w:hint="eastAsia" w:ascii="黑体" w:hAnsi="宋体" w:eastAsia="黑体" w:cs="黑体"/>
          <w:i w:val="0"/>
          <w:iCs w:val="0"/>
          <w:caps w:val="0"/>
          <w:color w:val="000000"/>
          <w:spacing w:val="-20"/>
          <w:sz w:val="72"/>
          <w:szCs w:val="72"/>
          <w:highlight w:val="none"/>
          <w:shd w:val="clear" w:fill="FFFFFF"/>
        </w:rPr>
        <w:t>年</w:t>
      </w:r>
      <w:r>
        <w:rPr>
          <w:rFonts w:hint="eastAsia" w:ascii="黑体" w:hAnsi="宋体" w:eastAsia="黑体" w:cs="黑体"/>
          <w:i w:val="0"/>
          <w:iCs w:val="0"/>
          <w:caps w:val="0"/>
          <w:color w:val="000000"/>
          <w:spacing w:val="-20"/>
          <w:sz w:val="72"/>
          <w:szCs w:val="72"/>
          <w:highlight w:val="none"/>
          <w:shd w:val="clear" w:fill="FFFFFF"/>
          <w:lang w:val="en-US" w:eastAsia="zh-CN"/>
        </w:rPr>
        <w:t>度</w:t>
      </w:r>
      <w:r>
        <w:rPr>
          <w:rFonts w:hint="eastAsia" w:ascii="黑体" w:hAnsi="宋体" w:eastAsia="黑体" w:cs="黑体"/>
          <w:i w:val="0"/>
          <w:iCs w:val="0"/>
          <w:caps w:val="0"/>
          <w:color w:val="000000"/>
          <w:spacing w:val="-20"/>
          <w:sz w:val="72"/>
          <w:szCs w:val="72"/>
          <w:highlight w:val="none"/>
          <w:shd w:val="clear" w:fill="FFFFFF"/>
        </w:rPr>
        <w:t>部门决算情况说明</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i w:val="0"/>
          <w:iCs w:val="0"/>
          <w:caps w:val="0"/>
          <w:color w:val="000000"/>
          <w:spacing w:val="0"/>
          <w:sz w:val="18"/>
          <w:szCs w:val="18"/>
          <w:highlight w:val="none"/>
          <w:shd w:val="clear" w:fill="FFFFFF"/>
        </w:rPr>
      </w:pPr>
      <w:r>
        <w:rPr>
          <w:rFonts w:hint="default" w:ascii="Arial" w:hAnsi="Arial" w:eastAsia="Arial" w:cs="Arial"/>
          <w:i w:val="0"/>
          <w:iCs w:val="0"/>
          <w:caps w:val="0"/>
          <w:color w:val="000000"/>
          <w:spacing w:val="0"/>
          <w:sz w:val="18"/>
          <w:szCs w:val="18"/>
          <w:highlight w:val="none"/>
          <w:shd w:val="clear" w:fill="FFFFFF"/>
        </w:rPr>
        <w:t> </w:t>
      </w:r>
    </w:p>
    <w:p>
      <w:pPr>
        <w:rPr>
          <w:rFonts w:hint="default" w:ascii="Arial" w:hAnsi="Arial" w:eastAsia="Arial" w:cs="Arial"/>
          <w:i w:val="0"/>
          <w:iCs w:val="0"/>
          <w:caps w:val="0"/>
          <w:color w:val="000000"/>
          <w:spacing w:val="0"/>
          <w:sz w:val="18"/>
          <w:szCs w:val="18"/>
          <w:highlight w:val="none"/>
          <w:shd w:val="clear" w:fill="FFFFFF"/>
        </w:rPr>
      </w:pPr>
      <w:r>
        <w:rPr>
          <w:rFonts w:hint="default" w:ascii="Arial" w:hAnsi="Arial" w:eastAsia="Arial" w:cs="Arial"/>
          <w:i w:val="0"/>
          <w:iCs w:val="0"/>
          <w:caps w:val="0"/>
          <w:color w:val="000000"/>
          <w:spacing w:val="0"/>
          <w:sz w:val="18"/>
          <w:szCs w:val="18"/>
          <w:highlight w:val="none"/>
          <w:shd w:val="clear" w:fill="FFFFFF"/>
        </w:rPr>
        <w:br w:type="page"/>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i w:val="0"/>
          <w:iCs w:val="0"/>
          <w:caps w:val="0"/>
          <w:color w:val="000000"/>
          <w:spacing w:val="0"/>
          <w:sz w:val="18"/>
          <w:szCs w:val="18"/>
          <w:highlight w:val="none"/>
          <w:shd w:val="clear" w:fill="FFFFFF"/>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1"/>
        <w:rPr>
          <w:rFonts w:hint="default" w:ascii="黑体" w:hAnsi="Calibri" w:eastAsia="黑体" w:cs="Times New Roman"/>
          <w:kern w:val="2"/>
          <w:sz w:val="32"/>
          <w:szCs w:val="32"/>
          <w:lang w:val="en-US" w:eastAsia="zh-CN" w:bidi="ar-SA"/>
        </w:rPr>
      </w:pPr>
      <w:r>
        <w:rPr>
          <w:rFonts w:hint="eastAsia" w:ascii="黑体" w:hAnsi="Calibri" w:eastAsia="黑体" w:cs="Times New Roman"/>
          <w:kern w:val="2"/>
          <w:sz w:val="32"/>
          <w:szCs w:val="32"/>
          <w:lang w:val="en-US" w:eastAsia="zh-CN" w:bidi="ar-SA"/>
        </w:rPr>
        <w:t>一、收入支出决算总体情况说明</w:t>
      </w:r>
    </w:p>
    <w:p>
      <w:pPr>
        <w:autoSpaceDE w:val="0"/>
        <w:autoSpaceDN w:val="0"/>
        <w:adjustRightInd w:val="0"/>
        <w:spacing w:line="580" w:lineRule="exact"/>
        <w:ind w:firstLine="640" w:firstLineChars="200"/>
        <w:jc w:val="left"/>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eastAsia="zh-CN"/>
        </w:rPr>
        <w:t>本部门2023年度收、支总计（含结转和结余）</w:t>
      </w:r>
      <w:r>
        <w:rPr>
          <w:rFonts w:hint="default" w:ascii="Times New Roman" w:hAnsi="Times New Roman" w:eastAsia="仿宋_GB2312" w:cs="Times New Roman"/>
          <w:kern w:val="2"/>
          <w:sz w:val="32"/>
          <w:szCs w:val="32"/>
          <w:lang w:val="zh-CN" w:eastAsia="zh-CN"/>
        </w:rPr>
        <w:t>1,259.99</w:t>
      </w:r>
      <w:r>
        <w:rPr>
          <w:rFonts w:hint="default" w:ascii="Times New Roman" w:hAnsi="Times New Roman" w:eastAsia="仿宋_GB2312" w:cs="Times New Roman"/>
          <w:kern w:val="2"/>
          <w:sz w:val="32"/>
          <w:szCs w:val="32"/>
          <w:lang w:eastAsia="zh-CN"/>
        </w:rPr>
        <w:t>万元。与2022年度决算相比，收支各减少</w:t>
      </w:r>
      <w:r>
        <w:rPr>
          <w:rFonts w:hint="eastAsia" w:ascii="Times New Roman" w:hAnsi="Times New Roman" w:eastAsia="仿宋_GB2312" w:cs="Times New Roman"/>
          <w:kern w:val="2"/>
          <w:sz w:val="32"/>
          <w:szCs w:val="32"/>
          <w:lang w:val="en-US" w:eastAsia="zh-CN"/>
        </w:rPr>
        <w:t>22.69</w:t>
      </w:r>
      <w:r>
        <w:rPr>
          <w:rFonts w:hint="default" w:ascii="Times New Roman" w:hAnsi="Times New Roman" w:eastAsia="仿宋_GB2312" w:cs="Times New Roman"/>
          <w:kern w:val="2"/>
          <w:sz w:val="32"/>
          <w:szCs w:val="32"/>
          <w:lang w:eastAsia="zh-CN"/>
        </w:rPr>
        <w:t>万元，下降</w:t>
      </w:r>
      <w:r>
        <w:rPr>
          <w:rFonts w:hint="eastAsia" w:ascii="Times New Roman" w:hAnsi="Times New Roman" w:eastAsia="仿宋_GB2312" w:cs="Times New Roman"/>
          <w:kern w:val="2"/>
          <w:sz w:val="32"/>
          <w:szCs w:val="32"/>
          <w:lang w:val="en-US" w:eastAsia="zh-CN"/>
        </w:rPr>
        <w:t>1.8</w:t>
      </w:r>
      <w:r>
        <w:rPr>
          <w:rFonts w:hint="default" w:ascii="Times New Roman" w:hAnsi="Times New Roman" w:eastAsia="仿宋_GB2312" w:cs="Times New Roman"/>
          <w:kern w:val="2"/>
          <w:sz w:val="32"/>
          <w:szCs w:val="32"/>
          <w:lang w:eastAsia="zh-CN"/>
        </w:rPr>
        <w:t>%，主要原因是</w:t>
      </w:r>
      <w:r>
        <w:rPr>
          <w:rFonts w:hint="eastAsia" w:ascii="Times New Roman" w:hAnsi="Times New Roman" w:eastAsia="仿宋_GB2312" w:cs="Times New Roman"/>
          <w:kern w:val="2"/>
          <w:sz w:val="32"/>
          <w:szCs w:val="32"/>
          <w:lang w:val="en-US" w:eastAsia="zh-CN"/>
        </w:rPr>
        <w:t>施行过紧日子要求实际支出压减</w:t>
      </w:r>
      <w:r>
        <w:rPr>
          <w:rFonts w:hint="default" w:ascii="Times New Roman" w:hAnsi="Times New Roman" w:eastAsia="仿宋_GB2312" w:cs="Times New Roman"/>
          <w:kern w:val="2"/>
          <w:sz w:val="32"/>
          <w:szCs w:val="32"/>
          <w:lang w:eastAsia="zh-CN"/>
        </w:rPr>
        <w:t>。</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Arial" w:cs="Times New Roman"/>
          <w:highlight w:val="none"/>
        </w:rPr>
      </w:pPr>
      <w:r>
        <w:drawing>
          <wp:inline distT="0" distB="0" distL="114300" distR="114300">
            <wp:extent cx="4572000" cy="2625725"/>
            <wp:effectExtent l="4445" t="4445" r="14605" b="17780"/>
            <wp:docPr id="1027"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Pr>
          <w:rFonts w:hint="default" w:ascii="Times New Roman" w:hAnsi="Times New Roman" w:eastAsia="Arial" w:cs="Times New Roman"/>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1"/>
        <w:rPr>
          <w:rFonts w:hint="default" w:ascii="Times New Roman" w:hAnsi="Times New Roman" w:eastAsia="黑体" w:cs="Times New Roman"/>
          <w:kern w:val="2"/>
          <w:sz w:val="32"/>
          <w:szCs w:val="32"/>
          <w:lang w:val="en-US" w:eastAsia="zh-CN" w:bidi="ar-SA"/>
        </w:rPr>
      </w:pPr>
      <w:r>
        <w:rPr>
          <w:rFonts w:hint="default" w:ascii="Times New Roman" w:hAnsi="Times New Roman" w:eastAsia="黑体" w:cs="Times New Roman"/>
          <w:kern w:val="2"/>
          <w:sz w:val="32"/>
          <w:szCs w:val="32"/>
          <w:lang w:val="en-US" w:eastAsia="zh-CN" w:bidi="ar-SA"/>
        </w:rPr>
        <w:t>二、收入决算情况说明</w:t>
      </w:r>
    </w:p>
    <w:p>
      <w:pPr>
        <w:autoSpaceDE w:val="0"/>
        <w:autoSpaceDN w:val="0"/>
        <w:adjustRightInd w:val="0"/>
        <w:spacing w:line="580" w:lineRule="exact"/>
        <w:ind w:firstLine="640" w:firstLineChars="200"/>
        <w:jc w:val="left"/>
        <w:rPr>
          <w:rFonts w:hint="default" w:ascii="Times New Roman" w:hAnsi="Times New Roman" w:eastAsia="仿宋_GB2312" w:cs="Times New Roman"/>
          <w:kern w:val="2"/>
          <w:sz w:val="32"/>
          <w:szCs w:val="32"/>
          <w:lang w:val="zh-CN"/>
        </w:rPr>
      </w:pPr>
      <w:r>
        <w:rPr>
          <w:rFonts w:hint="default" w:ascii="Times New Roman" w:hAnsi="Times New Roman" w:eastAsia="仿宋_GB2312" w:cs="Times New Roman"/>
          <w:kern w:val="2"/>
          <w:sz w:val="32"/>
          <w:szCs w:val="32"/>
          <w:lang w:val="zh-CN" w:eastAsia="zh-CN"/>
        </w:rPr>
        <w:t>本部门2023</w:t>
      </w:r>
      <w:r>
        <w:rPr>
          <w:rFonts w:hint="default" w:ascii="Times New Roman" w:hAnsi="Times New Roman" w:eastAsia="仿宋_GB2312" w:cs="Times New Roman"/>
          <w:kern w:val="2"/>
          <w:sz w:val="32"/>
          <w:szCs w:val="32"/>
          <w:lang w:val="zh-CN"/>
        </w:rPr>
        <w:t>年度本年收入合计</w:t>
      </w:r>
      <w:r>
        <w:rPr>
          <w:rFonts w:hint="default" w:ascii="Times New Roman" w:hAnsi="Times New Roman" w:eastAsia="仿宋_GB2312" w:cs="Times New Roman"/>
          <w:sz w:val="30"/>
          <w:szCs w:val="30"/>
          <w:highlight w:val="none"/>
          <w:lang w:eastAsia="zh-CN"/>
        </w:rPr>
        <w:t>1,259.99</w:t>
      </w:r>
      <w:r>
        <w:rPr>
          <w:rFonts w:hint="default" w:ascii="Times New Roman" w:hAnsi="Times New Roman" w:eastAsia="仿宋_GB2312" w:cs="Times New Roman"/>
          <w:kern w:val="2"/>
          <w:sz w:val="32"/>
          <w:szCs w:val="32"/>
          <w:lang w:val="zh-CN" w:eastAsia="zh-CN"/>
        </w:rPr>
        <w:t>万元</w:t>
      </w:r>
      <w:r>
        <w:rPr>
          <w:rFonts w:hint="default" w:ascii="Times New Roman" w:hAnsi="Times New Roman" w:eastAsia="仿宋_GB2312" w:cs="Times New Roman"/>
          <w:kern w:val="2"/>
          <w:sz w:val="32"/>
          <w:szCs w:val="32"/>
          <w:lang w:val="zh-CN"/>
        </w:rPr>
        <w:t>，其中：财政拨款收入1,259.99万元，占</w:t>
      </w:r>
      <w:r>
        <w:rPr>
          <w:rFonts w:hint="eastAsia" w:ascii="Times New Roman" w:hAnsi="Times New Roman" w:eastAsia="仿宋_GB2312" w:cs="Times New Roman"/>
          <w:kern w:val="2"/>
          <w:sz w:val="32"/>
          <w:szCs w:val="32"/>
          <w:lang w:val="zh-CN"/>
        </w:rPr>
        <w:t>100.0%。</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1"/>
        <w:rPr>
          <w:rFonts w:hint="default" w:ascii="Times New Roman" w:hAnsi="Times New Roman" w:eastAsia="黑体" w:cs="Times New Roman"/>
          <w:kern w:val="2"/>
          <w:sz w:val="32"/>
          <w:szCs w:val="32"/>
          <w:lang w:val="en-US" w:eastAsia="zh-CN" w:bidi="ar-SA"/>
        </w:rPr>
      </w:pPr>
      <w:r>
        <w:rPr>
          <w:rFonts w:hint="default" w:ascii="Times New Roman" w:hAnsi="Times New Roman" w:eastAsia="黑体" w:cs="Times New Roman"/>
          <w:kern w:val="2"/>
          <w:sz w:val="32"/>
          <w:szCs w:val="32"/>
          <w:lang w:val="en-US" w:eastAsia="zh-CN" w:bidi="ar-SA"/>
        </w:rPr>
        <w:t>三、支出决算情况说明</w:t>
      </w:r>
    </w:p>
    <w:p>
      <w:pPr>
        <w:autoSpaceDE w:val="0"/>
        <w:autoSpaceDN w:val="0"/>
        <w:adjustRightInd w:val="0"/>
        <w:spacing w:line="580" w:lineRule="exact"/>
        <w:ind w:firstLine="600"/>
        <w:jc w:val="left"/>
        <w:rPr>
          <w:rFonts w:hint="default" w:ascii="Times New Roman" w:hAnsi="Times New Roman" w:eastAsia="仿宋_GB2312" w:cs="Times New Roman"/>
          <w:kern w:val="2"/>
          <w:sz w:val="32"/>
          <w:szCs w:val="32"/>
          <w:lang w:val="zh-CN"/>
        </w:rPr>
      </w:pPr>
      <w:r>
        <w:rPr>
          <w:rFonts w:hint="default" w:ascii="Times New Roman" w:hAnsi="Times New Roman" w:eastAsia="仿宋_GB2312" w:cs="Times New Roman"/>
          <w:kern w:val="2"/>
          <w:sz w:val="32"/>
          <w:szCs w:val="32"/>
          <w:lang w:val="zh-CN" w:eastAsia="zh-CN"/>
        </w:rPr>
        <w:t>本部门2023</w:t>
      </w:r>
      <w:r>
        <w:rPr>
          <w:rFonts w:hint="default" w:ascii="Times New Roman" w:hAnsi="Times New Roman" w:eastAsia="仿宋_GB2312" w:cs="Times New Roman"/>
          <w:kern w:val="2"/>
          <w:sz w:val="32"/>
          <w:szCs w:val="32"/>
          <w:lang w:val="zh-CN"/>
        </w:rPr>
        <w:t>年度本年支出合计</w:t>
      </w:r>
      <w:r>
        <w:rPr>
          <w:rFonts w:hint="default" w:ascii="Times New Roman" w:hAnsi="Times New Roman" w:eastAsia="仿宋_GB2312" w:cs="Times New Roman"/>
          <w:kern w:val="2"/>
          <w:sz w:val="32"/>
          <w:szCs w:val="32"/>
          <w:lang w:val="zh-CN" w:eastAsia="zh-CN"/>
        </w:rPr>
        <w:t>1,259.99万元</w:t>
      </w:r>
      <w:r>
        <w:rPr>
          <w:rFonts w:hint="default" w:ascii="Times New Roman" w:hAnsi="Times New Roman" w:eastAsia="仿宋_GB2312" w:cs="Times New Roman"/>
          <w:kern w:val="2"/>
          <w:sz w:val="32"/>
          <w:szCs w:val="32"/>
          <w:lang w:val="zh-CN"/>
        </w:rPr>
        <w:t>，其中：项目支出</w:t>
      </w:r>
      <w:r>
        <w:rPr>
          <w:rFonts w:hint="default" w:ascii="Times New Roman" w:hAnsi="Times New Roman" w:eastAsia="仿宋_GB2312" w:cs="Times New Roman"/>
          <w:kern w:val="2"/>
          <w:sz w:val="32"/>
          <w:szCs w:val="32"/>
          <w:lang w:val="zh-CN" w:eastAsia="zh-CN"/>
        </w:rPr>
        <w:t>1,259.99万元</w:t>
      </w:r>
      <w:r>
        <w:rPr>
          <w:rFonts w:hint="default" w:ascii="Times New Roman" w:hAnsi="Times New Roman" w:eastAsia="仿宋_GB2312" w:cs="Times New Roman"/>
          <w:kern w:val="2"/>
          <w:sz w:val="32"/>
          <w:szCs w:val="32"/>
          <w:lang w:val="zh-CN"/>
        </w:rPr>
        <w:t>，</w:t>
      </w:r>
      <w:r>
        <w:rPr>
          <w:rFonts w:hint="default" w:ascii="Times New Roman" w:hAnsi="Times New Roman" w:eastAsia="仿宋_GB2312" w:cs="Times New Roman"/>
          <w:kern w:val="2"/>
          <w:sz w:val="32"/>
          <w:szCs w:val="32"/>
          <w:lang w:val="zh-CN" w:eastAsia="zh-CN"/>
        </w:rPr>
        <w:t>占</w:t>
      </w:r>
      <w:r>
        <w:rPr>
          <w:rFonts w:hint="eastAsia" w:ascii="Times New Roman" w:hAnsi="Times New Roman" w:eastAsia="仿宋_GB2312" w:cs="Times New Roman"/>
          <w:kern w:val="2"/>
          <w:sz w:val="32"/>
          <w:szCs w:val="32"/>
          <w:lang w:val="zh-CN" w:eastAsia="zh-CN"/>
        </w:rPr>
        <w:t>100.0%。</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1"/>
        <w:rPr>
          <w:rFonts w:hint="default" w:ascii="Times New Roman" w:hAnsi="Times New Roman" w:eastAsia="Arial" w:cs="Times New Roman"/>
          <w:highlight w:val="none"/>
        </w:rPr>
      </w:pPr>
      <w:r>
        <w:rPr>
          <w:rFonts w:hint="default" w:ascii="Times New Roman" w:hAnsi="Times New Roman" w:eastAsia="黑体" w:cs="Times New Roman"/>
          <w:kern w:val="2"/>
          <w:sz w:val="32"/>
          <w:szCs w:val="32"/>
          <w:lang w:val="en-US" w:eastAsia="zh-CN" w:bidi="ar-SA"/>
        </w:rPr>
        <w:t>四、财政拨款收入支出决算总体情况说明</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outlineLvl w:val="2"/>
        <w:rPr>
          <w:rFonts w:hint="default" w:ascii="Times New Roman" w:hAnsi="Times New Roman" w:eastAsia="楷体_GB2312" w:cs="Times New Roman"/>
          <w:b/>
          <w:bCs/>
          <w:kern w:val="2"/>
          <w:sz w:val="32"/>
          <w:szCs w:val="32"/>
          <w:lang w:val="en-US" w:eastAsia="zh-CN" w:bidi="ar-SA"/>
        </w:rPr>
      </w:pPr>
      <w:r>
        <w:rPr>
          <w:rFonts w:hint="default" w:ascii="Times New Roman" w:hAnsi="Times New Roman" w:eastAsia="楷体_GB2312" w:cs="Times New Roman"/>
          <w:b/>
          <w:bCs/>
          <w:kern w:val="2"/>
          <w:sz w:val="32"/>
          <w:szCs w:val="32"/>
          <w:lang w:val="en-US" w:eastAsia="zh-CN" w:bidi="ar-SA"/>
        </w:rPr>
        <w:t>（一）财政拨款收支与2022年度决算对比情况</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40" w:firstLineChars="200"/>
        <w:jc w:val="left"/>
        <w:rPr>
          <w:rFonts w:hint="default" w:ascii="Times New Roman" w:hAnsi="Times New Roman" w:eastAsia="仿宋_GB2312" w:cs="Times New Roman"/>
          <w:sz w:val="30"/>
          <w:szCs w:val="30"/>
          <w:highlight w:val="none"/>
        </w:rPr>
      </w:pPr>
      <w:r>
        <w:rPr>
          <w:rFonts w:hint="default" w:ascii="Times New Roman" w:hAnsi="Times New Roman" w:eastAsia="仿宋_GB2312" w:cs="Times New Roman"/>
          <w:color w:val="auto"/>
          <w:kern w:val="2"/>
          <w:sz w:val="32"/>
          <w:szCs w:val="32"/>
          <w:lang w:val="zh-CN" w:eastAsia="zh-CN" w:bidi="ar-SA"/>
        </w:rPr>
        <w:t>本部门202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年度财政拨款本年收入1,259.99</w:t>
      </w:r>
      <w:r>
        <w:rPr>
          <w:rFonts w:hint="default" w:ascii="Times New Roman" w:hAnsi="Times New Roman" w:eastAsia="仿宋_GB2312" w:cs="Times New Roman"/>
          <w:color w:val="auto"/>
          <w:kern w:val="2"/>
          <w:sz w:val="32"/>
          <w:szCs w:val="32"/>
          <w:lang w:val="en-US" w:eastAsia="zh-CN" w:bidi="ar-SA"/>
        </w:rPr>
        <w:t>万</w:t>
      </w:r>
      <w:r>
        <w:rPr>
          <w:rFonts w:hint="default" w:ascii="Times New Roman" w:hAnsi="Times New Roman" w:eastAsia="仿宋_GB2312" w:cs="Times New Roman"/>
          <w:color w:val="auto"/>
          <w:kern w:val="2"/>
          <w:sz w:val="32"/>
          <w:szCs w:val="32"/>
          <w:lang w:val="zh-CN" w:eastAsia="zh-CN" w:bidi="ar-SA"/>
        </w:rPr>
        <w:t>元,比上年减少</w:t>
      </w:r>
      <w:r>
        <w:rPr>
          <w:rFonts w:hint="eastAsia" w:ascii="Times New Roman" w:hAnsi="Times New Roman" w:eastAsia="仿宋_GB2312" w:cs="Times New Roman"/>
          <w:color w:val="auto"/>
          <w:kern w:val="2"/>
          <w:sz w:val="32"/>
          <w:szCs w:val="32"/>
          <w:lang w:val="en-US" w:eastAsia="zh-CN" w:bidi="ar-SA"/>
        </w:rPr>
        <w:t>22.69</w:t>
      </w:r>
      <w:r>
        <w:rPr>
          <w:rFonts w:hint="default" w:ascii="Times New Roman" w:hAnsi="Times New Roman" w:eastAsia="仿宋_GB2312" w:cs="Times New Roman"/>
          <w:color w:val="auto"/>
          <w:kern w:val="2"/>
          <w:sz w:val="32"/>
          <w:szCs w:val="32"/>
          <w:lang w:val="zh-CN" w:eastAsia="zh-CN" w:bidi="ar-SA"/>
        </w:rPr>
        <w:t>万元，降低</w:t>
      </w:r>
      <w:r>
        <w:rPr>
          <w:rFonts w:hint="eastAsia" w:ascii="Times New Roman" w:hAnsi="Times New Roman" w:eastAsia="仿宋_GB2312" w:cs="Times New Roman"/>
          <w:color w:val="auto"/>
          <w:kern w:val="2"/>
          <w:sz w:val="32"/>
          <w:szCs w:val="32"/>
          <w:lang w:val="en-US" w:eastAsia="zh-CN" w:bidi="ar-SA"/>
        </w:rPr>
        <w:t>1.8</w:t>
      </w:r>
      <w:r>
        <w:rPr>
          <w:rFonts w:hint="default" w:ascii="Times New Roman" w:hAnsi="Times New Roman" w:eastAsia="仿宋_GB2312" w:cs="Times New Roman"/>
          <w:color w:val="auto"/>
          <w:kern w:val="2"/>
          <w:sz w:val="32"/>
          <w:szCs w:val="32"/>
          <w:lang w:val="zh-CN" w:eastAsia="zh-CN" w:bidi="ar-SA"/>
        </w:rPr>
        <w:t>%，主要是</w:t>
      </w:r>
      <w:r>
        <w:rPr>
          <w:rFonts w:hint="eastAsia" w:ascii="Times New Roman" w:hAnsi="Times New Roman" w:eastAsia="仿宋_GB2312" w:cs="Times New Roman"/>
          <w:kern w:val="2"/>
          <w:sz w:val="32"/>
          <w:szCs w:val="32"/>
          <w:lang w:val="en-US" w:eastAsia="zh-CN"/>
        </w:rPr>
        <w:t>施行过紧日子要求实际支出压减</w:t>
      </w:r>
      <w:r>
        <w:rPr>
          <w:rFonts w:hint="default" w:ascii="Times New Roman" w:hAnsi="Times New Roman" w:eastAsia="仿宋_GB2312" w:cs="Times New Roman"/>
          <w:color w:val="auto"/>
          <w:kern w:val="2"/>
          <w:sz w:val="32"/>
          <w:szCs w:val="32"/>
          <w:lang w:val="zh-CN" w:eastAsia="zh-CN" w:bidi="ar-SA"/>
        </w:rPr>
        <w:t>；本年支出 1,259.99万元，比上年减少</w:t>
      </w:r>
      <w:r>
        <w:rPr>
          <w:rFonts w:hint="eastAsia" w:ascii="Times New Roman" w:hAnsi="Times New Roman" w:eastAsia="仿宋_GB2312" w:cs="Times New Roman"/>
          <w:color w:val="auto"/>
          <w:kern w:val="2"/>
          <w:sz w:val="32"/>
          <w:szCs w:val="32"/>
          <w:lang w:val="en-US" w:eastAsia="zh-CN" w:bidi="ar-SA"/>
        </w:rPr>
        <w:t>22.69</w:t>
      </w:r>
      <w:r>
        <w:rPr>
          <w:rFonts w:hint="default" w:ascii="Times New Roman" w:hAnsi="Times New Roman" w:eastAsia="仿宋_GB2312" w:cs="Times New Roman"/>
          <w:color w:val="auto"/>
          <w:kern w:val="2"/>
          <w:sz w:val="32"/>
          <w:szCs w:val="32"/>
          <w:lang w:val="zh-CN" w:eastAsia="zh-CN" w:bidi="ar-SA"/>
        </w:rPr>
        <w:t>万元，降低</w:t>
      </w:r>
      <w:r>
        <w:rPr>
          <w:rFonts w:hint="eastAsia" w:ascii="Times New Roman" w:hAnsi="Times New Roman" w:eastAsia="仿宋_GB2312" w:cs="Times New Roman"/>
          <w:color w:val="auto"/>
          <w:kern w:val="2"/>
          <w:sz w:val="32"/>
          <w:szCs w:val="32"/>
          <w:lang w:val="en-US" w:eastAsia="zh-CN" w:bidi="ar-SA"/>
        </w:rPr>
        <w:t>1.8</w:t>
      </w:r>
      <w:r>
        <w:rPr>
          <w:rFonts w:hint="default" w:ascii="Times New Roman" w:hAnsi="Times New Roman" w:eastAsia="仿宋_GB2312" w:cs="Times New Roman"/>
          <w:color w:val="auto"/>
          <w:kern w:val="2"/>
          <w:sz w:val="32"/>
          <w:szCs w:val="32"/>
          <w:lang w:val="zh-CN" w:eastAsia="zh-CN" w:bidi="ar-SA"/>
        </w:rPr>
        <w:t>%，主要是</w:t>
      </w:r>
      <w:r>
        <w:rPr>
          <w:rFonts w:hint="eastAsia" w:ascii="Times New Roman" w:hAnsi="Times New Roman" w:eastAsia="仿宋_GB2312" w:cs="Times New Roman"/>
          <w:kern w:val="2"/>
          <w:sz w:val="32"/>
          <w:szCs w:val="32"/>
          <w:lang w:val="en-US" w:eastAsia="zh-CN"/>
        </w:rPr>
        <w:t>施行过紧日子要求实际支出压减</w:t>
      </w:r>
      <w:r>
        <w:rPr>
          <w:rFonts w:hint="default" w:ascii="Times New Roman" w:hAnsi="Times New Roman" w:eastAsia="仿宋_GB2312" w:cs="Times New Roman"/>
          <w:color w:val="auto"/>
          <w:kern w:val="2"/>
          <w:sz w:val="32"/>
          <w:szCs w:val="32"/>
          <w:lang w:val="zh-CN" w:eastAsia="zh-CN" w:bidi="ar-SA"/>
        </w:rPr>
        <w:t>。具体情况如下：</w:t>
      </w:r>
    </w:p>
    <w:p>
      <w:pPr>
        <w:autoSpaceDE w:val="0"/>
        <w:autoSpaceDN w:val="0"/>
        <w:adjustRightInd w:val="0"/>
        <w:spacing w:line="580" w:lineRule="exact"/>
        <w:ind w:firstLine="640" w:firstLineChars="200"/>
        <w:jc w:val="left"/>
        <w:rPr>
          <w:rFonts w:hint="default" w:ascii="Times New Roman" w:hAnsi="Times New Roman" w:eastAsia="仿宋_GB2312" w:cs="Times New Roman"/>
          <w:kern w:val="2"/>
          <w:sz w:val="32"/>
          <w:szCs w:val="32"/>
          <w:lang w:val="zh-CN"/>
        </w:rPr>
      </w:pPr>
      <w:r>
        <w:rPr>
          <w:rFonts w:hint="default" w:ascii="Times New Roman" w:hAnsi="Times New Roman" w:eastAsia="仿宋_GB2312" w:cs="Times New Roman"/>
          <w:kern w:val="2"/>
          <w:sz w:val="32"/>
          <w:szCs w:val="32"/>
          <w:lang w:val="zh-CN"/>
        </w:rPr>
        <w:t>1. 一般公共预算财政拨款本年收入1,259.99</w:t>
      </w:r>
      <w:r>
        <w:rPr>
          <w:rFonts w:hint="default" w:ascii="Times New Roman" w:hAnsi="Times New Roman" w:eastAsia="仿宋_GB2312" w:cs="Times New Roman"/>
          <w:kern w:val="2"/>
          <w:sz w:val="32"/>
          <w:szCs w:val="32"/>
          <w:lang w:val="zh-CN" w:eastAsia="zh-CN"/>
        </w:rPr>
        <w:t>万元</w:t>
      </w:r>
      <w:r>
        <w:rPr>
          <w:rFonts w:hint="default" w:ascii="Times New Roman" w:hAnsi="Times New Roman" w:eastAsia="仿宋_GB2312" w:cs="Times New Roman"/>
          <w:kern w:val="2"/>
          <w:sz w:val="32"/>
          <w:szCs w:val="32"/>
          <w:lang w:val="zh-CN"/>
        </w:rPr>
        <w:t>,比上年减少</w:t>
      </w:r>
      <w:r>
        <w:rPr>
          <w:rFonts w:hint="eastAsia" w:ascii="Times New Roman" w:hAnsi="Times New Roman" w:eastAsia="仿宋_GB2312" w:cs="Times New Roman"/>
          <w:kern w:val="2"/>
          <w:sz w:val="32"/>
          <w:szCs w:val="32"/>
          <w:lang w:val="en-US" w:eastAsia="zh-CN"/>
        </w:rPr>
        <w:t>22.69</w:t>
      </w:r>
      <w:r>
        <w:rPr>
          <w:rFonts w:hint="default" w:ascii="Times New Roman" w:hAnsi="Times New Roman" w:eastAsia="仿宋_GB2312" w:cs="Times New Roman"/>
          <w:kern w:val="2"/>
          <w:sz w:val="32"/>
          <w:szCs w:val="32"/>
          <w:lang w:val="zh-CN"/>
        </w:rPr>
        <w:t>万元</w:t>
      </w:r>
      <w:r>
        <w:rPr>
          <w:rFonts w:hint="eastAsia" w:ascii="Times New Roman" w:hAnsi="Times New Roman" w:eastAsia="仿宋_GB2312" w:cs="Times New Roman"/>
          <w:kern w:val="2"/>
          <w:sz w:val="32"/>
          <w:szCs w:val="32"/>
          <w:lang w:val="zh-CN"/>
        </w:rPr>
        <w:t>，</w:t>
      </w:r>
      <w:r>
        <w:rPr>
          <w:rFonts w:hint="default" w:ascii="Times New Roman" w:hAnsi="Times New Roman" w:eastAsia="仿宋_GB2312" w:cs="Times New Roman"/>
          <w:kern w:val="2"/>
          <w:sz w:val="32"/>
          <w:szCs w:val="32"/>
          <w:lang w:val="zh-CN"/>
        </w:rPr>
        <w:t>降低</w:t>
      </w:r>
      <w:r>
        <w:rPr>
          <w:rFonts w:hint="eastAsia" w:ascii="Times New Roman" w:hAnsi="Times New Roman" w:eastAsia="仿宋_GB2312" w:cs="Times New Roman"/>
          <w:kern w:val="2"/>
          <w:sz w:val="32"/>
          <w:szCs w:val="32"/>
          <w:lang w:val="en-US" w:eastAsia="zh-CN"/>
        </w:rPr>
        <w:t>1.8</w:t>
      </w:r>
      <w:r>
        <w:rPr>
          <w:rFonts w:hint="default" w:ascii="Times New Roman" w:hAnsi="Times New Roman" w:eastAsia="仿宋_GB2312" w:cs="Times New Roman"/>
          <w:kern w:val="2"/>
          <w:sz w:val="32"/>
          <w:szCs w:val="32"/>
          <w:lang w:val="zh-CN"/>
        </w:rPr>
        <w:t>%</w:t>
      </w:r>
      <w:r>
        <w:rPr>
          <w:rFonts w:hint="eastAsia" w:ascii="Times New Roman" w:hAnsi="Times New Roman" w:eastAsia="仿宋_GB2312" w:cs="Times New Roman"/>
          <w:kern w:val="2"/>
          <w:sz w:val="32"/>
          <w:szCs w:val="32"/>
          <w:lang w:val="zh-CN"/>
        </w:rPr>
        <w:t>，</w:t>
      </w:r>
      <w:r>
        <w:rPr>
          <w:rFonts w:hint="default" w:ascii="Times New Roman" w:hAnsi="Times New Roman" w:eastAsia="仿宋_GB2312" w:cs="Times New Roman"/>
          <w:kern w:val="2"/>
          <w:sz w:val="32"/>
          <w:szCs w:val="32"/>
          <w:lang w:val="zh-CN"/>
        </w:rPr>
        <w:t>主要是</w:t>
      </w:r>
      <w:r>
        <w:rPr>
          <w:rFonts w:hint="eastAsia" w:ascii="Times New Roman" w:hAnsi="Times New Roman" w:eastAsia="仿宋_GB2312" w:cs="Times New Roman"/>
          <w:kern w:val="2"/>
          <w:sz w:val="32"/>
          <w:szCs w:val="32"/>
          <w:lang w:val="en-US" w:eastAsia="zh-CN"/>
        </w:rPr>
        <w:t>施行过紧日子要求实际支出压减</w:t>
      </w:r>
      <w:r>
        <w:rPr>
          <w:rFonts w:hint="default" w:ascii="Times New Roman" w:hAnsi="Times New Roman" w:eastAsia="仿宋_GB2312" w:cs="Times New Roman"/>
          <w:kern w:val="2"/>
          <w:sz w:val="32"/>
          <w:szCs w:val="32"/>
          <w:lang w:val="zh-CN"/>
        </w:rPr>
        <w:t>；本年支出 1,259.99</w:t>
      </w:r>
      <w:r>
        <w:rPr>
          <w:rFonts w:hint="default" w:ascii="Times New Roman" w:hAnsi="Times New Roman" w:eastAsia="仿宋_GB2312" w:cs="Times New Roman"/>
          <w:kern w:val="2"/>
          <w:sz w:val="32"/>
          <w:szCs w:val="32"/>
          <w:lang w:val="en-US" w:eastAsia="zh-CN"/>
        </w:rPr>
        <w:t>万</w:t>
      </w:r>
      <w:r>
        <w:rPr>
          <w:rFonts w:hint="default" w:ascii="Times New Roman" w:hAnsi="Times New Roman" w:eastAsia="仿宋_GB2312" w:cs="Times New Roman"/>
          <w:kern w:val="2"/>
          <w:sz w:val="32"/>
          <w:szCs w:val="32"/>
          <w:lang w:val="zh-CN"/>
        </w:rPr>
        <w:t>元，比上年减少</w:t>
      </w:r>
      <w:r>
        <w:rPr>
          <w:rFonts w:hint="eastAsia" w:ascii="Times New Roman" w:hAnsi="Times New Roman" w:eastAsia="仿宋_GB2312" w:cs="Times New Roman"/>
          <w:kern w:val="2"/>
          <w:sz w:val="32"/>
          <w:szCs w:val="32"/>
          <w:lang w:val="en-US" w:eastAsia="zh-CN"/>
        </w:rPr>
        <w:t>22.69</w:t>
      </w:r>
      <w:r>
        <w:rPr>
          <w:rFonts w:hint="default" w:ascii="Times New Roman" w:hAnsi="Times New Roman" w:eastAsia="仿宋_GB2312" w:cs="Times New Roman"/>
          <w:kern w:val="2"/>
          <w:sz w:val="32"/>
          <w:szCs w:val="32"/>
          <w:lang w:val="zh-CN"/>
        </w:rPr>
        <w:t>万元，降低</w:t>
      </w:r>
      <w:r>
        <w:rPr>
          <w:rFonts w:hint="eastAsia" w:ascii="Times New Roman" w:hAnsi="Times New Roman" w:eastAsia="仿宋_GB2312" w:cs="Times New Roman"/>
          <w:kern w:val="2"/>
          <w:sz w:val="32"/>
          <w:szCs w:val="32"/>
          <w:lang w:val="en-US" w:eastAsia="zh-CN"/>
        </w:rPr>
        <w:t>1.8</w:t>
      </w:r>
      <w:r>
        <w:rPr>
          <w:rFonts w:hint="default" w:ascii="Times New Roman" w:hAnsi="Times New Roman" w:eastAsia="仿宋_GB2312" w:cs="Times New Roman"/>
          <w:kern w:val="2"/>
          <w:sz w:val="32"/>
          <w:szCs w:val="32"/>
          <w:lang w:val="zh-CN"/>
        </w:rPr>
        <w:t>%，主要是</w:t>
      </w:r>
      <w:r>
        <w:rPr>
          <w:rFonts w:hint="eastAsia" w:ascii="Times New Roman" w:hAnsi="Times New Roman" w:eastAsia="仿宋_GB2312" w:cs="Times New Roman"/>
          <w:kern w:val="2"/>
          <w:sz w:val="32"/>
          <w:szCs w:val="32"/>
          <w:lang w:val="en-US" w:eastAsia="zh-CN"/>
        </w:rPr>
        <w:t>施行过紧日子要求实际支出压减</w:t>
      </w:r>
      <w:r>
        <w:rPr>
          <w:rFonts w:hint="default" w:ascii="Times New Roman" w:hAnsi="Times New Roman" w:eastAsia="仿宋_GB2312" w:cs="Times New Roman"/>
          <w:kern w:val="2"/>
          <w:sz w:val="32"/>
          <w:szCs w:val="32"/>
          <w:lang w:val="zh-CN"/>
        </w:rPr>
        <w:t>。</w:t>
      </w:r>
    </w:p>
    <w:p>
      <w:pPr>
        <w:adjustRightInd w:val="0"/>
        <w:snapToGrid w:val="0"/>
        <w:spacing w:line="580" w:lineRule="exact"/>
        <w:ind w:firstLine="640" w:firstLineChars="200"/>
        <w:rPr>
          <w:rFonts w:ascii="仿宋_GB2312" w:hAnsi="Times New Roman" w:eastAsia="仿宋_GB2312" w:cs="DengXian-Regular"/>
          <w:sz w:val="32"/>
          <w:szCs w:val="32"/>
        </w:rPr>
      </w:pPr>
      <w:r>
        <w:rPr>
          <w:rFonts w:hint="eastAsia" w:ascii="仿宋_GB2312" w:hAnsi="Times New Roman" w:eastAsia="仿宋_GB2312" w:cs="DengXian-Regular"/>
          <w:sz w:val="32"/>
          <w:szCs w:val="32"/>
        </w:rPr>
        <w:t>2.政府性基金预算财政拨款本年收入</w:t>
      </w:r>
      <w:r>
        <w:rPr>
          <w:rFonts w:hint="eastAsia" w:ascii="仿宋_GB2312" w:hAnsi="Times New Roman" w:eastAsia="仿宋_GB2312" w:cs="DengXian-Regular"/>
          <w:sz w:val="32"/>
          <w:szCs w:val="32"/>
          <w:lang w:val="en-US" w:eastAsia="zh-CN"/>
        </w:rPr>
        <w:t>0</w:t>
      </w:r>
      <w:r>
        <w:rPr>
          <w:rFonts w:hint="eastAsia" w:ascii="仿宋_GB2312" w:hAnsi="Times New Roman" w:eastAsia="仿宋_GB2312" w:cs="DengXian-Regular"/>
          <w:sz w:val="32"/>
          <w:szCs w:val="32"/>
        </w:rPr>
        <w:t>万元，比上年增加</w:t>
      </w:r>
      <w:r>
        <w:rPr>
          <w:rFonts w:hint="eastAsia" w:ascii="仿宋_GB2312" w:hAnsi="Times New Roman" w:eastAsia="仿宋_GB2312" w:cs="DengXian-Regular"/>
          <w:sz w:val="32"/>
          <w:szCs w:val="32"/>
          <w:lang w:val="en-US" w:eastAsia="zh-CN"/>
        </w:rPr>
        <w:t>0</w:t>
      </w:r>
      <w:r>
        <w:rPr>
          <w:rFonts w:hint="eastAsia" w:ascii="仿宋_GB2312" w:hAnsi="Times New Roman" w:eastAsia="仿宋_GB2312" w:cs="DengXian-Regular"/>
          <w:sz w:val="32"/>
          <w:szCs w:val="32"/>
        </w:rPr>
        <w:t>万元，增长</w:t>
      </w:r>
      <w:r>
        <w:rPr>
          <w:rFonts w:hint="eastAsia" w:ascii="仿宋_GB2312" w:hAnsi="Times New Roman" w:eastAsia="仿宋_GB2312" w:cs="DengXian-Regular"/>
          <w:sz w:val="32"/>
          <w:szCs w:val="32"/>
          <w:lang w:val="en-US" w:eastAsia="zh-CN"/>
        </w:rPr>
        <w:t>0.0%</w:t>
      </w:r>
      <w:r>
        <w:rPr>
          <w:rFonts w:hint="eastAsia" w:ascii="仿宋_GB2312" w:hAnsi="Times New Roman" w:eastAsia="仿宋_GB2312" w:cs="DengXian-Regular"/>
          <w:sz w:val="32"/>
          <w:szCs w:val="32"/>
        </w:rPr>
        <w:t>，主要原因是</w:t>
      </w:r>
      <w:r>
        <w:rPr>
          <w:rFonts w:hint="eastAsia" w:ascii="仿宋_GB2312" w:hAnsi="Times New Roman" w:eastAsia="仿宋_GB2312" w:cs="DengXian-Regular"/>
          <w:sz w:val="32"/>
          <w:szCs w:val="32"/>
          <w:lang w:val="en-US" w:eastAsia="zh-CN"/>
        </w:rPr>
        <w:t>不涉及</w:t>
      </w:r>
      <w:r>
        <w:rPr>
          <w:rFonts w:hint="eastAsia" w:ascii="仿宋_GB2312" w:hAnsi="Times New Roman" w:eastAsia="仿宋_GB2312" w:cs="DengXian-Regular"/>
          <w:sz w:val="32"/>
          <w:szCs w:val="32"/>
        </w:rPr>
        <w:t>政府性基金预算财政拨款；本年支出</w:t>
      </w:r>
      <w:r>
        <w:rPr>
          <w:rFonts w:hint="eastAsia" w:ascii="仿宋_GB2312" w:hAnsi="Times New Roman" w:eastAsia="仿宋_GB2312" w:cs="DengXian-Regular"/>
          <w:sz w:val="32"/>
          <w:szCs w:val="32"/>
          <w:lang w:val="en-US" w:eastAsia="zh-CN"/>
        </w:rPr>
        <w:t>0</w:t>
      </w:r>
      <w:r>
        <w:rPr>
          <w:rFonts w:hint="eastAsia" w:ascii="仿宋_GB2312" w:hAnsi="Times New Roman" w:eastAsia="仿宋_GB2312" w:cs="DengXian-Regular"/>
          <w:sz w:val="32"/>
          <w:szCs w:val="32"/>
        </w:rPr>
        <w:t>万元，比上年增加</w:t>
      </w:r>
      <w:r>
        <w:rPr>
          <w:rFonts w:hint="eastAsia" w:ascii="仿宋_GB2312" w:hAnsi="Times New Roman" w:eastAsia="仿宋_GB2312" w:cs="DengXian-Regular"/>
          <w:sz w:val="32"/>
          <w:szCs w:val="32"/>
          <w:lang w:val="en-US" w:eastAsia="zh-CN"/>
        </w:rPr>
        <w:t>0</w:t>
      </w:r>
      <w:r>
        <w:rPr>
          <w:rFonts w:hint="eastAsia" w:ascii="仿宋_GB2312" w:hAnsi="Times New Roman" w:eastAsia="仿宋_GB2312" w:cs="DengXian-Regular"/>
          <w:sz w:val="32"/>
          <w:szCs w:val="32"/>
        </w:rPr>
        <w:t>万元，增长</w:t>
      </w:r>
      <w:r>
        <w:rPr>
          <w:rFonts w:hint="eastAsia" w:ascii="仿宋_GB2312" w:hAnsi="Times New Roman" w:eastAsia="仿宋_GB2312" w:cs="DengXian-Regular"/>
          <w:sz w:val="32"/>
          <w:szCs w:val="32"/>
          <w:lang w:val="en-US" w:eastAsia="zh-CN"/>
        </w:rPr>
        <w:t>0.0%</w:t>
      </w:r>
      <w:r>
        <w:rPr>
          <w:rFonts w:hint="eastAsia" w:ascii="仿宋_GB2312" w:hAnsi="Times New Roman" w:eastAsia="仿宋_GB2312" w:cs="DengXian-Regular"/>
          <w:sz w:val="32"/>
          <w:szCs w:val="32"/>
        </w:rPr>
        <w:t>，主要原因是</w:t>
      </w:r>
      <w:r>
        <w:rPr>
          <w:rFonts w:hint="eastAsia" w:ascii="仿宋_GB2312" w:hAnsi="Times New Roman" w:eastAsia="仿宋_GB2312" w:cs="DengXian-Regular"/>
          <w:sz w:val="32"/>
          <w:szCs w:val="32"/>
          <w:lang w:val="en-US" w:eastAsia="zh-CN"/>
        </w:rPr>
        <w:t>不涉及</w:t>
      </w:r>
      <w:r>
        <w:rPr>
          <w:rFonts w:hint="eastAsia" w:ascii="仿宋_GB2312" w:hAnsi="Times New Roman" w:eastAsia="仿宋_GB2312" w:cs="DengXian-Regular"/>
          <w:sz w:val="32"/>
          <w:szCs w:val="32"/>
        </w:rPr>
        <w:t>政府性基金预算财政拨款。</w:t>
      </w:r>
    </w:p>
    <w:p>
      <w:pPr>
        <w:adjustRightInd w:val="0"/>
        <w:snapToGrid w:val="0"/>
        <w:spacing w:line="580" w:lineRule="exact"/>
        <w:ind w:firstLine="640" w:firstLineChars="200"/>
        <w:rPr>
          <w:rFonts w:hint="default" w:ascii="Times New Roman" w:hAnsi="Times New Roman" w:eastAsia="楷体_GB2312" w:cs="Times New Roman"/>
          <w:b/>
          <w:bCs/>
          <w:kern w:val="2"/>
          <w:sz w:val="32"/>
          <w:szCs w:val="32"/>
        </w:rPr>
      </w:pPr>
      <w:r>
        <w:rPr>
          <w:rFonts w:hint="eastAsia" w:ascii="仿宋_GB2312" w:hAnsi="Times New Roman" w:eastAsia="仿宋_GB2312" w:cs="DengXian-Regular"/>
          <w:sz w:val="32"/>
          <w:szCs w:val="32"/>
        </w:rPr>
        <w:t>3.国有资本经营预算财政拨款本年收入</w:t>
      </w:r>
      <w:r>
        <w:rPr>
          <w:rFonts w:hint="eastAsia" w:ascii="仿宋_GB2312" w:hAnsi="Times New Roman" w:eastAsia="仿宋_GB2312" w:cs="DengXian-Regular"/>
          <w:sz w:val="32"/>
          <w:szCs w:val="32"/>
          <w:lang w:val="en-US" w:eastAsia="zh-CN"/>
        </w:rPr>
        <w:t>0</w:t>
      </w:r>
      <w:r>
        <w:rPr>
          <w:rFonts w:hint="eastAsia" w:ascii="仿宋_GB2312" w:hAnsi="Times New Roman" w:eastAsia="仿宋_GB2312" w:cs="DengXian-Regular"/>
          <w:sz w:val="32"/>
          <w:szCs w:val="32"/>
        </w:rPr>
        <w:t>万元，比上年增加</w:t>
      </w:r>
      <w:r>
        <w:rPr>
          <w:rFonts w:hint="eastAsia" w:ascii="仿宋_GB2312" w:hAnsi="Times New Roman" w:eastAsia="仿宋_GB2312" w:cs="DengXian-Regular"/>
          <w:sz w:val="32"/>
          <w:szCs w:val="32"/>
          <w:lang w:val="en-US" w:eastAsia="zh-CN"/>
        </w:rPr>
        <w:t>0</w:t>
      </w:r>
      <w:r>
        <w:rPr>
          <w:rFonts w:hint="eastAsia" w:ascii="仿宋_GB2312" w:hAnsi="Times New Roman" w:eastAsia="仿宋_GB2312" w:cs="DengXian-Regular"/>
          <w:sz w:val="32"/>
          <w:szCs w:val="32"/>
        </w:rPr>
        <w:t>万元，增长</w:t>
      </w:r>
      <w:r>
        <w:rPr>
          <w:rFonts w:hint="eastAsia" w:ascii="仿宋_GB2312" w:hAnsi="Times New Roman" w:eastAsia="仿宋_GB2312" w:cs="DengXian-Regular"/>
          <w:sz w:val="32"/>
          <w:szCs w:val="32"/>
          <w:lang w:val="en-US" w:eastAsia="zh-CN"/>
        </w:rPr>
        <w:t>0.0%</w:t>
      </w:r>
      <w:r>
        <w:rPr>
          <w:rFonts w:hint="eastAsia" w:ascii="仿宋_GB2312" w:hAnsi="Times New Roman" w:eastAsia="仿宋_GB2312" w:cs="DengXian-Regular"/>
          <w:sz w:val="32"/>
          <w:szCs w:val="32"/>
        </w:rPr>
        <w:t>，主要原因是</w:t>
      </w:r>
      <w:r>
        <w:rPr>
          <w:rFonts w:hint="eastAsia" w:ascii="仿宋_GB2312" w:hAnsi="Times New Roman" w:eastAsia="仿宋_GB2312" w:cs="DengXian-Regular"/>
          <w:sz w:val="32"/>
          <w:szCs w:val="32"/>
          <w:lang w:val="en-US" w:eastAsia="zh-CN"/>
        </w:rPr>
        <w:t>不涉及</w:t>
      </w:r>
      <w:r>
        <w:rPr>
          <w:rFonts w:hint="eastAsia" w:ascii="仿宋_GB2312" w:hAnsi="Times New Roman" w:eastAsia="仿宋_GB2312" w:cs="DengXian-Regular"/>
          <w:sz w:val="32"/>
          <w:szCs w:val="32"/>
        </w:rPr>
        <w:t>国有资本经营预算财政拨款；本年支出</w:t>
      </w:r>
      <w:r>
        <w:rPr>
          <w:rFonts w:hint="eastAsia" w:ascii="仿宋_GB2312" w:hAnsi="Times New Roman" w:eastAsia="仿宋_GB2312" w:cs="DengXian-Regular"/>
          <w:sz w:val="32"/>
          <w:szCs w:val="32"/>
          <w:lang w:val="en-US" w:eastAsia="zh-CN"/>
        </w:rPr>
        <w:t>0</w:t>
      </w:r>
      <w:r>
        <w:rPr>
          <w:rFonts w:hint="eastAsia" w:ascii="仿宋_GB2312" w:hAnsi="Times New Roman" w:eastAsia="仿宋_GB2312" w:cs="DengXian-Regular"/>
          <w:sz w:val="32"/>
          <w:szCs w:val="32"/>
        </w:rPr>
        <w:t>万元，比上年增加</w:t>
      </w:r>
      <w:r>
        <w:rPr>
          <w:rFonts w:hint="eastAsia" w:ascii="仿宋_GB2312" w:hAnsi="Times New Roman" w:eastAsia="仿宋_GB2312" w:cs="DengXian-Regular"/>
          <w:sz w:val="32"/>
          <w:szCs w:val="32"/>
          <w:lang w:val="en-US" w:eastAsia="zh-CN"/>
        </w:rPr>
        <w:t>0</w:t>
      </w:r>
      <w:r>
        <w:rPr>
          <w:rFonts w:hint="eastAsia" w:ascii="仿宋_GB2312" w:hAnsi="Times New Roman" w:eastAsia="仿宋_GB2312" w:cs="DengXian-Regular"/>
          <w:sz w:val="32"/>
          <w:szCs w:val="32"/>
        </w:rPr>
        <w:t>万元，增长</w:t>
      </w:r>
      <w:r>
        <w:rPr>
          <w:rFonts w:hint="eastAsia" w:ascii="仿宋_GB2312" w:hAnsi="Times New Roman" w:eastAsia="仿宋_GB2312" w:cs="DengXian-Regular"/>
          <w:sz w:val="32"/>
          <w:szCs w:val="32"/>
          <w:lang w:val="en-US" w:eastAsia="zh-CN"/>
        </w:rPr>
        <w:t>0.0%</w:t>
      </w:r>
      <w:r>
        <w:rPr>
          <w:rFonts w:hint="eastAsia" w:ascii="仿宋_GB2312" w:hAnsi="Times New Roman" w:eastAsia="仿宋_GB2312" w:cs="DengXian-Regular"/>
          <w:sz w:val="32"/>
          <w:szCs w:val="32"/>
        </w:rPr>
        <w:t>，主要是</w:t>
      </w:r>
      <w:r>
        <w:rPr>
          <w:rFonts w:hint="eastAsia" w:ascii="仿宋_GB2312" w:hAnsi="Times New Roman" w:eastAsia="仿宋_GB2312" w:cs="DengXian-Regular"/>
          <w:sz w:val="32"/>
          <w:szCs w:val="32"/>
          <w:lang w:val="en-US" w:eastAsia="zh-CN"/>
        </w:rPr>
        <w:t>不涉及</w:t>
      </w:r>
      <w:r>
        <w:rPr>
          <w:rFonts w:hint="eastAsia" w:ascii="仿宋_GB2312" w:hAnsi="Times New Roman" w:eastAsia="仿宋_GB2312" w:cs="DengXian-Regular"/>
          <w:sz w:val="32"/>
          <w:szCs w:val="32"/>
        </w:rPr>
        <w:t>国有资本经营预算财政拨款。</w:t>
      </w:r>
    </w:p>
    <w:p>
      <w:pPr>
        <w:rPr>
          <w:rFonts w:hint="default"/>
        </w:rPr>
      </w:pPr>
      <w:r>
        <w:drawing>
          <wp:anchor distT="0" distB="0" distL="114300" distR="114300" simplePos="0" relativeHeight="251668480" behindDoc="1" locked="0" layoutInCell="1" allowOverlap="1">
            <wp:simplePos x="0" y="0"/>
            <wp:positionH relativeFrom="column">
              <wp:posOffset>311785</wp:posOffset>
            </wp:positionH>
            <wp:positionV relativeFrom="paragraph">
              <wp:posOffset>168910</wp:posOffset>
            </wp:positionV>
            <wp:extent cx="4572000" cy="2743200"/>
            <wp:effectExtent l="4445" t="4445" r="14605" b="14605"/>
            <wp:wrapTight wrapText="bothSides">
              <wp:wrapPolygon>
                <wp:start x="-21" y="-35"/>
                <wp:lineTo x="-21" y="21565"/>
                <wp:lineTo x="21579" y="21565"/>
                <wp:lineTo x="21579" y="-35"/>
                <wp:lineTo x="-21" y="-35"/>
              </wp:wrapPolygon>
            </wp:wrapTight>
            <wp:docPr id="9"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anchor>
        </w:drawing>
      </w:r>
    </w:p>
    <w:p>
      <w:pPr>
        <w:snapToGrid w:val="0"/>
        <w:spacing w:line="580" w:lineRule="exact"/>
        <w:jc w:val="center"/>
        <w:rPr>
          <w:rFonts w:hint="default" w:ascii="Times New Roman" w:hAnsi="Times New Roman" w:eastAsia="楷体_GB2312" w:cs="Times New Roman"/>
          <w:b/>
          <w:bCs/>
          <w:kern w:val="2"/>
          <w:sz w:val="32"/>
          <w:szCs w:val="32"/>
        </w:rPr>
      </w:pPr>
    </w:p>
    <w:p>
      <w:pPr>
        <w:snapToGrid w:val="0"/>
        <w:spacing w:line="580" w:lineRule="exact"/>
        <w:rPr>
          <w:rFonts w:hint="default" w:ascii="Times New Roman" w:hAnsi="Times New Roman" w:eastAsia="楷体_GB2312" w:cs="Times New Roman"/>
          <w:b/>
          <w:bCs/>
          <w:kern w:val="2"/>
          <w:sz w:val="32"/>
          <w:szCs w:val="32"/>
        </w:rPr>
      </w:pPr>
    </w:p>
    <w:p>
      <w:pPr>
        <w:snapToGrid w:val="0"/>
        <w:spacing w:line="580" w:lineRule="exact"/>
        <w:rPr>
          <w:rFonts w:hint="default" w:ascii="Times New Roman" w:hAnsi="Times New Roman" w:eastAsia="楷体_GB2312" w:cs="Times New Roman"/>
          <w:b/>
          <w:bCs/>
          <w:kern w:val="2"/>
          <w:sz w:val="32"/>
          <w:szCs w:val="32"/>
        </w:rPr>
      </w:pPr>
    </w:p>
    <w:p>
      <w:pPr>
        <w:snapToGrid w:val="0"/>
        <w:spacing w:line="580" w:lineRule="exact"/>
        <w:rPr>
          <w:rFonts w:hint="default" w:ascii="Times New Roman" w:hAnsi="Times New Roman" w:eastAsia="楷体_GB2312" w:cs="Times New Roman"/>
          <w:b/>
          <w:bCs/>
          <w:kern w:val="2"/>
          <w:sz w:val="32"/>
          <w:szCs w:val="32"/>
        </w:rPr>
      </w:pPr>
    </w:p>
    <w:p>
      <w:pPr>
        <w:snapToGrid w:val="0"/>
        <w:spacing w:line="580" w:lineRule="exact"/>
        <w:rPr>
          <w:rFonts w:hint="default" w:ascii="Times New Roman" w:hAnsi="Times New Roman" w:eastAsia="楷体_GB2312" w:cs="Times New Roman"/>
          <w:b/>
          <w:bCs/>
          <w:kern w:val="2"/>
          <w:sz w:val="32"/>
          <w:szCs w:val="32"/>
        </w:rPr>
      </w:pPr>
    </w:p>
    <w:p>
      <w:pPr>
        <w:snapToGrid w:val="0"/>
        <w:spacing w:line="580" w:lineRule="exact"/>
        <w:rPr>
          <w:rFonts w:hint="default" w:ascii="Times New Roman" w:hAnsi="Times New Roman" w:eastAsia="楷体_GB2312" w:cs="Times New Roman"/>
          <w:b/>
          <w:bCs/>
          <w:kern w:val="2"/>
          <w:sz w:val="32"/>
          <w:szCs w:val="32"/>
        </w:rPr>
      </w:pPr>
    </w:p>
    <w:p>
      <w:pPr>
        <w:snapToGrid w:val="0"/>
        <w:spacing w:line="580" w:lineRule="exact"/>
        <w:rPr>
          <w:rFonts w:hint="default" w:ascii="Times New Roman" w:hAnsi="Times New Roman" w:eastAsia="楷体_GB2312" w:cs="Times New Roman"/>
          <w:b/>
          <w:bCs/>
          <w:kern w:val="2"/>
          <w:sz w:val="32"/>
          <w:szCs w:val="32"/>
        </w:rPr>
      </w:pPr>
    </w:p>
    <w:p>
      <w:pPr>
        <w:snapToGrid w:val="0"/>
        <w:spacing w:line="580" w:lineRule="exact"/>
        <w:rPr>
          <w:rFonts w:hint="default" w:ascii="Times New Roman" w:hAnsi="Times New Roman" w:eastAsia="楷体_GB2312" w:cs="Times New Roman"/>
          <w:b/>
          <w:bCs/>
          <w:kern w:val="2"/>
          <w:sz w:val="32"/>
          <w:szCs w:val="32"/>
        </w:rPr>
      </w:pPr>
      <w:r>
        <w:rPr>
          <w:rFonts w:hint="default" w:ascii="Times New Roman" w:hAnsi="Times New Roman" w:eastAsia="楷体_GB2312" w:cs="Times New Roman"/>
          <w:b/>
          <w:bCs/>
          <w:kern w:val="2"/>
          <w:sz w:val="32"/>
          <w:szCs w:val="32"/>
        </w:rPr>
        <w:t>（二）财政拨款收支与年初预算数对比情况</w:t>
      </w:r>
    </w:p>
    <w:p>
      <w:pPr>
        <w:autoSpaceDE w:val="0"/>
        <w:autoSpaceDN w:val="0"/>
        <w:adjustRightInd w:val="0"/>
        <w:spacing w:line="580" w:lineRule="exact"/>
        <w:ind w:firstLine="640" w:firstLineChars="200"/>
        <w:jc w:val="left"/>
        <w:rPr>
          <w:rFonts w:hint="default" w:ascii="Times New Roman" w:hAnsi="Times New Roman" w:eastAsia="仿宋_GB2312" w:cs="Times New Roman"/>
          <w:kern w:val="2"/>
          <w:sz w:val="32"/>
          <w:szCs w:val="32"/>
          <w:lang w:val="zh-CN"/>
        </w:rPr>
      </w:pPr>
      <w:r>
        <w:rPr>
          <w:rFonts w:hint="default" w:ascii="Times New Roman" w:hAnsi="Times New Roman" w:eastAsia="仿宋_GB2312" w:cs="Times New Roman"/>
          <w:color w:val="auto"/>
          <w:kern w:val="2"/>
          <w:sz w:val="32"/>
          <w:szCs w:val="32"/>
          <w:lang w:val="zh-CN" w:eastAsia="zh-CN" w:bidi="ar-SA"/>
        </w:rPr>
        <w:t>本部门202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年度财政拨款本年收入1,259.99万元，完成年初预算的93.2%，比年初预算减少</w:t>
      </w:r>
      <w:r>
        <w:rPr>
          <w:rFonts w:hint="eastAsia" w:ascii="Times New Roman" w:hAnsi="Times New Roman" w:eastAsia="仿宋_GB2312" w:cs="Times New Roman"/>
          <w:color w:val="auto"/>
          <w:kern w:val="2"/>
          <w:sz w:val="32"/>
          <w:szCs w:val="32"/>
          <w:lang w:val="en-US" w:eastAsia="zh-CN" w:bidi="ar-SA"/>
        </w:rPr>
        <w:t>91.30</w:t>
      </w:r>
      <w:r>
        <w:rPr>
          <w:rFonts w:hint="default" w:ascii="Times New Roman" w:hAnsi="Times New Roman" w:eastAsia="仿宋_GB2312" w:cs="Times New Roman"/>
          <w:color w:val="auto"/>
          <w:kern w:val="2"/>
          <w:sz w:val="32"/>
          <w:szCs w:val="32"/>
          <w:lang w:val="zh-CN" w:eastAsia="zh-CN" w:bidi="ar-SA"/>
        </w:rPr>
        <w:t>万元，决算数小于预算数主要原因是</w:t>
      </w:r>
      <w:r>
        <w:rPr>
          <w:rFonts w:hint="eastAsia" w:ascii="Times New Roman" w:hAnsi="Times New Roman" w:eastAsia="仿宋_GB2312" w:cs="Times New Roman"/>
          <w:kern w:val="2"/>
          <w:sz w:val="32"/>
          <w:szCs w:val="32"/>
          <w:lang w:val="en-US" w:eastAsia="zh-CN"/>
        </w:rPr>
        <w:t>施行过紧日子要求实际支出压减</w:t>
      </w:r>
      <w:r>
        <w:rPr>
          <w:rFonts w:hint="default" w:ascii="Times New Roman" w:hAnsi="Times New Roman" w:eastAsia="仿宋_GB2312" w:cs="Times New Roman"/>
          <w:color w:val="auto"/>
          <w:kern w:val="2"/>
          <w:sz w:val="32"/>
          <w:szCs w:val="32"/>
          <w:lang w:val="zh-CN" w:eastAsia="zh-CN" w:bidi="ar-SA"/>
        </w:rPr>
        <w:t>；本年支出1,259.99万元，完成年初预算的93.2%，比年初预算减少</w:t>
      </w:r>
      <w:r>
        <w:rPr>
          <w:rFonts w:hint="eastAsia" w:ascii="Times New Roman" w:hAnsi="Times New Roman" w:eastAsia="仿宋_GB2312" w:cs="Times New Roman"/>
          <w:color w:val="auto"/>
          <w:kern w:val="2"/>
          <w:sz w:val="32"/>
          <w:szCs w:val="32"/>
          <w:lang w:val="en-US" w:eastAsia="zh-CN" w:bidi="ar-SA"/>
        </w:rPr>
        <w:t>91.30</w:t>
      </w:r>
      <w:r>
        <w:rPr>
          <w:rFonts w:hint="default" w:ascii="Times New Roman" w:hAnsi="Times New Roman" w:eastAsia="仿宋_GB2312" w:cs="Times New Roman"/>
          <w:color w:val="auto"/>
          <w:kern w:val="2"/>
          <w:sz w:val="32"/>
          <w:szCs w:val="32"/>
          <w:lang w:val="zh-CN" w:eastAsia="zh-CN" w:bidi="ar-SA"/>
        </w:rPr>
        <w:t>万元，决算数小于</w:t>
      </w:r>
      <w:r>
        <w:rPr>
          <w:rFonts w:hint="default" w:ascii="Times New Roman" w:hAnsi="Times New Roman" w:eastAsia="仿宋_GB2312" w:cs="Times New Roman"/>
          <w:kern w:val="2"/>
          <w:sz w:val="32"/>
          <w:szCs w:val="32"/>
          <w:lang w:val="zh-CN"/>
        </w:rPr>
        <w:t>预算数主要原因是</w:t>
      </w:r>
      <w:r>
        <w:rPr>
          <w:rFonts w:hint="eastAsia" w:ascii="Times New Roman" w:hAnsi="Times New Roman" w:eastAsia="仿宋_GB2312" w:cs="Times New Roman"/>
          <w:kern w:val="2"/>
          <w:sz w:val="32"/>
          <w:szCs w:val="32"/>
          <w:lang w:val="en-US" w:eastAsia="zh-CN"/>
        </w:rPr>
        <w:t>施行过紧日子要求实际支出压减</w:t>
      </w:r>
      <w:r>
        <w:rPr>
          <w:rFonts w:hint="default" w:ascii="Times New Roman" w:hAnsi="Times New Roman" w:eastAsia="仿宋_GB2312" w:cs="Times New Roman"/>
          <w:kern w:val="2"/>
          <w:sz w:val="32"/>
          <w:szCs w:val="32"/>
          <w:lang w:val="zh-CN"/>
        </w:rPr>
        <w:t>。具体情况如下：</w:t>
      </w:r>
    </w:p>
    <w:p>
      <w:pPr>
        <w:autoSpaceDE w:val="0"/>
        <w:autoSpaceDN w:val="0"/>
        <w:adjustRightInd w:val="0"/>
        <w:spacing w:line="580" w:lineRule="exact"/>
        <w:ind w:firstLine="640" w:firstLineChars="200"/>
        <w:jc w:val="left"/>
        <w:rPr>
          <w:rFonts w:hint="default" w:ascii="Times New Roman" w:hAnsi="Times New Roman" w:eastAsia="仿宋_GB2312" w:cs="Times New Roman"/>
          <w:kern w:val="2"/>
          <w:sz w:val="32"/>
          <w:szCs w:val="32"/>
          <w:lang w:val="zh-CN"/>
        </w:rPr>
      </w:pPr>
      <w:r>
        <w:rPr>
          <w:rFonts w:hint="default" w:ascii="Times New Roman" w:hAnsi="Times New Roman" w:eastAsia="仿宋_GB2312" w:cs="Times New Roman"/>
          <w:kern w:val="2"/>
          <w:sz w:val="32"/>
          <w:szCs w:val="32"/>
          <w:lang w:val="en-US" w:eastAsia="zh-CN"/>
        </w:rPr>
        <w:t>1.</w:t>
      </w:r>
      <w:r>
        <w:rPr>
          <w:rFonts w:hint="default" w:ascii="Times New Roman" w:hAnsi="Times New Roman" w:eastAsia="仿宋_GB2312" w:cs="Times New Roman"/>
          <w:kern w:val="2"/>
          <w:sz w:val="32"/>
          <w:szCs w:val="32"/>
          <w:lang w:val="zh-CN"/>
        </w:rPr>
        <w:t>一般公共预算财政拨款</w:t>
      </w:r>
      <w:r>
        <w:rPr>
          <w:rFonts w:hint="default" w:ascii="Times New Roman" w:hAnsi="Times New Roman" w:eastAsia="仿宋_GB2312" w:cs="Times New Roman"/>
          <w:kern w:val="2"/>
          <w:sz w:val="32"/>
          <w:szCs w:val="32"/>
          <w:lang w:val="en-US" w:eastAsia="zh-CN"/>
        </w:rPr>
        <w:t>本年</w:t>
      </w:r>
      <w:r>
        <w:rPr>
          <w:rFonts w:hint="default" w:ascii="Times New Roman" w:hAnsi="Times New Roman" w:eastAsia="仿宋_GB2312" w:cs="Times New Roman"/>
          <w:kern w:val="2"/>
          <w:sz w:val="32"/>
          <w:szCs w:val="32"/>
          <w:lang w:val="zh-CN"/>
        </w:rPr>
        <w:t>收入1,259.99万元，完成年初预算的 93.2%，比年初预算减少</w:t>
      </w:r>
      <w:r>
        <w:rPr>
          <w:rFonts w:hint="eastAsia" w:ascii="Times New Roman" w:hAnsi="Times New Roman" w:eastAsia="仿宋_GB2312" w:cs="Times New Roman"/>
          <w:kern w:val="2"/>
          <w:sz w:val="32"/>
          <w:szCs w:val="32"/>
          <w:lang w:val="en-US" w:eastAsia="zh-CN"/>
        </w:rPr>
        <w:t>91.3</w:t>
      </w:r>
      <w:r>
        <w:rPr>
          <w:rFonts w:hint="default" w:ascii="Times New Roman" w:hAnsi="Times New Roman" w:eastAsia="仿宋_GB2312" w:cs="Times New Roman"/>
          <w:kern w:val="2"/>
          <w:sz w:val="32"/>
          <w:szCs w:val="32"/>
          <w:lang w:val="zh-CN"/>
        </w:rPr>
        <w:t>万元，主要原因是</w:t>
      </w:r>
      <w:r>
        <w:rPr>
          <w:rFonts w:hint="eastAsia" w:ascii="Times New Roman" w:hAnsi="Times New Roman" w:eastAsia="仿宋_GB2312" w:cs="Times New Roman"/>
          <w:kern w:val="2"/>
          <w:sz w:val="32"/>
          <w:szCs w:val="32"/>
          <w:lang w:val="en-US" w:eastAsia="zh-CN"/>
        </w:rPr>
        <w:t>施行过紧日子要求实际支出压减</w:t>
      </w:r>
      <w:r>
        <w:rPr>
          <w:rFonts w:hint="default" w:ascii="Times New Roman" w:hAnsi="Times New Roman" w:eastAsia="仿宋_GB2312" w:cs="Times New Roman"/>
          <w:kern w:val="2"/>
          <w:sz w:val="32"/>
          <w:szCs w:val="32"/>
          <w:lang w:val="zh-CN"/>
        </w:rPr>
        <w:t>；本年支出1,259.99万元，完成年初预算的93.2%，比年初预算减少</w:t>
      </w:r>
      <w:r>
        <w:rPr>
          <w:rFonts w:hint="eastAsia" w:ascii="Times New Roman" w:hAnsi="Times New Roman" w:eastAsia="仿宋_GB2312" w:cs="Times New Roman"/>
          <w:kern w:val="2"/>
          <w:sz w:val="32"/>
          <w:szCs w:val="32"/>
          <w:lang w:val="en-US" w:eastAsia="zh-CN"/>
        </w:rPr>
        <w:t>91.3</w:t>
      </w:r>
      <w:r>
        <w:rPr>
          <w:rFonts w:hint="default" w:ascii="Times New Roman" w:hAnsi="Times New Roman" w:eastAsia="仿宋_GB2312" w:cs="Times New Roman"/>
          <w:kern w:val="2"/>
          <w:sz w:val="32"/>
          <w:szCs w:val="32"/>
          <w:lang w:val="zh-CN"/>
        </w:rPr>
        <w:t>万元，主要原因是</w:t>
      </w:r>
      <w:r>
        <w:rPr>
          <w:rFonts w:hint="eastAsia" w:ascii="Times New Roman" w:hAnsi="Times New Roman" w:eastAsia="仿宋_GB2312" w:cs="Times New Roman"/>
          <w:kern w:val="2"/>
          <w:sz w:val="32"/>
          <w:szCs w:val="32"/>
          <w:lang w:val="en-US" w:eastAsia="zh-CN"/>
        </w:rPr>
        <w:t>施行过紧日子要求实际支出压减</w:t>
      </w:r>
      <w:r>
        <w:rPr>
          <w:rFonts w:hint="default" w:ascii="Times New Roman" w:hAnsi="Times New Roman" w:eastAsia="仿宋_GB2312" w:cs="Times New Roman"/>
          <w:kern w:val="2"/>
          <w:sz w:val="32"/>
          <w:szCs w:val="32"/>
          <w:lang w:val="zh-CN"/>
        </w:rPr>
        <w:t>。</w:t>
      </w:r>
    </w:p>
    <w:p>
      <w:pPr>
        <w:adjustRightInd w:val="0"/>
        <w:snapToGrid w:val="0"/>
        <w:spacing w:line="580" w:lineRule="exact"/>
        <w:ind w:firstLine="640" w:firstLineChars="200"/>
        <w:rPr>
          <w:rFonts w:ascii="仿宋_GB2312" w:hAnsi="Times New Roman" w:eastAsia="仿宋_GB2312" w:cs="DengXian-Regular"/>
          <w:sz w:val="32"/>
          <w:szCs w:val="32"/>
        </w:rPr>
      </w:pPr>
      <w:r>
        <w:rPr>
          <w:rFonts w:hint="eastAsia" w:ascii="仿宋_GB2312" w:hAnsi="Times New Roman" w:eastAsia="仿宋_GB2312" w:cs="DengXian-Regular"/>
          <w:sz w:val="32"/>
          <w:szCs w:val="32"/>
        </w:rPr>
        <w:t>2.政府性基金预算财政拨款本年收入完成年初预算</w:t>
      </w:r>
      <w:r>
        <w:rPr>
          <w:rFonts w:hint="eastAsia" w:ascii="仿宋_GB2312" w:hAnsi="Times New Roman" w:eastAsia="仿宋_GB2312" w:cs="DengXian-Regular"/>
          <w:sz w:val="32"/>
          <w:szCs w:val="32"/>
          <w:lang w:val="en-US" w:eastAsia="zh-CN"/>
        </w:rPr>
        <w:t>0.0%</w:t>
      </w:r>
      <w:r>
        <w:rPr>
          <w:rFonts w:hint="eastAsia" w:ascii="仿宋_GB2312" w:hAnsi="Times New Roman" w:eastAsia="仿宋_GB2312" w:cs="DengXian-Regular"/>
          <w:sz w:val="32"/>
          <w:szCs w:val="32"/>
        </w:rPr>
        <w:t>，比年初预算增加</w:t>
      </w:r>
      <w:r>
        <w:rPr>
          <w:rFonts w:hint="eastAsia" w:ascii="仿宋_GB2312" w:hAnsi="Times New Roman" w:eastAsia="仿宋_GB2312" w:cs="DengXian-Regular"/>
          <w:sz w:val="32"/>
          <w:szCs w:val="32"/>
          <w:lang w:val="en-US" w:eastAsia="zh-CN"/>
        </w:rPr>
        <w:t>0</w:t>
      </w:r>
      <w:r>
        <w:rPr>
          <w:rFonts w:hint="eastAsia" w:ascii="仿宋_GB2312" w:hAnsi="Times New Roman" w:eastAsia="仿宋_GB2312" w:cs="DengXian-Regular"/>
          <w:sz w:val="32"/>
          <w:szCs w:val="32"/>
        </w:rPr>
        <w:t>万元，主要是</w:t>
      </w:r>
      <w:r>
        <w:rPr>
          <w:rFonts w:hint="eastAsia" w:ascii="仿宋_GB2312" w:hAnsi="Times New Roman" w:eastAsia="仿宋_GB2312" w:cs="DengXian-Regular"/>
          <w:sz w:val="32"/>
          <w:szCs w:val="32"/>
          <w:lang w:val="en-US" w:eastAsia="zh-CN"/>
        </w:rPr>
        <w:t>不涉及</w:t>
      </w:r>
      <w:r>
        <w:rPr>
          <w:rFonts w:hint="eastAsia" w:ascii="仿宋_GB2312" w:hAnsi="Times New Roman" w:eastAsia="仿宋_GB2312" w:cs="DengXian-Regular"/>
          <w:sz w:val="32"/>
          <w:szCs w:val="32"/>
        </w:rPr>
        <w:t>政府性基金预算财政拨款；支出完成年初预算</w:t>
      </w:r>
      <w:r>
        <w:rPr>
          <w:rFonts w:hint="eastAsia" w:ascii="仿宋_GB2312" w:hAnsi="Times New Roman" w:eastAsia="仿宋_GB2312" w:cs="DengXian-Regular"/>
          <w:sz w:val="32"/>
          <w:szCs w:val="32"/>
          <w:lang w:val="en-US" w:eastAsia="zh-CN"/>
        </w:rPr>
        <w:t>0.0%</w:t>
      </w:r>
      <w:r>
        <w:rPr>
          <w:rFonts w:hint="eastAsia" w:ascii="仿宋_GB2312" w:hAnsi="Times New Roman" w:eastAsia="仿宋_GB2312" w:cs="DengXian-Regular"/>
          <w:sz w:val="32"/>
          <w:szCs w:val="32"/>
        </w:rPr>
        <w:t>，比年初预算增加</w:t>
      </w:r>
      <w:r>
        <w:rPr>
          <w:rFonts w:hint="eastAsia" w:ascii="仿宋_GB2312" w:hAnsi="Times New Roman" w:eastAsia="仿宋_GB2312" w:cs="DengXian-Regular"/>
          <w:sz w:val="32"/>
          <w:szCs w:val="32"/>
          <w:lang w:val="en-US" w:eastAsia="zh-CN"/>
        </w:rPr>
        <w:t>0</w:t>
      </w:r>
      <w:r>
        <w:rPr>
          <w:rFonts w:hint="eastAsia" w:ascii="仿宋_GB2312" w:hAnsi="Times New Roman" w:eastAsia="仿宋_GB2312" w:cs="DengXian-Regular"/>
          <w:sz w:val="32"/>
          <w:szCs w:val="32"/>
        </w:rPr>
        <w:t>万元，主要是</w:t>
      </w:r>
      <w:r>
        <w:rPr>
          <w:rFonts w:hint="eastAsia" w:ascii="仿宋_GB2312" w:hAnsi="Times New Roman" w:eastAsia="仿宋_GB2312" w:cs="DengXian-Regular"/>
          <w:sz w:val="32"/>
          <w:szCs w:val="32"/>
          <w:lang w:val="en-US" w:eastAsia="zh-CN"/>
        </w:rPr>
        <w:t>不涉及</w:t>
      </w:r>
      <w:r>
        <w:rPr>
          <w:rFonts w:hint="eastAsia" w:ascii="仿宋_GB2312" w:hAnsi="Times New Roman" w:eastAsia="仿宋_GB2312" w:cs="DengXian-Regular"/>
          <w:sz w:val="32"/>
          <w:szCs w:val="32"/>
        </w:rPr>
        <w:t>政府性基金预算财政拨款。</w:t>
      </w:r>
    </w:p>
    <w:p>
      <w:pPr>
        <w:adjustRightInd w:val="0"/>
        <w:snapToGrid w:val="0"/>
        <w:spacing w:line="580" w:lineRule="exact"/>
        <w:ind w:firstLine="640" w:firstLineChars="200"/>
        <w:rPr>
          <w:rFonts w:ascii="仿宋_GB2312" w:hAnsi="Times New Roman" w:eastAsia="仿宋_GB2312" w:cs="DengXian-Regular"/>
          <w:sz w:val="32"/>
          <w:szCs w:val="32"/>
        </w:rPr>
      </w:pPr>
      <w:r>
        <w:rPr>
          <w:rFonts w:hint="eastAsia" w:ascii="仿宋_GB2312" w:hAnsi="Times New Roman" w:eastAsia="仿宋_GB2312" w:cs="DengXian-Regular"/>
          <w:sz w:val="32"/>
          <w:szCs w:val="32"/>
        </w:rPr>
        <w:t>3.国有资本经营预算财政拨款本年收入完成年初预算</w:t>
      </w:r>
      <w:r>
        <w:rPr>
          <w:rFonts w:hint="eastAsia" w:ascii="仿宋_GB2312" w:hAnsi="Times New Roman" w:eastAsia="仿宋_GB2312" w:cs="DengXian-Regular"/>
          <w:sz w:val="32"/>
          <w:szCs w:val="32"/>
          <w:lang w:val="en-US" w:eastAsia="zh-CN"/>
        </w:rPr>
        <w:t>0.0%</w:t>
      </w:r>
      <w:r>
        <w:rPr>
          <w:rFonts w:hint="eastAsia" w:ascii="仿宋_GB2312" w:hAnsi="Times New Roman" w:eastAsia="仿宋_GB2312" w:cs="DengXian-Regular"/>
          <w:sz w:val="32"/>
          <w:szCs w:val="32"/>
        </w:rPr>
        <w:t>，比年初预算增加</w:t>
      </w:r>
      <w:r>
        <w:rPr>
          <w:rFonts w:hint="eastAsia" w:ascii="仿宋_GB2312" w:hAnsi="Times New Roman" w:eastAsia="仿宋_GB2312" w:cs="DengXian-Regular"/>
          <w:sz w:val="32"/>
          <w:szCs w:val="32"/>
          <w:lang w:val="en-US" w:eastAsia="zh-CN"/>
        </w:rPr>
        <w:t>0</w:t>
      </w:r>
      <w:r>
        <w:rPr>
          <w:rFonts w:hint="eastAsia" w:ascii="仿宋_GB2312" w:hAnsi="Times New Roman" w:eastAsia="仿宋_GB2312" w:cs="DengXian-Regular"/>
          <w:sz w:val="32"/>
          <w:szCs w:val="32"/>
        </w:rPr>
        <w:t>万元，主要是</w:t>
      </w:r>
      <w:r>
        <w:rPr>
          <w:rFonts w:hint="eastAsia" w:ascii="仿宋_GB2312" w:hAnsi="Times New Roman" w:eastAsia="仿宋_GB2312" w:cs="DengXian-Regular"/>
          <w:sz w:val="32"/>
          <w:szCs w:val="32"/>
          <w:lang w:val="en-US" w:eastAsia="zh-CN"/>
        </w:rPr>
        <w:t>不涉及</w:t>
      </w:r>
      <w:r>
        <w:rPr>
          <w:rFonts w:hint="eastAsia" w:ascii="仿宋_GB2312" w:hAnsi="Times New Roman" w:eastAsia="仿宋_GB2312" w:cs="DengXian-Regular"/>
          <w:sz w:val="32"/>
          <w:szCs w:val="32"/>
        </w:rPr>
        <w:t>国有资本经营预算财政拨款；支出完成年初预算</w:t>
      </w:r>
      <w:r>
        <w:rPr>
          <w:rFonts w:hint="eastAsia" w:ascii="仿宋_GB2312" w:hAnsi="Times New Roman" w:eastAsia="仿宋_GB2312" w:cs="DengXian-Regular"/>
          <w:sz w:val="32"/>
          <w:szCs w:val="32"/>
          <w:lang w:val="en-US" w:eastAsia="zh-CN"/>
        </w:rPr>
        <w:t>0.0%</w:t>
      </w:r>
      <w:r>
        <w:rPr>
          <w:rFonts w:hint="eastAsia" w:ascii="仿宋_GB2312" w:hAnsi="Times New Roman" w:eastAsia="仿宋_GB2312" w:cs="DengXian-Regular"/>
          <w:sz w:val="32"/>
          <w:szCs w:val="32"/>
        </w:rPr>
        <w:t>，比年初预算增加</w:t>
      </w:r>
      <w:r>
        <w:rPr>
          <w:rFonts w:hint="eastAsia" w:ascii="仿宋_GB2312" w:hAnsi="Times New Roman" w:eastAsia="仿宋_GB2312" w:cs="DengXian-Regular"/>
          <w:sz w:val="32"/>
          <w:szCs w:val="32"/>
          <w:lang w:val="en-US" w:eastAsia="zh-CN"/>
        </w:rPr>
        <w:t>0</w:t>
      </w:r>
      <w:r>
        <w:rPr>
          <w:rFonts w:hint="eastAsia" w:ascii="仿宋_GB2312" w:hAnsi="Times New Roman" w:eastAsia="仿宋_GB2312" w:cs="DengXian-Regular"/>
          <w:sz w:val="32"/>
          <w:szCs w:val="32"/>
        </w:rPr>
        <w:t>万元，主要是</w:t>
      </w:r>
      <w:r>
        <w:rPr>
          <w:rFonts w:hint="eastAsia" w:ascii="仿宋_GB2312" w:hAnsi="Times New Roman" w:eastAsia="仿宋_GB2312" w:cs="DengXian-Regular"/>
          <w:sz w:val="32"/>
          <w:szCs w:val="32"/>
          <w:lang w:val="en-US" w:eastAsia="zh-CN"/>
        </w:rPr>
        <w:t>不涉及</w:t>
      </w:r>
      <w:r>
        <w:rPr>
          <w:rFonts w:hint="eastAsia" w:ascii="仿宋_GB2312" w:hAnsi="Times New Roman" w:eastAsia="仿宋_GB2312" w:cs="DengXian-Regular"/>
          <w:sz w:val="32"/>
          <w:szCs w:val="32"/>
        </w:rPr>
        <w:t>国有资本经营预算财政拨款。</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Arial" w:cs="Times New Roman"/>
          <w:highlight w:val="none"/>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2"/>
      </w:pP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2"/>
        <w:rPr>
          <w:rFonts w:hint="default" w:ascii="Times New Roman" w:hAnsi="Times New Roman" w:eastAsia="楷体_GB2312" w:cs="Times New Roman"/>
          <w:b/>
          <w:bCs/>
          <w:kern w:val="2"/>
          <w:sz w:val="32"/>
          <w:szCs w:val="32"/>
          <w:lang w:val="en-US" w:eastAsia="zh-CN" w:bidi="ar-SA"/>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2"/>
        <w:rPr>
          <w:rFonts w:hint="default" w:ascii="Times New Roman" w:hAnsi="Times New Roman" w:eastAsia="楷体_GB2312" w:cs="Times New Roman"/>
          <w:b/>
          <w:bCs/>
          <w:kern w:val="2"/>
          <w:sz w:val="32"/>
          <w:szCs w:val="32"/>
          <w:lang w:val="en-US" w:eastAsia="zh-CN" w:bidi="ar-SA"/>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2"/>
        <w:rPr>
          <w:rFonts w:hint="default" w:ascii="Times New Roman" w:hAnsi="Times New Roman" w:eastAsia="楷体_GB2312" w:cs="Times New Roman"/>
          <w:b/>
          <w:bCs/>
          <w:kern w:val="2"/>
          <w:sz w:val="32"/>
          <w:szCs w:val="32"/>
          <w:lang w:val="en-US" w:eastAsia="zh-CN" w:bidi="ar-SA"/>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2"/>
        <w:rPr>
          <w:rFonts w:hint="default" w:ascii="Times New Roman" w:hAnsi="Times New Roman" w:eastAsia="楷体_GB2312" w:cs="Times New Roman"/>
          <w:b/>
          <w:bCs/>
          <w:kern w:val="2"/>
          <w:sz w:val="32"/>
          <w:szCs w:val="32"/>
          <w:lang w:val="en-US" w:eastAsia="zh-CN" w:bidi="ar-SA"/>
        </w:rPr>
      </w:pPr>
      <w:r>
        <w:drawing>
          <wp:anchor distT="0" distB="0" distL="114300" distR="114300" simplePos="0" relativeHeight="251669504" behindDoc="0" locked="0" layoutInCell="1" allowOverlap="1">
            <wp:simplePos x="0" y="0"/>
            <wp:positionH relativeFrom="column">
              <wp:posOffset>353695</wp:posOffset>
            </wp:positionH>
            <wp:positionV relativeFrom="paragraph">
              <wp:posOffset>-41910</wp:posOffset>
            </wp:positionV>
            <wp:extent cx="4572000" cy="2743200"/>
            <wp:effectExtent l="4445" t="4445" r="14605" b="14605"/>
            <wp:wrapSquare wrapText="bothSides"/>
            <wp:docPr id="11"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anchor>
        </w:drawing>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2"/>
        <w:rPr>
          <w:rFonts w:hint="default" w:ascii="Times New Roman" w:hAnsi="Times New Roman" w:eastAsia="楷体_GB2312" w:cs="Times New Roman"/>
          <w:b/>
          <w:bCs/>
          <w:kern w:val="2"/>
          <w:sz w:val="32"/>
          <w:szCs w:val="32"/>
          <w:lang w:val="en-US" w:eastAsia="zh-CN" w:bidi="ar-SA"/>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2"/>
        <w:rPr>
          <w:rFonts w:hint="default" w:ascii="Times New Roman" w:hAnsi="Times New Roman" w:eastAsia="楷体_GB2312" w:cs="Times New Roman"/>
          <w:b/>
          <w:bCs/>
          <w:kern w:val="2"/>
          <w:sz w:val="32"/>
          <w:szCs w:val="32"/>
          <w:lang w:val="en-US" w:eastAsia="zh-CN" w:bidi="ar-SA"/>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2"/>
        <w:rPr>
          <w:rFonts w:hint="default" w:ascii="Times New Roman" w:hAnsi="Times New Roman" w:eastAsia="楷体_GB2312" w:cs="Times New Roman"/>
          <w:b/>
          <w:bCs/>
          <w:kern w:val="2"/>
          <w:sz w:val="32"/>
          <w:szCs w:val="32"/>
          <w:lang w:val="en-US" w:eastAsia="zh-CN" w:bidi="ar-SA"/>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2"/>
        <w:rPr>
          <w:rFonts w:hint="default" w:ascii="Times New Roman" w:hAnsi="Times New Roman" w:eastAsia="楷体_GB2312" w:cs="Times New Roman"/>
          <w:b/>
          <w:bCs/>
          <w:kern w:val="2"/>
          <w:sz w:val="32"/>
          <w:szCs w:val="32"/>
          <w:lang w:val="en-US" w:eastAsia="zh-CN" w:bidi="ar-SA"/>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2"/>
        <w:rPr>
          <w:rFonts w:hint="default" w:ascii="Times New Roman" w:hAnsi="Times New Roman" w:eastAsia="楷体_GB2312" w:cs="Times New Roman"/>
          <w:b/>
          <w:bCs/>
          <w:kern w:val="2"/>
          <w:sz w:val="32"/>
          <w:szCs w:val="32"/>
          <w:lang w:val="en-US" w:eastAsia="zh-CN" w:bidi="ar-SA"/>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2"/>
        <w:rPr>
          <w:rFonts w:hint="default" w:ascii="Times New Roman" w:hAnsi="Times New Roman" w:eastAsia="楷体_GB2312" w:cs="Times New Roman"/>
          <w:b/>
          <w:bCs/>
          <w:kern w:val="2"/>
          <w:sz w:val="32"/>
          <w:szCs w:val="32"/>
          <w:lang w:val="en-US" w:eastAsia="zh-CN" w:bidi="ar-SA"/>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2"/>
        <w:rPr>
          <w:rFonts w:hint="default" w:ascii="Times New Roman" w:hAnsi="Times New Roman" w:eastAsia="楷体_GB2312" w:cs="Times New Roman"/>
          <w:b/>
          <w:bCs/>
          <w:kern w:val="2"/>
          <w:sz w:val="32"/>
          <w:szCs w:val="32"/>
          <w:lang w:val="en-US" w:eastAsia="zh-CN" w:bidi="ar-SA"/>
        </w:rPr>
      </w:pPr>
      <w:r>
        <w:rPr>
          <w:rFonts w:hint="default" w:ascii="Times New Roman" w:hAnsi="Times New Roman" w:eastAsia="楷体_GB2312" w:cs="Times New Roman"/>
          <w:b/>
          <w:bCs/>
          <w:kern w:val="2"/>
          <w:sz w:val="32"/>
          <w:szCs w:val="32"/>
          <w:lang w:val="en-US" w:eastAsia="zh-CN" w:bidi="ar-SA"/>
        </w:rPr>
        <w:t>（三）财政拨款支出决算结构情况</w:t>
      </w:r>
    </w:p>
    <w:p>
      <w:pPr>
        <w:adjustRightInd w:val="0"/>
        <w:snapToGrid w:val="0"/>
        <w:spacing w:line="580" w:lineRule="exact"/>
        <w:ind w:firstLine="660" w:firstLineChars="200"/>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i w:val="0"/>
          <w:iCs w:val="0"/>
          <w:caps w:val="0"/>
          <w:color w:val="000000"/>
          <w:spacing w:val="0"/>
          <w:sz w:val="33"/>
          <w:szCs w:val="33"/>
          <w:highlight w:val="none"/>
          <w:shd w:val="clear" w:fill="FFFFFF"/>
        </w:rPr>
        <w:t> </w:t>
      </w:r>
      <w:r>
        <w:rPr>
          <w:rFonts w:hint="default" w:ascii="Times New Roman" w:hAnsi="Times New Roman" w:eastAsia="仿宋_GB2312" w:cs="Times New Roman"/>
          <w:kern w:val="2"/>
          <w:sz w:val="32"/>
          <w:szCs w:val="32"/>
          <w:lang w:val="zh-CN"/>
        </w:rPr>
        <w:t> 202</w:t>
      </w:r>
      <w:r>
        <w:rPr>
          <w:rFonts w:hint="default" w:ascii="Times New Roman" w:hAnsi="Times New Roman" w:eastAsia="仿宋_GB2312" w:cs="Times New Roman"/>
          <w:kern w:val="2"/>
          <w:sz w:val="32"/>
          <w:szCs w:val="32"/>
          <w:lang w:val="en-US" w:eastAsia="zh-CN"/>
        </w:rPr>
        <w:t>3</w:t>
      </w:r>
      <w:r>
        <w:rPr>
          <w:rFonts w:hint="default" w:ascii="Times New Roman" w:hAnsi="Times New Roman" w:eastAsia="仿宋_GB2312" w:cs="Times New Roman"/>
          <w:kern w:val="2"/>
          <w:sz w:val="32"/>
          <w:szCs w:val="32"/>
          <w:lang w:val="zh-CN"/>
        </w:rPr>
        <w:t>年度财政拨款支出1,259.99万元，主要用于以下方面：</w:t>
      </w:r>
      <w:r>
        <w:rPr>
          <w:rFonts w:hint="eastAsia" w:ascii="仿宋_GB2312" w:hAnsi="Times New Roman" w:eastAsia="仿宋_GB2312" w:cs="DengXian-Regular"/>
          <w:sz w:val="32"/>
          <w:szCs w:val="32"/>
        </w:rPr>
        <w:t>灾害防治及应急管理支出</w:t>
      </w:r>
      <w:r>
        <w:rPr>
          <w:rFonts w:hint="eastAsia" w:ascii="Times New Roman" w:hAnsi="Times New Roman" w:eastAsia="仿宋_GB2312" w:cs="Times New Roman"/>
          <w:kern w:val="2"/>
          <w:sz w:val="32"/>
          <w:szCs w:val="32"/>
          <w:lang w:val="en-US" w:eastAsia="zh-CN"/>
        </w:rPr>
        <w:t>1259.99</w:t>
      </w:r>
      <w:r>
        <w:rPr>
          <w:rFonts w:hint="eastAsia" w:ascii="仿宋_GB2312" w:hAnsi="Times New Roman" w:eastAsia="仿宋_GB2312" w:cs="DengXian-Regular"/>
          <w:sz w:val="32"/>
          <w:szCs w:val="32"/>
          <w:lang w:val="en-US" w:eastAsia="zh-CN"/>
        </w:rPr>
        <w:t>万元</w:t>
      </w:r>
      <w:r>
        <w:rPr>
          <w:rFonts w:hint="eastAsia" w:ascii="仿宋_GB2312" w:hAnsi="Times New Roman" w:eastAsia="仿宋_GB2312" w:cs="DengXian-Regular"/>
          <w:sz w:val="32"/>
          <w:szCs w:val="32"/>
        </w:rPr>
        <w:t>，占</w:t>
      </w:r>
      <w:r>
        <w:rPr>
          <w:rFonts w:hint="eastAsia" w:ascii="仿宋_GB2312" w:hAnsi="Times New Roman" w:eastAsia="仿宋_GB2312" w:cs="DengXian-Regular"/>
          <w:sz w:val="32"/>
          <w:szCs w:val="32"/>
          <w:lang w:val="en-US" w:eastAsia="zh-CN"/>
        </w:rPr>
        <w:t>100.0%</w:t>
      </w:r>
      <w:r>
        <w:rPr>
          <w:rFonts w:hint="eastAsia" w:ascii="仿宋_GB2312" w:hAnsi="Times New Roman" w:eastAsia="仿宋_GB2312" w:cs="DengXian-Regular"/>
          <w:sz w:val="32"/>
          <w:szCs w:val="32"/>
        </w:rPr>
        <w:t>，主要用于</w:t>
      </w:r>
      <w:r>
        <w:rPr>
          <w:rFonts w:hint="eastAsia" w:ascii="仿宋_GB2312" w:hAnsi="Times New Roman" w:eastAsia="仿宋_GB2312" w:cs="DengXian-Regular"/>
          <w:sz w:val="32"/>
          <w:szCs w:val="32"/>
          <w:lang w:val="en-US" w:eastAsia="zh-CN"/>
        </w:rPr>
        <w:t>消防业务经费</w:t>
      </w:r>
      <w:r>
        <w:rPr>
          <w:rFonts w:hint="eastAsia" w:ascii="仿宋_GB2312" w:hAnsi="Times New Roman" w:eastAsia="仿宋_GB2312" w:cs="DengXian-Regular"/>
          <w:sz w:val="32"/>
          <w:szCs w:val="32"/>
        </w:rPr>
        <w:t>等支出。</w:t>
      </w:r>
    </w:p>
    <w:p>
      <w:pPr>
        <w:pStyle w:val="10"/>
        <w:keepNext w:val="0"/>
        <w:keepLines w:val="0"/>
        <w:widowControl/>
        <w:numPr>
          <w:ilvl w:val="0"/>
          <w:numId w:val="3"/>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2"/>
        <w:rPr>
          <w:rFonts w:hint="default" w:ascii="Times New Roman" w:hAnsi="Times New Roman" w:eastAsia="楷体_GB2312" w:cs="Times New Roman"/>
          <w:b/>
          <w:bCs/>
          <w:color w:val="auto"/>
          <w:kern w:val="2"/>
          <w:sz w:val="32"/>
          <w:szCs w:val="32"/>
          <w:highlight w:val="none"/>
          <w:lang w:val="en-US" w:eastAsia="zh-CN" w:bidi="ar-SA"/>
        </w:rPr>
      </w:pPr>
      <w:r>
        <w:rPr>
          <w:rFonts w:hint="default" w:ascii="Times New Roman" w:hAnsi="Times New Roman" w:eastAsia="楷体_GB2312" w:cs="Times New Roman"/>
          <w:b/>
          <w:bCs/>
          <w:color w:val="auto"/>
          <w:kern w:val="2"/>
          <w:sz w:val="32"/>
          <w:szCs w:val="32"/>
          <w:highlight w:val="none"/>
          <w:lang w:val="en-US" w:eastAsia="zh-CN" w:bidi="ar-SA"/>
        </w:rPr>
        <w:t>一般公共预算基本支出决算情况说明</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firstLine="640" w:firstLineChars="200"/>
        <w:jc w:val="left"/>
        <w:textAlignment w:val="auto"/>
        <w:rPr>
          <w:rFonts w:hint="default" w:ascii="Times New Roman" w:hAnsi="Times New Roman" w:eastAsia="仿宋_GB2312" w:cs="Times New Roman"/>
          <w:color w:val="auto"/>
          <w:kern w:val="2"/>
          <w:sz w:val="32"/>
          <w:szCs w:val="32"/>
          <w:highlight w:val="none"/>
          <w:lang w:val="zh-CN" w:eastAsia="zh-CN" w:bidi="ar-SA"/>
        </w:rPr>
      </w:pPr>
      <w:r>
        <w:rPr>
          <w:rFonts w:hint="default" w:ascii="Times New Roman" w:hAnsi="Times New Roman" w:eastAsia="仿宋_GB2312" w:cs="Times New Roman"/>
          <w:color w:val="auto"/>
          <w:kern w:val="2"/>
          <w:sz w:val="32"/>
          <w:szCs w:val="32"/>
          <w:highlight w:val="none"/>
          <w:lang w:val="zh-CN" w:eastAsia="zh-CN" w:bidi="ar-SA"/>
        </w:rPr>
        <w:t>202</w:t>
      </w:r>
      <w:r>
        <w:rPr>
          <w:rFonts w:hint="default" w:ascii="Times New Roman" w:hAnsi="Times New Roman" w:eastAsia="仿宋_GB2312" w:cs="Times New Roman"/>
          <w:color w:val="auto"/>
          <w:kern w:val="2"/>
          <w:sz w:val="32"/>
          <w:szCs w:val="32"/>
          <w:highlight w:val="none"/>
          <w:lang w:val="en-US" w:eastAsia="zh-CN" w:bidi="ar-SA"/>
        </w:rPr>
        <w:t>3</w:t>
      </w:r>
      <w:r>
        <w:rPr>
          <w:rFonts w:hint="default" w:ascii="Times New Roman" w:hAnsi="Times New Roman" w:eastAsia="仿宋_GB2312" w:cs="Times New Roman"/>
          <w:color w:val="auto"/>
          <w:kern w:val="2"/>
          <w:sz w:val="32"/>
          <w:szCs w:val="32"/>
          <w:highlight w:val="none"/>
          <w:lang w:val="zh-CN" w:eastAsia="zh-CN" w:bidi="ar-SA"/>
        </w:rPr>
        <w:t>年度财政拨款基本支出0万元，其中：</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firstLine="640" w:firstLineChars="200"/>
        <w:jc w:val="left"/>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kern w:val="2"/>
          <w:sz w:val="32"/>
          <w:szCs w:val="32"/>
          <w:highlight w:val="none"/>
          <w:lang w:val="zh-CN" w:eastAsia="zh-CN" w:bidi="ar-SA"/>
        </w:rPr>
        <w:t>人员经费0万元</w:t>
      </w:r>
      <w:r>
        <w:rPr>
          <w:rFonts w:hint="eastAsia" w:ascii="Times New Roman" w:hAnsi="Times New Roman" w:eastAsia="仿宋_GB2312" w:cs="Times New Roman"/>
          <w:color w:val="auto"/>
          <w:kern w:val="2"/>
          <w:sz w:val="32"/>
          <w:szCs w:val="32"/>
          <w:highlight w:val="none"/>
          <w:lang w:val="zh-CN" w:eastAsia="zh-CN" w:bidi="ar-SA"/>
        </w:rPr>
        <w:t>。</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77"/>
        <w:jc w:val="left"/>
        <w:rPr>
          <w:rFonts w:hint="default" w:ascii="Times New Roman" w:hAnsi="Times New Roman" w:eastAsia="仿宋_GB2312" w:cs="Times New Roman"/>
          <w:color w:val="auto"/>
          <w:kern w:val="2"/>
          <w:sz w:val="32"/>
          <w:szCs w:val="32"/>
          <w:highlight w:val="none"/>
          <w:lang w:val="en-US" w:eastAsia="zh-CN" w:bidi="ar-SA"/>
        </w:rPr>
      </w:pPr>
      <w:r>
        <w:rPr>
          <w:rFonts w:hint="default" w:ascii="Times New Roman" w:hAnsi="Times New Roman" w:eastAsia="仿宋_GB2312" w:cs="Times New Roman"/>
          <w:color w:val="auto"/>
          <w:kern w:val="2"/>
          <w:sz w:val="32"/>
          <w:szCs w:val="32"/>
          <w:highlight w:val="none"/>
          <w:lang w:val="zh-CN" w:eastAsia="zh-CN" w:bidi="ar-SA"/>
        </w:rPr>
        <w:t>公用经费0万元</w:t>
      </w:r>
      <w:r>
        <w:rPr>
          <w:rFonts w:hint="eastAsia" w:ascii="Times New Roman" w:hAnsi="Times New Roman" w:eastAsia="仿宋_GB2312" w:cs="Times New Roman"/>
          <w:color w:val="auto"/>
          <w:kern w:val="2"/>
          <w:sz w:val="32"/>
          <w:szCs w:val="32"/>
          <w:highlight w:val="none"/>
          <w:lang w:val="zh-CN" w:eastAsia="zh-CN" w:bidi="ar-SA"/>
        </w:rPr>
        <w:t>。</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1"/>
        <w:rPr>
          <w:rFonts w:hint="default" w:ascii="Times New Roman" w:hAnsi="Times New Roman" w:eastAsia="黑体" w:cs="Times New Roman"/>
          <w:kern w:val="2"/>
          <w:sz w:val="32"/>
          <w:szCs w:val="32"/>
          <w:lang w:val="en-US" w:eastAsia="zh-CN" w:bidi="ar-SA"/>
        </w:rPr>
      </w:pPr>
      <w:r>
        <w:rPr>
          <w:rFonts w:hint="default" w:ascii="Times New Roman" w:hAnsi="Times New Roman" w:eastAsia="黑体" w:cs="Times New Roman"/>
          <w:kern w:val="2"/>
          <w:sz w:val="32"/>
          <w:szCs w:val="32"/>
          <w:lang w:val="en-US" w:eastAsia="zh-CN" w:bidi="ar-SA"/>
        </w:rPr>
        <w:t>五、财政拨款“三公” 经费支出决算情况说明</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2"/>
        <w:rPr>
          <w:rFonts w:hint="default" w:ascii="Times New Roman" w:hAnsi="Times New Roman" w:eastAsia="楷体_GB2312" w:cs="Times New Roman"/>
          <w:b/>
          <w:bCs/>
          <w:kern w:val="2"/>
          <w:sz w:val="32"/>
          <w:szCs w:val="32"/>
          <w:lang w:val="en-US" w:eastAsia="zh-CN" w:bidi="ar-SA"/>
        </w:rPr>
      </w:pPr>
      <w:r>
        <w:rPr>
          <w:rFonts w:hint="default" w:ascii="Times New Roman" w:hAnsi="Times New Roman" w:eastAsia="楷体_GB2312" w:cs="Times New Roman"/>
          <w:b/>
          <w:bCs/>
          <w:kern w:val="2"/>
          <w:sz w:val="32"/>
          <w:szCs w:val="32"/>
          <w:lang w:val="en-US" w:eastAsia="zh-CN" w:bidi="ar-SA"/>
        </w:rPr>
        <w:t>（一）“三公”经费财政拨款支出决算总体情况说明</w:t>
      </w:r>
    </w:p>
    <w:p>
      <w:pPr>
        <w:adjustRightInd w:val="0"/>
        <w:snapToGrid w:val="0"/>
        <w:spacing w:line="580" w:lineRule="exact"/>
        <w:ind w:firstLine="660" w:firstLineChars="200"/>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i w:val="0"/>
          <w:iCs w:val="0"/>
          <w:caps w:val="0"/>
          <w:color w:val="333333"/>
          <w:spacing w:val="0"/>
          <w:sz w:val="33"/>
          <w:szCs w:val="33"/>
          <w:highlight w:val="none"/>
          <w:shd w:val="clear" w:fill="FFFFFF"/>
        </w:rPr>
        <w:t>  </w:t>
      </w:r>
      <w:r>
        <w:rPr>
          <w:rFonts w:hint="default" w:ascii="Times New Roman" w:hAnsi="Times New Roman" w:eastAsia="仿宋_GB2312" w:cs="Times New Roman"/>
          <w:color w:val="auto"/>
          <w:kern w:val="2"/>
          <w:sz w:val="32"/>
          <w:szCs w:val="32"/>
          <w:lang w:val="en-US" w:eastAsia="zh-CN" w:bidi="ar-SA"/>
        </w:rPr>
        <w:t> </w:t>
      </w:r>
      <w:r>
        <w:rPr>
          <w:rFonts w:hint="eastAsia" w:ascii="Times New Roman" w:hAnsi="Times New Roman" w:eastAsia="仿宋_GB2312" w:cs="Times New Roman"/>
          <w:color w:val="auto"/>
          <w:kern w:val="2"/>
          <w:sz w:val="32"/>
          <w:szCs w:val="32"/>
          <w:lang w:val="en-US" w:eastAsia="zh-CN" w:bidi="ar-SA"/>
        </w:rPr>
        <w:t>本部门2023年度“三公”经费财政拨款支出预算为0万元，支出决算为0万元，完成预算的100.0%,较预算增加0万元，增长0.0%，主要是未申请“三公”经费；较2022年度决算增加0万元，增长0.0%，主要是未申请“三公”经费。</w:t>
      </w:r>
    </w:p>
    <w:p>
      <w:pPr>
        <w:adjustRightInd w:val="0"/>
        <w:snapToGrid w:val="0"/>
        <w:spacing w:line="580" w:lineRule="exact"/>
        <w:rPr>
          <w:rFonts w:hint="default" w:ascii="Times New Roman" w:hAnsi="Times New Roman" w:eastAsia="楷体_GB2312" w:cs="Times New Roman"/>
          <w:b/>
          <w:bCs/>
          <w:kern w:val="2"/>
          <w:sz w:val="32"/>
          <w:szCs w:val="32"/>
        </w:rPr>
      </w:pPr>
      <w:r>
        <w:rPr>
          <w:rFonts w:hint="default" w:ascii="Times New Roman" w:hAnsi="Times New Roman" w:eastAsia="楷体_GB2312" w:cs="Times New Roman"/>
          <w:b/>
          <w:bCs/>
          <w:kern w:val="2"/>
          <w:sz w:val="32"/>
          <w:szCs w:val="32"/>
        </w:rPr>
        <w:t>（二）“三公”经费财政拨款支出决算具体情况说明</w:t>
      </w:r>
    </w:p>
    <w:p>
      <w:pPr>
        <w:adjustRightInd w:val="0"/>
        <w:snapToGrid w:val="0"/>
        <w:spacing w:line="580" w:lineRule="exact"/>
        <w:ind w:firstLine="643" w:firstLineChars="200"/>
        <w:rPr>
          <w:rFonts w:ascii="仿宋_GB2312" w:hAnsi="Times New Roman" w:eastAsia="仿宋_GB2312" w:cs="DengXian-Regular"/>
          <w:sz w:val="32"/>
          <w:szCs w:val="32"/>
        </w:rPr>
      </w:pPr>
      <w:r>
        <w:rPr>
          <w:rFonts w:hint="eastAsia" w:ascii="楷体_GB2312" w:hAnsi="Times New Roman" w:eastAsia="楷体_GB2312" w:cs="DengXian-Bold"/>
          <w:b/>
          <w:bCs/>
          <w:sz w:val="32"/>
          <w:szCs w:val="32"/>
        </w:rPr>
        <w:t>1.因公出国（境）费支出情况。</w:t>
      </w:r>
      <w:r>
        <w:rPr>
          <w:rFonts w:hint="eastAsia" w:ascii="仿宋_GB2312" w:hAnsi="Times New Roman" w:eastAsia="仿宋_GB2312" w:cs="DengXian-Regular"/>
          <w:sz w:val="32"/>
          <w:szCs w:val="32"/>
        </w:rPr>
        <w:t>本部门202</w:t>
      </w:r>
      <w:r>
        <w:rPr>
          <w:rFonts w:hint="eastAsia" w:ascii="仿宋_GB2312" w:hAnsi="Times New Roman" w:eastAsia="仿宋_GB2312" w:cs="DengXian-Regular"/>
          <w:sz w:val="32"/>
          <w:szCs w:val="32"/>
          <w:lang w:val="en-US" w:eastAsia="zh-CN"/>
        </w:rPr>
        <w:t>3</w:t>
      </w:r>
      <w:r>
        <w:rPr>
          <w:rFonts w:hint="eastAsia" w:ascii="仿宋_GB2312" w:hAnsi="Times New Roman" w:eastAsia="仿宋_GB2312" w:cs="DengXian-Regular"/>
          <w:sz w:val="32"/>
          <w:szCs w:val="32"/>
        </w:rPr>
        <w:t>年度因公出国（境）费支出预算为</w:t>
      </w:r>
      <w:r>
        <w:rPr>
          <w:rFonts w:hint="eastAsia" w:ascii="仿宋_GB2312" w:hAnsi="Times New Roman" w:eastAsia="仿宋_GB2312" w:cs="DengXian-Regular"/>
          <w:sz w:val="32"/>
          <w:szCs w:val="32"/>
          <w:lang w:val="en-US" w:eastAsia="zh-CN"/>
        </w:rPr>
        <w:t>0</w:t>
      </w:r>
      <w:r>
        <w:rPr>
          <w:rFonts w:hint="eastAsia" w:ascii="仿宋_GB2312" w:hAnsi="Times New Roman" w:eastAsia="仿宋_GB2312" w:cs="DengXian-Regular"/>
          <w:sz w:val="32"/>
          <w:szCs w:val="32"/>
        </w:rPr>
        <w:t>万元，支出决算</w:t>
      </w:r>
      <w:r>
        <w:rPr>
          <w:rFonts w:hint="eastAsia" w:ascii="仿宋_GB2312" w:hAnsi="Times New Roman" w:eastAsia="仿宋_GB2312" w:cs="DengXian-Regular"/>
          <w:sz w:val="32"/>
          <w:szCs w:val="32"/>
          <w:lang w:val="en-US" w:eastAsia="zh-CN"/>
        </w:rPr>
        <w:t>0</w:t>
      </w:r>
      <w:r>
        <w:rPr>
          <w:rFonts w:hint="eastAsia" w:ascii="仿宋_GB2312" w:hAnsi="Times New Roman" w:eastAsia="仿宋_GB2312" w:cs="DengXian-Regular"/>
          <w:sz w:val="32"/>
          <w:szCs w:val="32"/>
        </w:rPr>
        <w:t>万元，完成预算的</w:t>
      </w:r>
      <w:r>
        <w:rPr>
          <w:rFonts w:hint="eastAsia" w:ascii="仿宋_GB2312" w:hAnsi="Times New Roman" w:eastAsia="仿宋_GB2312" w:cs="DengXian-Regular"/>
          <w:sz w:val="32"/>
          <w:szCs w:val="32"/>
          <w:lang w:val="en-US" w:eastAsia="zh-CN"/>
        </w:rPr>
        <w:t>100.0%</w:t>
      </w:r>
      <w:r>
        <w:rPr>
          <w:rFonts w:hint="eastAsia" w:ascii="仿宋_GB2312" w:hAnsi="Times New Roman" w:eastAsia="仿宋_GB2312" w:cs="DengXian-Regular"/>
          <w:sz w:val="32"/>
          <w:szCs w:val="32"/>
        </w:rPr>
        <w:t>。因公出国（境）费支出较预算增加</w:t>
      </w:r>
      <w:r>
        <w:rPr>
          <w:rFonts w:hint="eastAsia" w:ascii="仿宋_GB2312" w:hAnsi="Times New Roman" w:eastAsia="仿宋_GB2312" w:cs="DengXian-Regular"/>
          <w:sz w:val="32"/>
          <w:szCs w:val="32"/>
          <w:lang w:val="en-US" w:eastAsia="zh-CN"/>
        </w:rPr>
        <w:t>0</w:t>
      </w:r>
      <w:r>
        <w:rPr>
          <w:rFonts w:hint="eastAsia" w:ascii="仿宋_GB2312" w:hAnsi="Times New Roman" w:eastAsia="仿宋_GB2312" w:cs="DengXian-Regular"/>
          <w:sz w:val="32"/>
          <w:szCs w:val="32"/>
        </w:rPr>
        <w:t>万元，增长</w:t>
      </w:r>
      <w:r>
        <w:rPr>
          <w:rFonts w:hint="eastAsia" w:ascii="仿宋_GB2312" w:hAnsi="Times New Roman" w:eastAsia="仿宋_GB2312" w:cs="DengXian-Regular"/>
          <w:sz w:val="32"/>
          <w:szCs w:val="32"/>
          <w:lang w:val="en-US" w:eastAsia="zh-CN"/>
        </w:rPr>
        <w:t>0.0%</w:t>
      </w:r>
      <w:r>
        <w:rPr>
          <w:rFonts w:hint="eastAsia" w:ascii="仿宋_GB2312" w:hAnsi="Times New Roman" w:eastAsia="仿宋_GB2312" w:cs="DengXian-Regular"/>
          <w:sz w:val="32"/>
          <w:szCs w:val="32"/>
        </w:rPr>
        <w:t>,主要是</w:t>
      </w:r>
      <w:r>
        <w:rPr>
          <w:rFonts w:hint="eastAsia" w:ascii="仿宋_GB2312" w:hAnsi="Times New Roman" w:eastAsia="仿宋_GB2312" w:cs="DengXian-Regular"/>
          <w:sz w:val="32"/>
          <w:szCs w:val="32"/>
          <w:lang w:val="en-US" w:eastAsia="zh-CN"/>
        </w:rPr>
        <w:t>未申请“三公”经费</w:t>
      </w:r>
      <w:r>
        <w:rPr>
          <w:rFonts w:hint="eastAsia" w:ascii="仿宋_GB2312" w:hAnsi="Times New Roman" w:eastAsia="仿宋_GB2312" w:cs="DengXian-Regular"/>
          <w:sz w:val="32"/>
          <w:szCs w:val="32"/>
        </w:rPr>
        <w:t>；较上年增加</w:t>
      </w:r>
      <w:r>
        <w:rPr>
          <w:rFonts w:hint="eastAsia" w:ascii="仿宋_GB2312" w:hAnsi="Times New Roman" w:eastAsia="仿宋_GB2312" w:cs="DengXian-Regular"/>
          <w:sz w:val="32"/>
          <w:szCs w:val="32"/>
          <w:lang w:val="en-US" w:eastAsia="zh-CN"/>
        </w:rPr>
        <w:t>0</w:t>
      </w:r>
      <w:r>
        <w:rPr>
          <w:rFonts w:hint="eastAsia" w:ascii="仿宋_GB2312" w:hAnsi="Times New Roman" w:eastAsia="仿宋_GB2312" w:cs="DengXian-Regular"/>
          <w:sz w:val="32"/>
          <w:szCs w:val="32"/>
        </w:rPr>
        <w:t>万元，增长</w:t>
      </w:r>
      <w:r>
        <w:rPr>
          <w:rFonts w:hint="eastAsia" w:ascii="仿宋_GB2312" w:hAnsi="Times New Roman" w:eastAsia="仿宋_GB2312" w:cs="DengXian-Regular"/>
          <w:sz w:val="32"/>
          <w:szCs w:val="32"/>
          <w:lang w:val="en-US" w:eastAsia="zh-CN"/>
        </w:rPr>
        <w:t>0.0%</w:t>
      </w:r>
      <w:r>
        <w:rPr>
          <w:rFonts w:hint="eastAsia" w:ascii="仿宋_GB2312" w:hAnsi="Times New Roman" w:eastAsia="仿宋_GB2312" w:cs="DengXian-Regular"/>
          <w:sz w:val="32"/>
          <w:szCs w:val="32"/>
        </w:rPr>
        <w:t>,主要是</w:t>
      </w:r>
      <w:r>
        <w:rPr>
          <w:rFonts w:hint="eastAsia" w:ascii="仿宋_GB2312" w:hAnsi="Times New Roman" w:eastAsia="仿宋_GB2312" w:cs="DengXian-Regular"/>
          <w:sz w:val="32"/>
          <w:szCs w:val="32"/>
          <w:lang w:val="en-US" w:eastAsia="zh-CN"/>
        </w:rPr>
        <w:t>未申请“三公”经费</w:t>
      </w:r>
      <w:r>
        <w:rPr>
          <w:rFonts w:hint="eastAsia" w:ascii="仿宋_GB2312" w:hAnsi="Times New Roman" w:eastAsia="仿宋_GB2312" w:cs="DengXian-Regular"/>
          <w:sz w:val="32"/>
          <w:szCs w:val="32"/>
        </w:rPr>
        <w:t>。其中因公出国（境）团组</w:t>
      </w:r>
      <w:r>
        <w:rPr>
          <w:rFonts w:hint="eastAsia" w:ascii="仿宋_GB2312" w:hAnsi="Times New Roman" w:eastAsia="仿宋_GB2312" w:cs="DengXian-Regular"/>
          <w:sz w:val="32"/>
          <w:szCs w:val="32"/>
          <w:lang w:val="en-US" w:eastAsia="zh-CN"/>
        </w:rPr>
        <w:t>0</w:t>
      </w:r>
      <w:r>
        <w:rPr>
          <w:rFonts w:hint="eastAsia" w:ascii="仿宋_GB2312" w:hAnsi="Times New Roman" w:eastAsia="仿宋_GB2312" w:cs="DengXian-Regular"/>
          <w:sz w:val="32"/>
          <w:szCs w:val="32"/>
        </w:rPr>
        <w:t>个、共</w:t>
      </w:r>
      <w:r>
        <w:rPr>
          <w:rFonts w:hint="eastAsia" w:ascii="仿宋_GB2312" w:hAnsi="Times New Roman" w:eastAsia="仿宋_GB2312" w:cs="DengXian-Regular"/>
          <w:sz w:val="32"/>
          <w:szCs w:val="32"/>
          <w:lang w:val="en-US" w:eastAsia="zh-CN"/>
        </w:rPr>
        <w:t>0</w:t>
      </w:r>
      <w:r>
        <w:rPr>
          <w:rFonts w:hint="eastAsia" w:ascii="仿宋_GB2312" w:hAnsi="Times New Roman" w:eastAsia="仿宋_GB2312" w:cs="DengXian-Regular"/>
          <w:sz w:val="32"/>
          <w:szCs w:val="32"/>
        </w:rPr>
        <w:t>人、参加其他单位组织的因公出国（境）团组</w:t>
      </w:r>
      <w:r>
        <w:rPr>
          <w:rFonts w:hint="eastAsia" w:ascii="仿宋_GB2312" w:hAnsi="Times New Roman" w:eastAsia="仿宋_GB2312" w:cs="DengXian-Regular"/>
          <w:sz w:val="32"/>
          <w:szCs w:val="32"/>
          <w:lang w:val="en-US" w:eastAsia="zh-CN"/>
        </w:rPr>
        <w:t>0</w:t>
      </w:r>
      <w:r>
        <w:rPr>
          <w:rFonts w:hint="eastAsia" w:ascii="仿宋_GB2312" w:hAnsi="Times New Roman" w:eastAsia="仿宋_GB2312" w:cs="DengXian-Regular"/>
          <w:sz w:val="32"/>
          <w:szCs w:val="32"/>
        </w:rPr>
        <w:t>个、无本单位组织的出国（境）团组。</w:t>
      </w:r>
    </w:p>
    <w:p>
      <w:pPr>
        <w:adjustRightInd w:val="0"/>
        <w:snapToGrid w:val="0"/>
        <w:spacing w:line="580" w:lineRule="exact"/>
        <w:ind w:firstLine="643" w:firstLineChars="200"/>
        <w:rPr>
          <w:rFonts w:ascii="仿宋_GB2312" w:hAnsi="Times New Roman" w:eastAsia="仿宋_GB2312" w:cs="DengXian-Bold"/>
          <w:b/>
          <w:bCs/>
          <w:sz w:val="32"/>
          <w:szCs w:val="32"/>
        </w:rPr>
      </w:pPr>
      <w:r>
        <w:rPr>
          <w:rFonts w:hint="eastAsia" w:ascii="楷体_GB2312" w:hAnsi="Times New Roman" w:eastAsia="楷体_GB2312" w:cs="DengXian-Bold"/>
          <w:b/>
          <w:bCs/>
          <w:sz w:val="32"/>
          <w:szCs w:val="32"/>
        </w:rPr>
        <w:t>2.公务用车购置及运行维护费支出情况。</w:t>
      </w:r>
      <w:r>
        <w:rPr>
          <w:rFonts w:hint="eastAsia" w:ascii="仿宋_GB2312" w:hAnsi="Times New Roman" w:eastAsia="仿宋_GB2312" w:cs="DengXian-Regular"/>
          <w:sz w:val="32"/>
          <w:szCs w:val="32"/>
        </w:rPr>
        <w:t>本部门202</w:t>
      </w:r>
      <w:r>
        <w:rPr>
          <w:rFonts w:hint="eastAsia" w:ascii="仿宋_GB2312" w:hAnsi="Times New Roman" w:eastAsia="仿宋_GB2312" w:cs="DengXian-Regular"/>
          <w:sz w:val="32"/>
          <w:szCs w:val="32"/>
          <w:lang w:val="en-US" w:eastAsia="zh-CN"/>
        </w:rPr>
        <w:t>3</w:t>
      </w:r>
      <w:r>
        <w:rPr>
          <w:rFonts w:hint="eastAsia" w:ascii="仿宋_GB2312" w:hAnsi="Times New Roman" w:eastAsia="仿宋_GB2312" w:cs="DengXian-Regular"/>
          <w:sz w:val="32"/>
          <w:szCs w:val="32"/>
        </w:rPr>
        <w:t>年度公务用车购置及运行维护费预算为</w:t>
      </w:r>
      <w:r>
        <w:rPr>
          <w:rFonts w:hint="eastAsia" w:ascii="仿宋_GB2312" w:hAnsi="Times New Roman" w:eastAsia="仿宋_GB2312" w:cs="DengXian-Regular"/>
          <w:sz w:val="32"/>
          <w:szCs w:val="32"/>
          <w:lang w:val="en-US" w:eastAsia="zh-CN"/>
        </w:rPr>
        <w:t>0</w:t>
      </w:r>
      <w:r>
        <w:rPr>
          <w:rFonts w:hint="eastAsia" w:ascii="仿宋_GB2312" w:hAnsi="Times New Roman" w:eastAsia="仿宋_GB2312" w:cs="DengXian-Regular"/>
          <w:sz w:val="32"/>
          <w:szCs w:val="32"/>
        </w:rPr>
        <w:t>万元，支出决算</w:t>
      </w:r>
      <w:r>
        <w:rPr>
          <w:rFonts w:hint="eastAsia" w:ascii="仿宋_GB2312" w:hAnsi="Times New Roman" w:eastAsia="仿宋_GB2312" w:cs="DengXian-Regular"/>
          <w:sz w:val="32"/>
          <w:szCs w:val="32"/>
          <w:lang w:val="en-US" w:eastAsia="zh-CN"/>
        </w:rPr>
        <w:t>0</w:t>
      </w:r>
      <w:r>
        <w:rPr>
          <w:rFonts w:hint="eastAsia" w:ascii="仿宋_GB2312" w:hAnsi="Times New Roman" w:eastAsia="仿宋_GB2312" w:cs="DengXian-Regular"/>
          <w:sz w:val="32"/>
          <w:szCs w:val="32"/>
        </w:rPr>
        <w:t>万元，完成预算的</w:t>
      </w:r>
      <w:r>
        <w:rPr>
          <w:rFonts w:hint="eastAsia" w:ascii="仿宋_GB2312" w:hAnsi="Times New Roman" w:eastAsia="仿宋_GB2312" w:cs="DengXian-Regular"/>
          <w:sz w:val="32"/>
          <w:szCs w:val="32"/>
          <w:lang w:val="en-US" w:eastAsia="zh-CN"/>
        </w:rPr>
        <w:t>100.0%</w:t>
      </w:r>
      <w:r>
        <w:rPr>
          <w:rFonts w:hint="eastAsia" w:ascii="仿宋_GB2312" w:hAnsi="Times New Roman" w:eastAsia="仿宋_GB2312" w:cs="DengXian-Regular"/>
          <w:sz w:val="32"/>
          <w:szCs w:val="32"/>
        </w:rPr>
        <w:t>。较预算减少</w:t>
      </w:r>
      <w:r>
        <w:rPr>
          <w:rFonts w:hint="eastAsia" w:ascii="仿宋_GB2312" w:hAnsi="Times New Roman" w:eastAsia="仿宋_GB2312" w:cs="DengXian-Regular"/>
          <w:sz w:val="32"/>
          <w:szCs w:val="32"/>
          <w:lang w:val="en-US" w:eastAsia="zh-CN"/>
        </w:rPr>
        <w:t>0</w:t>
      </w:r>
      <w:r>
        <w:rPr>
          <w:rFonts w:hint="eastAsia" w:ascii="仿宋_GB2312" w:hAnsi="Times New Roman" w:eastAsia="仿宋_GB2312" w:cs="DengXian-Regular"/>
          <w:sz w:val="32"/>
          <w:szCs w:val="32"/>
        </w:rPr>
        <w:t>万元，降低</w:t>
      </w:r>
      <w:r>
        <w:rPr>
          <w:rFonts w:hint="eastAsia" w:ascii="仿宋_GB2312" w:hAnsi="Times New Roman" w:eastAsia="仿宋_GB2312" w:cs="DengXian-Regular"/>
          <w:sz w:val="32"/>
          <w:szCs w:val="32"/>
          <w:lang w:val="en-US" w:eastAsia="zh-CN"/>
        </w:rPr>
        <w:t>0.0%</w:t>
      </w:r>
      <w:r>
        <w:rPr>
          <w:rFonts w:hint="eastAsia" w:ascii="仿宋_GB2312" w:hAnsi="Times New Roman" w:eastAsia="仿宋_GB2312" w:cs="DengXian-Regular"/>
          <w:sz w:val="32"/>
          <w:szCs w:val="32"/>
        </w:rPr>
        <w:t>,主要是</w:t>
      </w:r>
      <w:r>
        <w:rPr>
          <w:rFonts w:hint="eastAsia" w:ascii="仿宋_GB2312" w:hAnsi="Times New Roman" w:eastAsia="仿宋_GB2312" w:cs="DengXian-Regular"/>
          <w:sz w:val="32"/>
          <w:szCs w:val="32"/>
          <w:lang w:val="en-US" w:eastAsia="zh-CN"/>
        </w:rPr>
        <w:t>未申请“三公”经费</w:t>
      </w:r>
      <w:r>
        <w:rPr>
          <w:rFonts w:hint="eastAsia" w:ascii="仿宋_GB2312" w:hAnsi="Times New Roman" w:eastAsia="仿宋_GB2312" w:cs="DengXian-Regular"/>
          <w:sz w:val="32"/>
          <w:szCs w:val="32"/>
        </w:rPr>
        <w:t>；较上年减少</w:t>
      </w:r>
      <w:r>
        <w:rPr>
          <w:rFonts w:hint="eastAsia" w:ascii="仿宋_GB2312" w:hAnsi="Times New Roman" w:eastAsia="仿宋_GB2312" w:cs="DengXian-Regular"/>
          <w:sz w:val="32"/>
          <w:szCs w:val="32"/>
          <w:lang w:val="en-US" w:eastAsia="zh-CN"/>
        </w:rPr>
        <w:t>0</w:t>
      </w:r>
      <w:r>
        <w:rPr>
          <w:rFonts w:hint="eastAsia" w:ascii="仿宋_GB2312" w:hAnsi="Times New Roman" w:eastAsia="仿宋_GB2312" w:cs="DengXian-Regular"/>
          <w:sz w:val="32"/>
          <w:szCs w:val="32"/>
        </w:rPr>
        <w:t>万元，降低</w:t>
      </w:r>
      <w:r>
        <w:rPr>
          <w:rFonts w:hint="eastAsia" w:ascii="仿宋_GB2312" w:hAnsi="Times New Roman" w:eastAsia="仿宋_GB2312" w:cs="DengXian-Regular"/>
          <w:sz w:val="32"/>
          <w:szCs w:val="32"/>
          <w:lang w:val="en-US" w:eastAsia="zh-CN"/>
        </w:rPr>
        <w:t>0.0%</w:t>
      </w:r>
      <w:r>
        <w:rPr>
          <w:rFonts w:hint="eastAsia" w:ascii="仿宋_GB2312" w:hAnsi="Times New Roman" w:eastAsia="仿宋_GB2312" w:cs="DengXian-Regular"/>
          <w:sz w:val="32"/>
          <w:szCs w:val="32"/>
        </w:rPr>
        <w:t>,主要是</w:t>
      </w:r>
      <w:r>
        <w:rPr>
          <w:rFonts w:hint="eastAsia" w:ascii="仿宋_GB2312" w:hAnsi="Times New Roman" w:eastAsia="仿宋_GB2312" w:cs="DengXian-Regular"/>
          <w:sz w:val="32"/>
          <w:szCs w:val="32"/>
          <w:lang w:val="en-US" w:eastAsia="zh-CN"/>
        </w:rPr>
        <w:t>未申请“三公”经费</w:t>
      </w:r>
      <w:r>
        <w:rPr>
          <w:rFonts w:hint="eastAsia" w:ascii="仿宋_GB2312" w:hAnsi="Times New Roman" w:eastAsia="仿宋_GB2312" w:cs="DengXian-Regular"/>
          <w:sz w:val="32"/>
          <w:szCs w:val="32"/>
        </w:rPr>
        <w:t>。</w:t>
      </w:r>
      <w:r>
        <w:rPr>
          <w:rFonts w:hint="eastAsia" w:ascii="仿宋_GB2312" w:hAnsi="Times New Roman" w:eastAsia="仿宋_GB2312" w:cs="DengXian-Bold"/>
          <w:sz w:val="32"/>
          <w:szCs w:val="32"/>
        </w:rPr>
        <w:t>其中：</w:t>
      </w:r>
    </w:p>
    <w:p>
      <w:pPr>
        <w:adjustRightInd w:val="0"/>
        <w:snapToGrid w:val="0"/>
        <w:spacing w:line="580" w:lineRule="exact"/>
        <w:ind w:firstLine="643" w:firstLineChars="200"/>
        <w:rPr>
          <w:rFonts w:ascii="仿宋_GB2312" w:hAnsi="Times New Roman" w:eastAsia="仿宋_GB2312" w:cs="DengXian-Regular"/>
          <w:sz w:val="32"/>
          <w:szCs w:val="32"/>
        </w:rPr>
      </w:pPr>
      <w:r>
        <w:rPr>
          <w:rFonts w:hint="eastAsia" w:ascii="仿宋_GB2312" w:hAnsi="Times New Roman" w:eastAsia="仿宋_GB2312" w:cs="DengXian-Regular"/>
          <w:b/>
          <w:sz w:val="32"/>
          <w:szCs w:val="32"/>
        </w:rPr>
        <w:t>公务用车购置费支出</w:t>
      </w:r>
      <w:r>
        <w:rPr>
          <w:rFonts w:hint="eastAsia" w:ascii="楷体_GB2312" w:hAnsi="Times New Roman" w:eastAsia="楷体_GB2312" w:cs="DengXian-Bold"/>
          <w:b/>
          <w:bCs/>
          <w:sz w:val="32"/>
          <w:szCs w:val="32"/>
          <w:lang w:val="en-US" w:eastAsia="zh-CN"/>
        </w:rPr>
        <w:t>0</w:t>
      </w:r>
      <w:r>
        <w:rPr>
          <w:rFonts w:hint="eastAsia" w:ascii="楷体_GB2312" w:hAnsi="Times New Roman" w:eastAsia="楷体_GB2312" w:cs="DengXian-Bold"/>
          <w:b/>
          <w:bCs/>
          <w:sz w:val="32"/>
          <w:szCs w:val="32"/>
        </w:rPr>
        <w:t>万元</w:t>
      </w:r>
      <w:r>
        <w:rPr>
          <w:rFonts w:hint="eastAsia" w:ascii="仿宋_GB2312" w:hAnsi="Times New Roman" w:eastAsia="仿宋_GB2312" w:cs="DengXian-Regular"/>
          <w:b/>
          <w:sz w:val="32"/>
          <w:szCs w:val="32"/>
        </w:rPr>
        <w:t>：</w:t>
      </w:r>
      <w:r>
        <w:rPr>
          <w:rFonts w:hint="eastAsia" w:ascii="仿宋_GB2312" w:hAnsi="Times New Roman" w:eastAsia="仿宋_GB2312" w:cs="DengXian-Regular"/>
          <w:sz w:val="32"/>
          <w:szCs w:val="32"/>
        </w:rPr>
        <w:t>本部门202</w:t>
      </w:r>
      <w:r>
        <w:rPr>
          <w:rFonts w:hint="eastAsia" w:ascii="仿宋_GB2312" w:hAnsi="Times New Roman" w:eastAsia="仿宋_GB2312" w:cs="DengXian-Regular"/>
          <w:sz w:val="32"/>
          <w:szCs w:val="32"/>
          <w:lang w:val="en-US" w:eastAsia="zh-CN"/>
        </w:rPr>
        <w:t>3</w:t>
      </w:r>
      <w:r>
        <w:rPr>
          <w:rFonts w:hint="eastAsia" w:ascii="仿宋_GB2312" w:hAnsi="Times New Roman" w:eastAsia="仿宋_GB2312" w:cs="DengXian-Regular"/>
          <w:sz w:val="32"/>
          <w:szCs w:val="32"/>
        </w:rPr>
        <w:t>年度公务用车购置量</w:t>
      </w:r>
      <w:r>
        <w:rPr>
          <w:rFonts w:hint="eastAsia" w:ascii="仿宋_GB2312" w:hAnsi="Times New Roman" w:eastAsia="仿宋_GB2312" w:cs="DengXian-Regular"/>
          <w:sz w:val="32"/>
          <w:szCs w:val="32"/>
          <w:lang w:val="en-US" w:eastAsia="zh-CN"/>
        </w:rPr>
        <w:t>0</w:t>
      </w:r>
      <w:r>
        <w:rPr>
          <w:rFonts w:hint="eastAsia" w:ascii="仿宋_GB2312" w:hAnsi="Times New Roman" w:eastAsia="仿宋_GB2312" w:cs="DengXian-Regular"/>
          <w:sz w:val="32"/>
          <w:szCs w:val="32"/>
        </w:rPr>
        <w:t>辆，发生“公务用车购置”经费支出</w:t>
      </w:r>
      <w:r>
        <w:rPr>
          <w:rFonts w:hint="eastAsia" w:ascii="仿宋_GB2312" w:hAnsi="Times New Roman" w:eastAsia="仿宋_GB2312" w:cs="DengXian-Regular"/>
          <w:sz w:val="32"/>
          <w:szCs w:val="32"/>
          <w:lang w:val="en-US" w:eastAsia="zh-CN"/>
        </w:rPr>
        <w:t>0</w:t>
      </w:r>
      <w:r>
        <w:rPr>
          <w:rFonts w:hint="eastAsia" w:ascii="仿宋_GB2312" w:hAnsi="Times New Roman" w:eastAsia="仿宋_GB2312" w:cs="DengXian-Regular"/>
          <w:sz w:val="32"/>
          <w:szCs w:val="32"/>
        </w:rPr>
        <w:t>万元。公务用车购置费支出较预算增加</w:t>
      </w:r>
      <w:r>
        <w:rPr>
          <w:rFonts w:hint="eastAsia" w:ascii="仿宋_GB2312" w:hAnsi="Times New Roman" w:eastAsia="仿宋_GB2312" w:cs="DengXian-Regular"/>
          <w:sz w:val="32"/>
          <w:szCs w:val="32"/>
          <w:lang w:val="en-US" w:eastAsia="zh-CN"/>
        </w:rPr>
        <w:t>0</w:t>
      </w:r>
      <w:r>
        <w:rPr>
          <w:rFonts w:hint="eastAsia" w:ascii="仿宋_GB2312" w:hAnsi="Times New Roman" w:eastAsia="仿宋_GB2312" w:cs="DengXian-Regular"/>
          <w:sz w:val="32"/>
          <w:szCs w:val="32"/>
        </w:rPr>
        <w:t>万元，增长</w:t>
      </w:r>
      <w:r>
        <w:rPr>
          <w:rFonts w:hint="eastAsia" w:ascii="仿宋_GB2312" w:hAnsi="Times New Roman" w:eastAsia="仿宋_GB2312" w:cs="DengXian-Regular"/>
          <w:sz w:val="32"/>
          <w:szCs w:val="32"/>
          <w:lang w:val="en-US" w:eastAsia="zh-CN"/>
        </w:rPr>
        <w:t>0.0%</w:t>
      </w:r>
      <w:r>
        <w:rPr>
          <w:rFonts w:hint="eastAsia" w:ascii="仿宋_GB2312" w:hAnsi="Times New Roman" w:eastAsia="仿宋_GB2312" w:cs="DengXian-Regular"/>
          <w:sz w:val="32"/>
          <w:szCs w:val="32"/>
        </w:rPr>
        <w:t>,主要是</w:t>
      </w:r>
      <w:r>
        <w:rPr>
          <w:rFonts w:hint="eastAsia" w:ascii="仿宋_GB2312" w:hAnsi="Times New Roman" w:eastAsia="仿宋_GB2312" w:cs="DengXian-Regular"/>
          <w:sz w:val="32"/>
          <w:szCs w:val="32"/>
          <w:lang w:val="en-US" w:eastAsia="zh-CN"/>
        </w:rPr>
        <w:t>未申请“三公”经费</w:t>
      </w:r>
      <w:r>
        <w:rPr>
          <w:rFonts w:hint="eastAsia" w:ascii="仿宋_GB2312" w:hAnsi="Times New Roman" w:eastAsia="仿宋_GB2312" w:cs="DengXian-Regular"/>
          <w:sz w:val="32"/>
          <w:szCs w:val="32"/>
        </w:rPr>
        <w:t>；较上年增加</w:t>
      </w:r>
      <w:r>
        <w:rPr>
          <w:rFonts w:hint="eastAsia" w:ascii="仿宋_GB2312" w:hAnsi="Times New Roman" w:eastAsia="仿宋_GB2312" w:cs="DengXian-Regular"/>
          <w:sz w:val="32"/>
          <w:szCs w:val="32"/>
          <w:lang w:val="en-US" w:eastAsia="zh-CN"/>
        </w:rPr>
        <w:t>0</w:t>
      </w:r>
      <w:r>
        <w:rPr>
          <w:rFonts w:hint="eastAsia" w:ascii="仿宋_GB2312" w:hAnsi="Times New Roman" w:eastAsia="仿宋_GB2312" w:cs="DengXian-Regular"/>
          <w:sz w:val="32"/>
          <w:szCs w:val="32"/>
        </w:rPr>
        <w:t>万元，增长</w:t>
      </w:r>
      <w:r>
        <w:rPr>
          <w:rFonts w:hint="eastAsia" w:ascii="仿宋_GB2312" w:hAnsi="Times New Roman" w:eastAsia="仿宋_GB2312" w:cs="DengXian-Regular"/>
          <w:sz w:val="32"/>
          <w:szCs w:val="32"/>
          <w:lang w:val="en-US" w:eastAsia="zh-CN"/>
        </w:rPr>
        <w:t>0.0%</w:t>
      </w:r>
      <w:r>
        <w:rPr>
          <w:rFonts w:hint="eastAsia" w:ascii="仿宋_GB2312" w:hAnsi="Times New Roman" w:eastAsia="仿宋_GB2312" w:cs="DengXian-Regular"/>
          <w:sz w:val="32"/>
          <w:szCs w:val="32"/>
        </w:rPr>
        <w:t>,主要是</w:t>
      </w:r>
      <w:r>
        <w:rPr>
          <w:rFonts w:hint="eastAsia" w:ascii="仿宋_GB2312" w:hAnsi="Times New Roman" w:eastAsia="仿宋_GB2312" w:cs="DengXian-Regular"/>
          <w:sz w:val="32"/>
          <w:szCs w:val="32"/>
          <w:lang w:val="en-US" w:eastAsia="zh-CN"/>
        </w:rPr>
        <w:t>未申请“三公”经费</w:t>
      </w:r>
      <w:r>
        <w:rPr>
          <w:rFonts w:hint="eastAsia" w:ascii="仿宋_GB2312" w:hAnsi="Times New Roman" w:eastAsia="仿宋_GB2312" w:cs="DengXian-Regular"/>
          <w:sz w:val="32"/>
          <w:szCs w:val="32"/>
        </w:rPr>
        <w:t>。</w:t>
      </w:r>
    </w:p>
    <w:p>
      <w:pPr>
        <w:adjustRightInd w:val="0"/>
        <w:snapToGrid w:val="0"/>
        <w:spacing w:line="580" w:lineRule="exact"/>
        <w:ind w:firstLine="643" w:firstLineChars="200"/>
        <w:rPr>
          <w:rFonts w:ascii="仿宋_GB2312" w:hAnsi="Times New Roman" w:eastAsia="仿宋_GB2312" w:cs="DengXian-Regular"/>
          <w:sz w:val="32"/>
          <w:szCs w:val="32"/>
        </w:rPr>
      </w:pPr>
      <w:r>
        <w:rPr>
          <w:rFonts w:hint="eastAsia" w:ascii="仿宋_GB2312" w:hAnsi="Times New Roman" w:eastAsia="仿宋_GB2312" w:cs="DengXian-Regular"/>
          <w:b/>
          <w:sz w:val="32"/>
          <w:szCs w:val="32"/>
        </w:rPr>
        <w:t>公务用车运行维护费支出</w:t>
      </w:r>
      <w:r>
        <w:rPr>
          <w:rFonts w:hint="eastAsia" w:ascii="仿宋_GB2312" w:hAnsi="Times New Roman" w:eastAsia="仿宋_GB2312" w:cs="DengXian-Regular"/>
          <w:b/>
          <w:sz w:val="32"/>
          <w:szCs w:val="32"/>
          <w:lang w:val="en-US" w:eastAsia="zh-CN"/>
        </w:rPr>
        <w:t>0</w:t>
      </w:r>
      <w:r>
        <w:rPr>
          <w:rFonts w:hint="eastAsia" w:ascii="楷体_GB2312" w:hAnsi="Times New Roman" w:eastAsia="楷体_GB2312" w:cs="DengXian-Bold"/>
          <w:b/>
          <w:bCs/>
          <w:sz w:val="32"/>
          <w:szCs w:val="32"/>
        </w:rPr>
        <w:t>万元</w:t>
      </w:r>
      <w:r>
        <w:rPr>
          <w:rFonts w:hint="eastAsia" w:ascii="仿宋_GB2312" w:hAnsi="Times New Roman" w:eastAsia="仿宋_GB2312" w:cs="DengXian-Regular"/>
          <w:b/>
          <w:sz w:val="32"/>
          <w:szCs w:val="32"/>
        </w:rPr>
        <w:t>：</w:t>
      </w:r>
      <w:r>
        <w:rPr>
          <w:rFonts w:hint="eastAsia" w:ascii="仿宋_GB2312" w:hAnsi="Times New Roman" w:eastAsia="仿宋_GB2312" w:cs="DengXian-Regular"/>
          <w:sz w:val="32"/>
          <w:szCs w:val="32"/>
        </w:rPr>
        <w:t>本部门202</w:t>
      </w:r>
      <w:r>
        <w:rPr>
          <w:rFonts w:hint="eastAsia" w:ascii="仿宋_GB2312" w:hAnsi="Times New Roman" w:eastAsia="仿宋_GB2312" w:cs="DengXian-Regular"/>
          <w:sz w:val="32"/>
          <w:szCs w:val="32"/>
          <w:lang w:val="en-US" w:eastAsia="zh-CN"/>
        </w:rPr>
        <w:t>3</w:t>
      </w:r>
      <w:r>
        <w:rPr>
          <w:rFonts w:hint="eastAsia" w:ascii="仿宋_GB2312" w:hAnsi="Times New Roman" w:eastAsia="仿宋_GB2312" w:cs="DengXian-Regular"/>
          <w:sz w:val="32"/>
          <w:szCs w:val="32"/>
        </w:rPr>
        <w:t>年度单位公务用车保有量</w:t>
      </w:r>
      <w:r>
        <w:rPr>
          <w:rFonts w:hint="eastAsia" w:ascii="仿宋_GB2312" w:hAnsi="Times New Roman" w:eastAsia="仿宋_GB2312" w:cs="DengXian-Regular"/>
          <w:sz w:val="32"/>
          <w:szCs w:val="32"/>
          <w:lang w:val="en-US" w:eastAsia="zh-CN"/>
        </w:rPr>
        <w:t>0</w:t>
      </w:r>
      <w:r>
        <w:rPr>
          <w:rFonts w:hint="eastAsia" w:ascii="仿宋_GB2312" w:hAnsi="Times New Roman" w:eastAsia="仿宋_GB2312" w:cs="DengXian-Regular"/>
          <w:sz w:val="32"/>
          <w:szCs w:val="32"/>
        </w:rPr>
        <w:t>辆。公车运行维护费支出较预算增加</w:t>
      </w:r>
      <w:r>
        <w:rPr>
          <w:rFonts w:hint="eastAsia" w:ascii="仿宋_GB2312" w:hAnsi="Times New Roman" w:eastAsia="仿宋_GB2312" w:cs="DengXian-Regular"/>
          <w:sz w:val="32"/>
          <w:szCs w:val="32"/>
          <w:lang w:val="en-US" w:eastAsia="zh-CN"/>
        </w:rPr>
        <w:t>0</w:t>
      </w:r>
      <w:r>
        <w:rPr>
          <w:rFonts w:hint="eastAsia" w:ascii="仿宋_GB2312" w:hAnsi="Times New Roman" w:eastAsia="仿宋_GB2312" w:cs="DengXian-Regular"/>
          <w:sz w:val="32"/>
          <w:szCs w:val="32"/>
        </w:rPr>
        <w:t>万元，增长</w:t>
      </w:r>
      <w:r>
        <w:rPr>
          <w:rFonts w:hint="eastAsia" w:ascii="仿宋_GB2312" w:hAnsi="Times New Roman" w:eastAsia="仿宋_GB2312" w:cs="DengXian-Regular"/>
          <w:sz w:val="32"/>
          <w:szCs w:val="32"/>
          <w:lang w:val="en-US" w:eastAsia="zh-CN"/>
        </w:rPr>
        <w:t>0.0%</w:t>
      </w:r>
      <w:r>
        <w:rPr>
          <w:rFonts w:hint="eastAsia" w:ascii="仿宋_GB2312" w:hAnsi="Times New Roman" w:eastAsia="仿宋_GB2312" w:cs="DengXian-Regular"/>
          <w:sz w:val="32"/>
          <w:szCs w:val="32"/>
        </w:rPr>
        <w:t>,主要是</w:t>
      </w:r>
      <w:r>
        <w:rPr>
          <w:rFonts w:hint="eastAsia" w:ascii="仿宋_GB2312" w:hAnsi="Times New Roman" w:eastAsia="仿宋_GB2312" w:cs="DengXian-Regular"/>
          <w:sz w:val="32"/>
          <w:szCs w:val="32"/>
          <w:lang w:val="en-US" w:eastAsia="zh-CN"/>
        </w:rPr>
        <w:t>未申请“三公”经费</w:t>
      </w:r>
      <w:r>
        <w:rPr>
          <w:rFonts w:hint="eastAsia" w:ascii="仿宋_GB2312" w:hAnsi="Times New Roman" w:eastAsia="仿宋_GB2312" w:cs="DengXian-Regular"/>
          <w:sz w:val="32"/>
          <w:szCs w:val="32"/>
        </w:rPr>
        <w:t>；较上年增加</w:t>
      </w:r>
      <w:r>
        <w:rPr>
          <w:rFonts w:hint="eastAsia" w:ascii="仿宋_GB2312" w:hAnsi="Times New Roman" w:eastAsia="仿宋_GB2312" w:cs="DengXian-Regular"/>
          <w:sz w:val="32"/>
          <w:szCs w:val="32"/>
          <w:lang w:val="en-US" w:eastAsia="zh-CN"/>
        </w:rPr>
        <w:t>0</w:t>
      </w:r>
      <w:r>
        <w:rPr>
          <w:rFonts w:hint="eastAsia" w:ascii="仿宋_GB2312" w:hAnsi="Times New Roman" w:eastAsia="仿宋_GB2312" w:cs="DengXian-Regular"/>
          <w:sz w:val="32"/>
          <w:szCs w:val="32"/>
        </w:rPr>
        <w:t>万元，增长</w:t>
      </w:r>
      <w:r>
        <w:rPr>
          <w:rFonts w:hint="eastAsia" w:ascii="仿宋_GB2312" w:hAnsi="Times New Roman" w:eastAsia="仿宋_GB2312" w:cs="DengXian-Regular"/>
          <w:sz w:val="32"/>
          <w:szCs w:val="32"/>
          <w:lang w:val="en-US" w:eastAsia="zh-CN"/>
        </w:rPr>
        <w:t>0.0%</w:t>
      </w:r>
      <w:r>
        <w:rPr>
          <w:rFonts w:hint="eastAsia" w:ascii="仿宋_GB2312" w:hAnsi="Times New Roman" w:eastAsia="仿宋_GB2312" w:cs="DengXian-Regular"/>
          <w:sz w:val="32"/>
          <w:szCs w:val="32"/>
        </w:rPr>
        <w:t>，主要是</w:t>
      </w:r>
      <w:r>
        <w:rPr>
          <w:rFonts w:hint="eastAsia" w:ascii="仿宋_GB2312" w:hAnsi="Times New Roman" w:eastAsia="仿宋_GB2312" w:cs="DengXian-Regular"/>
          <w:sz w:val="32"/>
          <w:szCs w:val="32"/>
          <w:lang w:val="en-US" w:eastAsia="zh-CN"/>
        </w:rPr>
        <w:t>未申请“三公”经费</w:t>
      </w:r>
      <w:r>
        <w:rPr>
          <w:rFonts w:hint="eastAsia" w:ascii="仿宋_GB2312" w:hAnsi="Times New Roman" w:eastAsia="仿宋_GB2312" w:cs="DengXian-Regular"/>
          <w:sz w:val="32"/>
          <w:szCs w:val="32"/>
        </w:rPr>
        <w:t>。</w:t>
      </w:r>
    </w:p>
    <w:p>
      <w:pPr>
        <w:adjustRightInd w:val="0"/>
        <w:snapToGrid w:val="0"/>
        <w:spacing w:line="580" w:lineRule="exact"/>
        <w:ind w:firstLine="643" w:firstLineChars="200"/>
        <w:rPr>
          <w:rFonts w:ascii="仿宋_GB2312" w:hAnsi="Times New Roman" w:eastAsia="仿宋_GB2312" w:cs="DengXian-Regular"/>
          <w:sz w:val="32"/>
          <w:szCs w:val="32"/>
        </w:rPr>
      </w:pPr>
      <w:r>
        <w:rPr>
          <w:rFonts w:hint="eastAsia" w:ascii="楷体_GB2312" w:hAnsi="Times New Roman" w:eastAsia="楷体_GB2312" w:cs="DengXian-Bold"/>
          <w:b/>
          <w:bCs/>
          <w:sz w:val="32"/>
          <w:szCs w:val="32"/>
        </w:rPr>
        <w:t>3.公务接待费支出情况。</w:t>
      </w:r>
      <w:r>
        <w:rPr>
          <w:rFonts w:hint="eastAsia" w:ascii="仿宋_GB2312" w:hAnsi="Times New Roman" w:eastAsia="仿宋_GB2312" w:cs="DengXian-Regular"/>
          <w:sz w:val="32"/>
          <w:szCs w:val="32"/>
        </w:rPr>
        <w:t>本部门202</w:t>
      </w:r>
      <w:r>
        <w:rPr>
          <w:rFonts w:hint="eastAsia" w:ascii="仿宋_GB2312" w:hAnsi="Times New Roman" w:eastAsia="仿宋_GB2312" w:cs="DengXian-Regular"/>
          <w:sz w:val="32"/>
          <w:szCs w:val="32"/>
          <w:lang w:val="en-US" w:eastAsia="zh-CN"/>
        </w:rPr>
        <w:t>3</w:t>
      </w:r>
      <w:r>
        <w:rPr>
          <w:rFonts w:hint="eastAsia" w:ascii="仿宋_GB2312" w:hAnsi="Times New Roman" w:eastAsia="仿宋_GB2312" w:cs="DengXian-Regular"/>
          <w:sz w:val="32"/>
          <w:szCs w:val="32"/>
        </w:rPr>
        <w:t>年度公务接待费支出预算为</w:t>
      </w:r>
      <w:r>
        <w:rPr>
          <w:rFonts w:hint="eastAsia" w:ascii="仿宋_GB2312" w:hAnsi="Times New Roman" w:eastAsia="仿宋_GB2312" w:cs="DengXian-Regular"/>
          <w:sz w:val="32"/>
          <w:szCs w:val="32"/>
          <w:lang w:val="en-US" w:eastAsia="zh-CN"/>
        </w:rPr>
        <w:t>0</w:t>
      </w:r>
      <w:r>
        <w:rPr>
          <w:rFonts w:hint="eastAsia" w:ascii="仿宋_GB2312" w:hAnsi="Times New Roman" w:eastAsia="仿宋_GB2312" w:cs="DengXian-Regular"/>
          <w:sz w:val="32"/>
          <w:szCs w:val="32"/>
        </w:rPr>
        <w:t>万元，支出决算</w:t>
      </w:r>
      <w:r>
        <w:rPr>
          <w:rFonts w:hint="eastAsia" w:ascii="仿宋_GB2312" w:hAnsi="Times New Roman" w:eastAsia="仿宋_GB2312" w:cs="DengXian-Regular"/>
          <w:sz w:val="32"/>
          <w:szCs w:val="32"/>
          <w:lang w:val="en-US" w:eastAsia="zh-CN"/>
        </w:rPr>
        <w:t>0</w:t>
      </w:r>
      <w:r>
        <w:rPr>
          <w:rFonts w:hint="eastAsia" w:ascii="仿宋_GB2312" w:hAnsi="Times New Roman" w:eastAsia="仿宋_GB2312" w:cs="DengXian-Regular"/>
          <w:sz w:val="32"/>
          <w:szCs w:val="32"/>
        </w:rPr>
        <w:t>万元，完成预算的</w:t>
      </w:r>
      <w:r>
        <w:rPr>
          <w:rFonts w:hint="eastAsia" w:ascii="仿宋_GB2312" w:hAnsi="Times New Roman" w:eastAsia="仿宋_GB2312" w:cs="DengXian-Regular"/>
          <w:sz w:val="32"/>
          <w:szCs w:val="32"/>
          <w:lang w:val="en-US" w:eastAsia="zh-CN"/>
        </w:rPr>
        <w:t>100.0%</w:t>
      </w:r>
      <w:r>
        <w:rPr>
          <w:rFonts w:hint="eastAsia" w:ascii="仿宋_GB2312" w:hAnsi="Times New Roman" w:eastAsia="仿宋_GB2312" w:cs="DengXian-Regular"/>
          <w:sz w:val="32"/>
          <w:szCs w:val="32"/>
        </w:rPr>
        <w:t>。公务接待费支出较预算增加</w:t>
      </w:r>
      <w:r>
        <w:rPr>
          <w:rFonts w:hint="eastAsia" w:ascii="仿宋_GB2312" w:hAnsi="Times New Roman" w:eastAsia="仿宋_GB2312" w:cs="DengXian-Regular"/>
          <w:sz w:val="32"/>
          <w:szCs w:val="32"/>
          <w:lang w:val="en-US" w:eastAsia="zh-CN"/>
        </w:rPr>
        <w:t>0</w:t>
      </w:r>
      <w:r>
        <w:rPr>
          <w:rFonts w:hint="eastAsia" w:ascii="仿宋_GB2312" w:hAnsi="Times New Roman" w:eastAsia="仿宋_GB2312" w:cs="DengXian-Regular"/>
          <w:sz w:val="32"/>
          <w:szCs w:val="32"/>
        </w:rPr>
        <w:t>万元，</w:t>
      </w:r>
      <w:r>
        <w:rPr>
          <w:rFonts w:hint="eastAsia" w:ascii="仿宋_GB2312" w:hAnsi="Times New Roman" w:eastAsia="仿宋_GB2312" w:cs="DengXian-Regular"/>
          <w:sz w:val="32"/>
          <w:szCs w:val="32"/>
          <w:lang w:eastAsia="zh-CN"/>
        </w:rPr>
        <w:t>增长</w:t>
      </w:r>
      <w:r>
        <w:rPr>
          <w:rFonts w:hint="eastAsia" w:ascii="仿宋_GB2312" w:hAnsi="Times New Roman" w:eastAsia="仿宋_GB2312" w:cs="DengXian-Regular"/>
          <w:sz w:val="32"/>
          <w:szCs w:val="32"/>
          <w:lang w:val="en-US" w:eastAsia="zh-CN"/>
        </w:rPr>
        <w:t>0.0%</w:t>
      </w:r>
      <w:r>
        <w:rPr>
          <w:rFonts w:hint="eastAsia" w:ascii="仿宋_GB2312" w:hAnsi="Times New Roman" w:eastAsia="仿宋_GB2312" w:cs="DengXian-Regular"/>
          <w:sz w:val="32"/>
          <w:szCs w:val="32"/>
        </w:rPr>
        <w:t>,主要是</w:t>
      </w:r>
      <w:r>
        <w:rPr>
          <w:rFonts w:hint="eastAsia" w:ascii="仿宋_GB2312" w:hAnsi="Times New Roman" w:eastAsia="仿宋_GB2312" w:cs="DengXian-Regular"/>
          <w:sz w:val="32"/>
          <w:szCs w:val="32"/>
          <w:lang w:val="en-US" w:eastAsia="zh-CN"/>
        </w:rPr>
        <w:t>未申请“三公”经费</w:t>
      </w:r>
      <w:r>
        <w:rPr>
          <w:rFonts w:hint="eastAsia" w:ascii="仿宋_GB2312" w:hAnsi="Times New Roman" w:eastAsia="仿宋_GB2312" w:cs="DengXian-Regular"/>
          <w:sz w:val="32"/>
          <w:szCs w:val="32"/>
        </w:rPr>
        <w:t>；较上年度减少</w:t>
      </w:r>
      <w:r>
        <w:rPr>
          <w:rFonts w:hint="eastAsia" w:ascii="仿宋_GB2312" w:hAnsi="Times New Roman" w:eastAsia="仿宋_GB2312" w:cs="DengXian-Regular"/>
          <w:sz w:val="32"/>
          <w:szCs w:val="32"/>
          <w:lang w:val="en-US" w:eastAsia="zh-CN"/>
        </w:rPr>
        <w:t>0</w:t>
      </w:r>
      <w:r>
        <w:rPr>
          <w:rFonts w:hint="eastAsia" w:ascii="仿宋_GB2312" w:hAnsi="Times New Roman" w:eastAsia="仿宋_GB2312" w:cs="DengXian-Regular"/>
          <w:sz w:val="32"/>
          <w:szCs w:val="32"/>
        </w:rPr>
        <w:t>万元，降低</w:t>
      </w:r>
      <w:r>
        <w:rPr>
          <w:rFonts w:hint="eastAsia" w:ascii="仿宋_GB2312" w:hAnsi="Times New Roman" w:eastAsia="仿宋_GB2312" w:cs="DengXian-Regular"/>
          <w:sz w:val="32"/>
          <w:szCs w:val="32"/>
          <w:lang w:val="en-US" w:eastAsia="zh-CN"/>
        </w:rPr>
        <w:t>0.0%</w:t>
      </w:r>
      <w:r>
        <w:rPr>
          <w:rFonts w:hint="eastAsia" w:ascii="仿宋_GB2312" w:hAnsi="Times New Roman" w:eastAsia="仿宋_GB2312" w:cs="DengXian-Regular"/>
          <w:sz w:val="32"/>
          <w:szCs w:val="32"/>
        </w:rPr>
        <w:t>,主要是</w:t>
      </w:r>
      <w:r>
        <w:rPr>
          <w:rFonts w:hint="eastAsia" w:ascii="仿宋_GB2312" w:hAnsi="Times New Roman" w:eastAsia="仿宋_GB2312" w:cs="DengXian-Regular"/>
          <w:sz w:val="32"/>
          <w:szCs w:val="32"/>
          <w:lang w:val="en-US" w:eastAsia="zh-CN"/>
        </w:rPr>
        <w:t>未申请“三公”经费</w:t>
      </w:r>
      <w:r>
        <w:rPr>
          <w:rFonts w:hint="eastAsia" w:ascii="仿宋_GB2312" w:hAnsi="Times New Roman" w:eastAsia="仿宋_GB2312" w:cs="DengXian-Regular"/>
          <w:sz w:val="32"/>
          <w:szCs w:val="32"/>
        </w:rPr>
        <w:t>。本年度共发生公务接待</w:t>
      </w:r>
      <w:r>
        <w:rPr>
          <w:rFonts w:hint="eastAsia" w:ascii="仿宋_GB2312" w:hAnsi="Times New Roman" w:eastAsia="仿宋_GB2312" w:cs="DengXian-Regular"/>
          <w:sz w:val="32"/>
          <w:szCs w:val="32"/>
          <w:lang w:val="en-US" w:eastAsia="zh-CN"/>
        </w:rPr>
        <w:t>0</w:t>
      </w:r>
      <w:r>
        <w:rPr>
          <w:rFonts w:hint="eastAsia" w:ascii="仿宋_GB2312" w:hAnsi="Times New Roman" w:eastAsia="仿宋_GB2312" w:cs="DengXian-Regular"/>
          <w:sz w:val="32"/>
          <w:szCs w:val="32"/>
        </w:rPr>
        <w:t>批次、</w:t>
      </w:r>
      <w:r>
        <w:rPr>
          <w:rFonts w:hint="eastAsia" w:ascii="仿宋_GB2312" w:hAnsi="Times New Roman" w:eastAsia="仿宋_GB2312" w:cs="DengXian-Regular"/>
          <w:sz w:val="32"/>
          <w:szCs w:val="32"/>
          <w:lang w:val="en-US" w:eastAsia="zh-CN"/>
        </w:rPr>
        <w:t>0</w:t>
      </w:r>
      <w:r>
        <w:rPr>
          <w:rFonts w:hint="eastAsia" w:ascii="仿宋_GB2312" w:hAnsi="Times New Roman" w:eastAsia="仿宋_GB2312" w:cs="DengXian-Regular"/>
          <w:sz w:val="32"/>
          <w:szCs w:val="32"/>
        </w:rPr>
        <w:t>人次。</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1"/>
        <w:rPr>
          <w:rFonts w:hint="default" w:ascii="Times New Roman" w:hAnsi="Times New Roman" w:eastAsia="黑体" w:cs="Times New Roman"/>
          <w:i w:val="0"/>
          <w:iCs w:val="0"/>
          <w:caps w:val="0"/>
          <w:color w:val="333333"/>
          <w:spacing w:val="0"/>
          <w:sz w:val="33"/>
          <w:szCs w:val="33"/>
          <w:highlight w:val="none"/>
          <w:shd w:val="clear" w:fill="FFFFFF"/>
          <w:lang w:eastAsia="zh-CN"/>
        </w:rPr>
      </w:pPr>
      <w:r>
        <w:rPr>
          <w:rFonts w:hint="default" w:ascii="Times New Roman" w:hAnsi="Times New Roman" w:eastAsia="黑体" w:cs="Times New Roman"/>
          <w:i w:val="0"/>
          <w:iCs w:val="0"/>
          <w:caps w:val="0"/>
          <w:color w:val="333333"/>
          <w:spacing w:val="0"/>
          <w:sz w:val="33"/>
          <w:szCs w:val="33"/>
          <w:highlight w:val="none"/>
          <w:shd w:val="clear" w:fill="FFFFFF"/>
        </w:rPr>
        <w:t>六、</w:t>
      </w:r>
      <w:r>
        <w:rPr>
          <w:rFonts w:hint="default" w:ascii="Times New Roman" w:hAnsi="Times New Roman" w:eastAsia="黑体" w:cs="Times New Roman"/>
          <w:sz w:val="32"/>
          <w:szCs w:val="32"/>
        </w:rPr>
        <w:t>机关运行经费支出说明</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仿宋_GB2312" w:cs="Times New Roman"/>
          <w:color w:val="auto"/>
          <w:kern w:val="0"/>
          <w:sz w:val="32"/>
          <w:szCs w:val="32"/>
          <w:highlight w:val="yellow"/>
          <w:lang w:val="en-US" w:eastAsia="zh-CN" w:bidi="ar-SA"/>
        </w:rPr>
      </w:pPr>
      <w:r>
        <w:rPr>
          <w:rFonts w:hint="default" w:ascii="Times New Roman" w:hAnsi="Times New Roman" w:eastAsia="仿宋_GB2312" w:cs="Times New Roman"/>
          <w:i w:val="0"/>
          <w:iCs w:val="0"/>
          <w:caps w:val="0"/>
          <w:color w:val="auto"/>
          <w:spacing w:val="0"/>
          <w:sz w:val="33"/>
          <w:szCs w:val="33"/>
          <w:highlight w:val="none"/>
          <w:shd w:val="clear" w:fill="FFFFFF"/>
        </w:rPr>
        <w:t>   </w:t>
      </w:r>
      <w:r>
        <w:rPr>
          <w:rFonts w:hint="default" w:ascii="Times New Roman" w:hAnsi="Times New Roman" w:eastAsia="仿宋_GB2312" w:cs="Times New Roman"/>
          <w:i w:val="0"/>
          <w:iCs w:val="0"/>
          <w:caps w:val="0"/>
          <w:color w:val="auto"/>
          <w:spacing w:val="0"/>
          <w:sz w:val="33"/>
          <w:szCs w:val="33"/>
          <w:highlight w:val="none"/>
          <w:shd w:val="clear" w:fill="FFFFFF"/>
          <w:lang w:val="en-US" w:eastAsia="zh-CN"/>
        </w:rPr>
        <w:t xml:space="preserve"> </w:t>
      </w:r>
      <w:r>
        <w:rPr>
          <w:rFonts w:hint="default" w:ascii="Times New Roman" w:hAnsi="Times New Roman" w:eastAsia="仿宋_GB2312" w:cs="Times New Roman"/>
          <w:i w:val="0"/>
          <w:iCs w:val="0"/>
          <w:caps w:val="0"/>
          <w:color w:val="auto"/>
          <w:spacing w:val="0"/>
          <w:sz w:val="33"/>
          <w:szCs w:val="33"/>
          <w:highlight w:val="none"/>
          <w:shd w:val="clear" w:fill="FFFFFF"/>
          <w:lang w:eastAsia="zh-CN"/>
        </w:rPr>
        <w:t xml:space="preserve"> </w:t>
      </w:r>
      <w:r>
        <w:rPr>
          <w:rFonts w:hint="default" w:ascii="Times New Roman" w:hAnsi="Times New Roman" w:eastAsia="仿宋_GB2312" w:cs="Times New Roman"/>
          <w:color w:val="auto"/>
          <w:kern w:val="2"/>
          <w:sz w:val="32"/>
          <w:szCs w:val="32"/>
          <w:lang w:val="zh-CN" w:eastAsia="zh-CN" w:bidi="ar-SA"/>
        </w:rPr>
        <w:t>本部门202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年度机关运行经费支出0万元。</w:t>
      </w:r>
    </w:p>
    <w:p>
      <w:pPr>
        <w:adjustRightInd w:val="0"/>
        <w:snapToGrid w:val="0"/>
        <w:spacing w:line="580" w:lineRule="exact"/>
        <w:ind w:firstLine="660" w:firstLineChars="200"/>
        <w:rPr>
          <w:rFonts w:hint="default" w:ascii="Times New Roman" w:hAnsi="Times New Roman" w:eastAsia="仿宋_GB2312" w:cs="Times New Roman"/>
          <w:sz w:val="32"/>
          <w:szCs w:val="32"/>
          <w:highlight w:val="yellow"/>
        </w:rPr>
      </w:pPr>
      <w:r>
        <w:rPr>
          <w:rFonts w:hint="default" w:ascii="Times New Roman" w:hAnsi="Times New Roman" w:eastAsia="黑体" w:cs="Times New Roman"/>
          <w:i w:val="0"/>
          <w:iCs w:val="0"/>
          <w:caps w:val="0"/>
          <w:color w:val="333333"/>
          <w:spacing w:val="0"/>
          <w:sz w:val="33"/>
          <w:szCs w:val="33"/>
          <w:highlight w:val="none"/>
          <w:shd w:val="clear" w:fill="FFFFFF"/>
        </w:rPr>
        <w:t>七、</w:t>
      </w:r>
      <w:r>
        <w:rPr>
          <w:rFonts w:hint="default" w:ascii="Times New Roman" w:hAnsi="Times New Roman" w:eastAsia="黑体" w:cs="Times New Roman"/>
          <w:sz w:val="32"/>
          <w:szCs w:val="32"/>
        </w:rPr>
        <w:t>政府采购支出说明</w:t>
      </w:r>
    </w:p>
    <w:p>
      <w:pPr>
        <w:snapToGrid w:val="0"/>
        <w:spacing w:line="580" w:lineRule="exact"/>
        <w:ind w:firstLine="380" w:firstLineChars="200"/>
        <w:jc w:val="left"/>
        <w:rPr>
          <w:rFonts w:hint="default" w:ascii="Times New Roman" w:hAnsi="Times New Roman" w:eastAsia="仿宋_GB2312" w:cs="Times New Roman"/>
          <w:sz w:val="32"/>
          <w:szCs w:val="32"/>
          <w:highlight w:val="yellow"/>
        </w:rPr>
      </w:pPr>
      <w:r>
        <w:rPr>
          <w:rFonts w:hint="default" w:ascii="Times New Roman" w:hAnsi="Times New Roman" w:eastAsia="Arial" w:cs="Times New Roman"/>
          <w:i w:val="0"/>
          <w:iCs w:val="0"/>
          <w:caps w:val="0"/>
          <w:color w:val="333333"/>
          <w:spacing w:val="0"/>
          <w:sz w:val="19"/>
          <w:szCs w:val="19"/>
          <w:highlight w:val="none"/>
          <w:shd w:val="clear" w:fill="FFFFFF"/>
        </w:rPr>
        <w:t> </w:t>
      </w:r>
      <w:r>
        <w:rPr>
          <w:rFonts w:hint="default" w:ascii="Times New Roman" w:hAnsi="Times New Roman" w:eastAsia="仿宋_GB2312" w:cs="Times New Roman"/>
          <w:i w:val="0"/>
          <w:iCs w:val="0"/>
          <w:caps w:val="0"/>
          <w:color w:val="333333"/>
          <w:spacing w:val="0"/>
          <w:sz w:val="33"/>
          <w:szCs w:val="33"/>
          <w:highlight w:val="none"/>
          <w:shd w:val="clear" w:fill="FFFFFF"/>
        </w:rPr>
        <w:t>   </w:t>
      </w:r>
      <w:r>
        <w:rPr>
          <w:rFonts w:hint="default" w:ascii="Times New Roman" w:hAnsi="Times New Roman" w:eastAsia="仿宋_GB2312" w:cs="Times New Roman"/>
          <w:i w:val="0"/>
          <w:iCs w:val="0"/>
          <w:caps w:val="0"/>
          <w:color w:val="333333"/>
          <w:spacing w:val="0"/>
          <w:sz w:val="33"/>
          <w:szCs w:val="33"/>
          <w:highlight w:val="none"/>
          <w:shd w:val="clear" w:fill="FFFFFF"/>
          <w:lang w:val="en-US" w:eastAsia="zh-CN"/>
        </w:rPr>
        <w:t xml:space="preserve"> </w:t>
      </w:r>
      <w:r>
        <w:rPr>
          <w:rFonts w:hint="eastAsia" w:ascii="仿宋_GB2312" w:hAnsi="Times New Roman" w:eastAsia="仿宋_GB2312" w:cs="DengXian-Regular"/>
          <w:sz w:val="32"/>
          <w:szCs w:val="32"/>
        </w:rPr>
        <w:t>本部门202</w:t>
      </w:r>
      <w:r>
        <w:rPr>
          <w:rFonts w:hint="eastAsia" w:ascii="仿宋_GB2312" w:hAnsi="Times New Roman" w:eastAsia="仿宋_GB2312" w:cs="DengXian-Regular"/>
          <w:sz w:val="32"/>
          <w:szCs w:val="32"/>
          <w:lang w:val="en-US" w:eastAsia="zh-CN"/>
        </w:rPr>
        <w:t>3</w:t>
      </w:r>
      <w:r>
        <w:rPr>
          <w:rFonts w:hint="eastAsia" w:ascii="仿宋_GB2312" w:hAnsi="Times New Roman" w:eastAsia="仿宋_GB2312" w:cs="DengXian-Regular"/>
          <w:sz w:val="32"/>
          <w:szCs w:val="32"/>
        </w:rPr>
        <w:t>年度政府采购支出总额</w:t>
      </w:r>
      <w:r>
        <w:rPr>
          <w:rFonts w:hint="eastAsia" w:ascii="仿宋_GB2312" w:hAnsi="Times New Roman" w:eastAsia="仿宋_GB2312" w:cs="DengXian-Regular"/>
          <w:sz w:val="32"/>
          <w:szCs w:val="32"/>
          <w:lang w:val="en-US" w:eastAsia="zh-CN"/>
        </w:rPr>
        <w:t>0</w:t>
      </w:r>
      <w:r>
        <w:rPr>
          <w:rFonts w:hint="eastAsia" w:ascii="仿宋_GB2312" w:hAnsi="Times New Roman" w:eastAsia="仿宋_GB2312" w:cs="DengXian-Regular"/>
          <w:sz w:val="32"/>
          <w:szCs w:val="32"/>
        </w:rPr>
        <w:t>万元，从采购类型来看，</w:t>
      </w:r>
      <w:r>
        <w:rPr>
          <w:rFonts w:ascii="仿宋_GB2312" w:hAnsi="仿宋_GB2312" w:eastAsia="仿宋_GB2312" w:cs="仿宋_GB2312"/>
          <w:color w:val="000000"/>
          <w:kern w:val="0"/>
          <w:sz w:val="32"/>
          <w:szCs w:val="32"/>
        </w:rPr>
        <w:t>政府采购货物支出</w:t>
      </w:r>
      <w:r>
        <w:rPr>
          <w:rFonts w:hint="eastAsia" w:ascii="仿宋_GB2312" w:hAnsi="仿宋_GB2312" w:eastAsia="仿宋_GB2312" w:cs="仿宋_GB2312"/>
          <w:color w:val="000000"/>
          <w:kern w:val="0"/>
          <w:sz w:val="32"/>
          <w:szCs w:val="32"/>
          <w:lang w:val="en-US" w:eastAsia="zh-CN"/>
        </w:rPr>
        <w:t>0</w:t>
      </w:r>
      <w:r>
        <w:rPr>
          <w:rFonts w:ascii="仿宋_GB2312" w:hAnsi="仿宋_GB2312" w:eastAsia="仿宋_GB2312" w:cs="仿宋_GB2312"/>
          <w:color w:val="000000"/>
          <w:kern w:val="0"/>
          <w:sz w:val="32"/>
          <w:szCs w:val="32"/>
        </w:rPr>
        <w:t>万元、政府采购工程支出</w:t>
      </w:r>
      <w:r>
        <w:rPr>
          <w:rFonts w:hint="eastAsia" w:ascii="仿宋_GB2312" w:hAnsi="仿宋_GB2312" w:eastAsia="仿宋_GB2312" w:cs="仿宋_GB2312"/>
          <w:color w:val="000000"/>
          <w:kern w:val="0"/>
          <w:sz w:val="32"/>
          <w:szCs w:val="32"/>
          <w:lang w:val="en-US" w:eastAsia="zh-CN"/>
        </w:rPr>
        <w:t>0</w:t>
      </w:r>
      <w:r>
        <w:rPr>
          <w:rFonts w:ascii="仿宋_GB2312" w:hAnsi="仿宋_GB2312" w:eastAsia="仿宋_GB2312" w:cs="仿宋_GB2312"/>
          <w:color w:val="000000"/>
          <w:kern w:val="0"/>
          <w:sz w:val="32"/>
          <w:szCs w:val="32"/>
        </w:rPr>
        <w:t>万元、政府采购服务支出</w:t>
      </w:r>
      <w:r>
        <w:rPr>
          <w:rFonts w:hint="eastAsia" w:ascii="仿宋_GB2312" w:hAnsi="仿宋_GB2312" w:eastAsia="仿宋_GB2312" w:cs="仿宋_GB2312"/>
          <w:color w:val="000000"/>
          <w:kern w:val="0"/>
          <w:sz w:val="32"/>
          <w:szCs w:val="32"/>
          <w:lang w:val="en-US" w:eastAsia="zh-CN"/>
        </w:rPr>
        <w:t>0</w:t>
      </w:r>
      <w:r>
        <w:rPr>
          <w:rFonts w:ascii="仿宋_GB2312" w:hAnsi="仿宋_GB2312" w:eastAsia="仿宋_GB2312" w:cs="仿宋_GB2312"/>
          <w:color w:val="000000"/>
          <w:kern w:val="0"/>
          <w:sz w:val="32"/>
          <w:szCs w:val="32"/>
        </w:rPr>
        <w:t>万元。授予中小企业合同金</w:t>
      </w:r>
      <w:r>
        <w:rPr>
          <w:rFonts w:hint="eastAsia" w:ascii="仿宋_GB2312" w:hAnsi="仿宋_GB2312" w:eastAsia="仿宋_GB2312" w:cs="仿宋_GB2312"/>
          <w:color w:val="000000"/>
          <w:kern w:val="0"/>
          <w:sz w:val="32"/>
          <w:szCs w:val="32"/>
          <w:lang w:val="en-US" w:eastAsia="zh-CN"/>
        </w:rPr>
        <w:t>0</w:t>
      </w:r>
      <w:r>
        <w:rPr>
          <w:rFonts w:ascii="仿宋_GB2312" w:hAnsi="仿宋_GB2312" w:eastAsia="仿宋_GB2312" w:cs="仿宋_GB2312"/>
          <w:color w:val="000000"/>
          <w:kern w:val="0"/>
          <w:sz w:val="32"/>
          <w:szCs w:val="32"/>
        </w:rPr>
        <w:t>万元，占政府采购支出总额的</w:t>
      </w:r>
      <w:r>
        <w:rPr>
          <w:rFonts w:hint="eastAsia" w:ascii="仿宋_GB2312" w:hAnsi="仿宋_GB2312" w:eastAsia="仿宋_GB2312" w:cs="仿宋_GB2312"/>
          <w:color w:val="000000"/>
          <w:kern w:val="0"/>
          <w:sz w:val="32"/>
          <w:szCs w:val="32"/>
          <w:lang w:val="en-US" w:eastAsia="zh-CN"/>
        </w:rPr>
        <w:t>0.0%</w:t>
      </w:r>
      <w:r>
        <w:rPr>
          <w:rFonts w:hint="eastAsia" w:ascii="仿宋_GB2312" w:hAnsi="仿宋_GB2312" w:eastAsia="仿宋_GB2312" w:cs="仿宋_GB2312"/>
          <w:color w:val="000000"/>
          <w:kern w:val="0"/>
          <w:sz w:val="32"/>
          <w:szCs w:val="32"/>
        </w:rPr>
        <w:t>，</w:t>
      </w:r>
      <w:r>
        <w:rPr>
          <w:rFonts w:ascii="仿宋_GB2312" w:hAnsi="仿宋_GB2312" w:eastAsia="仿宋_GB2312" w:cs="仿宋_GB2312"/>
          <w:color w:val="000000"/>
          <w:kern w:val="0"/>
          <w:sz w:val="32"/>
          <w:szCs w:val="32"/>
        </w:rPr>
        <w:t>其中授予小微企业合同金额</w:t>
      </w:r>
      <w:r>
        <w:rPr>
          <w:rFonts w:hint="eastAsia" w:ascii="仿宋_GB2312" w:hAnsi="仿宋_GB2312" w:eastAsia="仿宋_GB2312" w:cs="仿宋_GB2312"/>
          <w:color w:val="000000"/>
          <w:kern w:val="0"/>
          <w:sz w:val="32"/>
          <w:szCs w:val="32"/>
          <w:lang w:val="en-US" w:eastAsia="zh-CN"/>
        </w:rPr>
        <w:t>0</w:t>
      </w:r>
      <w:r>
        <w:rPr>
          <w:rFonts w:ascii="仿宋_GB2312" w:hAnsi="仿宋_GB2312" w:eastAsia="仿宋_GB2312" w:cs="仿宋_GB2312"/>
          <w:color w:val="000000"/>
          <w:kern w:val="0"/>
          <w:sz w:val="32"/>
          <w:szCs w:val="32"/>
        </w:rPr>
        <w:t>万元，占政府采购支出总额的</w:t>
      </w:r>
      <w:r>
        <w:rPr>
          <w:rFonts w:hint="eastAsia" w:ascii="仿宋_GB2312" w:hAnsi="仿宋_GB2312" w:eastAsia="仿宋_GB2312" w:cs="仿宋_GB2312"/>
          <w:color w:val="000000"/>
          <w:kern w:val="0"/>
          <w:sz w:val="32"/>
          <w:szCs w:val="32"/>
          <w:lang w:val="en-US" w:eastAsia="zh-CN"/>
        </w:rPr>
        <w:t>0.0%</w:t>
      </w:r>
      <w:r>
        <w:rPr>
          <w:rFonts w:ascii="仿宋_GB2312" w:hAnsi="仿宋_GB2312" w:eastAsia="仿宋_GB2312" w:cs="仿宋_GB2312"/>
          <w:color w:val="000000"/>
          <w:kern w:val="0"/>
          <w:sz w:val="32"/>
          <w:szCs w:val="32"/>
        </w:rPr>
        <w:t>。</w:t>
      </w:r>
    </w:p>
    <w:p>
      <w:pPr>
        <w:snapToGrid w:val="0"/>
        <w:spacing w:line="580" w:lineRule="exact"/>
        <w:ind w:firstLine="660" w:firstLineChars="200"/>
        <w:jc w:val="left"/>
        <w:rPr>
          <w:rFonts w:hint="default" w:ascii="Times New Roman" w:hAnsi="Times New Roman" w:eastAsia="仿宋_GB2312" w:cs="Times New Roman"/>
          <w:sz w:val="32"/>
          <w:szCs w:val="32"/>
          <w:highlight w:val="yellow"/>
        </w:rPr>
      </w:pPr>
      <w:r>
        <w:rPr>
          <w:rFonts w:hint="default" w:ascii="Times New Roman" w:hAnsi="Times New Roman" w:eastAsia="黑体" w:cs="Times New Roman"/>
          <w:i w:val="0"/>
          <w:iCs w:val="0"/>
          <w:caps w:val="0"/>
          <w:color w:val="333333"/>
          <w:spacing w:val="0"/>
          <w:sz w:val="33"/>
          <w:szCs w:val="33"/>
          <w:highlight w:val="none"/>
          <w:shd w:val="clear" w:fill="FFFFFF"/>
        </w:rPr>
        <w:t>八、</w:t>
      </w:r>
      <w:r>
        <w:rPr>
          <w:rFonts w:hint="default" w:ascii="Times New Roman" w:hAnsi="Times New Roman" w:eastAsia="黑体" w:cs="Times New Roman"/>
          <w:sz w:val="32"/>
          <w:szCs w:val="32"/>
        </w:rPr>
        <w:t>国有资产占用情况说明</w:t>
      </w:r>
    </w:p>
    <w:p>
      <w:pPr>
        <w:adjustRightInd w:val="0"/>
        <w:snapToGrid w:val="0"/>
        <w:spacing w:line="580" w:lineRule="exact"/>
        <w:ind w:firstLine="640" w:firstLineChars="200"/>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color w:val="auto"/>
          <w:kern w:val="2"/>
          <w:sz w:val="32"/>
          <w:szCs w:val="32"/>
          <w:lang w:val="zh-CN" w:eastAsia="zh-CN" w:bidi="ar-SA"/>
        </w:rPr>
        <w:t>截至202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年12月31日，</w:t>
      </w:r>
      <w:r>
        <w:rPr>
          <w:rFonts w:hint="eastAsia" w:ascii="仿宋_GB2312" w:hAnsi="Times New Roman" w:eastAsia="仿宋_GB2312" w:cs="DengXian-Regular"/>
          <w:sz w:val="32"/>
          <w:szCs w:val="32"/>
        </w:rPr>
        <w:t>本部门共有车辆</w:t>
      </w:r>
      <w:r>
        <w:rPr>
          <w:rFonts w:hint="eastAsia" w:ascii="仿宋_GB2312" w:hAnsi="Times New Roman" w:eastAsia="仿宋_GB2312" w:cs="DengXian-Regular"/>
          <w:sz w:val="32"/>
          <w:szCs w:val="32"/>
          <w:lang w:val="en-US" w:eastAsia="zh-CN"/>
        </w:rPr>
        <w:t>0</w:t>
      </w:r>
      <w:r>
        <w:rPr>
          <w:rFonts w:hint="eastAsia" w:ascii="仿宋_GB2312" w:hAnsi="Times New Roman" w:eastAsia="仿宋_GB2312" w:cs="DengXian-Regular"/>
          <w:sz w:val="32"/>
          <w:szCs w:val="32"/>
        </w:rPr>
        <w:t>辆，比上年增加</w:t>
      </w:r>
      <w:r>
        <w:rPr>
          <w:rFonts w:hint="eastAsia" w:ascii="仿宋_GB2312" w:hAnsi="Times New Roman" w:eastAsia="仿宋_GB2312" w:cs="DengXian-Regular"/>
          <w:sz w:val="32"/>
          <w:szCs w:val="32"/>
          <w:lang w:val="en-US" w:eastAsia="zh-CN"/>
        </w:rPr>
        <w:t>0</w:t>
      </w:r>
      <w:r>
        <w:rPr>
          <w:rFonts w:hint="eastAsia" w:ascii="仿宋_GB2312" w:hAnsi="Times New Roman" w:eastAsia="仿宋_GB2312" w:cs="DengXian-Regular"/>
          <w:sz w:val="32"/>
          <w:szCs w:val="32"/>
        </w:rPr>
        <w:t>辆，主要是</w:t>
      </w:r>
      <w:r>
        <w:rPr>
          <w:rFonts w:hint="eastAsia" w:ascii="仿宋_GB2312" w:hAnsi="Times New Roman" w:eastAsia="仿宋_GB2312" w:cs="DengXian-Regular"/>
          <w:sz w:val="32"/>
          <w:szCs w:val="32"/>
          <w:highlight w:val="none"/>
          <w:lang w:val="en-US" w:eastAsia="zh-CN"/>
        </w:rPr>
        <w:t>本部门固定资产在消防固定资产系统中录入</w:t>
      </w:r>
      <w:r>
        <w:rPr>
          <w:rFonts w:hint="eastAsia" w:ascii="仿宋_GB2312" w:hAnsi="Times New Roman" w:eastAsia="仿宋_GB2312" w:cs="DengXian-Regular"/>
          <w:sz w:val="32"/>
          <w:szCs w:val="32"/>
        </w:rPr>
        <w:t>。其中，副部（省）级及以上领导用车</w:t>
      </w:r>
      <w:r>
        <w:rPr>
          <w:rFonts w:hint="eastAsia" w:ascii="仿宋_GB2312" w:hAnsi="Times New Roman" w:eastAsia="仿宋_GB2312" w:cs="DengXian-Regular"/>
          <w:sz w:val="32"/>
          <w:szCs w:val="32"/>
          <w:lang w:val="en-US" w:eastAsia="zh-CN"/>
        </w:rPr>
        <w:t>0</w:t>
      </w:r>
      <w:r>
        <w:rPr>
          <w:rFonts w:hint="eastAsia" w:ascii="仿宋_GB2312" w:hAnsi="Times New Roman" w:eastAsia="仿宋_GB2312" w:cs="DengXian-Regular"/>
          <w:sz w:val="32"/>
          <w:szCs w:val="32"/>
        </w:rPr>
        <w:t>辆，主要领导干部用车</w:t>
      </w:r>
      <w:r>
        <w:rPr>
          <w:rFonts w:hint="eastAsia" w:ascii="仿宋_GB2312" w:hAnsi="Times New Roman" w:eastAsia="仿宋_GB2312" w:cs="DengXian-Regular"/>
          <w:sz w:val="32"/>
          <w:szCs w:val="32"/>
          <w:lang w:val="en-US" w:eastAsia="zh-CN"/>
        </w:rPr>
        <w:t>0</w:t>
      </w:r>
      <w:r>
        <w:rPr>
          <w:rFonts w:hint="eastAsia" w:ascii="仿宋_GB2312" w:hAnsi="Times New Roman" w:eastAsia="仿宋_GB2312" w:cs="DengXian-Regular"/>
          <w:sz w:val="32"/>
          <w:szCs w:val="32"/>
        </w:rPr>
        <w:t>辆，机要通信用车</w:t>
      </w:r>
      <w:r>
        <w:rPr>
          <w:rFonts w:hint="eastAsia" w:ascii="仿宋_GB2312" w:hAnsi="Times New Roman" w:eastAsia="仿宋_GB2312" w:cs="DengXian-Regular"/>
          <w:sz w:val="32"/>
          <w:szCs w:val="32"/>
          <w:lang w:val="en-US" w:eastAsia="zh-CN"/>
        </w:rPr>
        <w:t>0</w:t>
      </w:r>
      <w:r>
        <w:rPr>
          <w:rFonts w:hint="eastAsia" w:ascii="仿宋_GB2312" w:hAnsi="Times New Roman" w:eastAsia="仿宋_GB2312" w:cs="DengXian-Regular"/>
          <w:sz w:val="32"/>
          <w:szCs w:val="32"/>
        </w:rPr>
        <w:t>辆，应急保障用车</w:t>
      </w:r>
      <w:r>
        <w:rPr>
          <w:rFonts w:hint="eastAsia" w:ascii="仿宋_GB2312" w:hAnsi="Times New Roman" w:eastAsia="仿宋_GB2312" w:cs="DengXian-Regular"/>
          <w:sz w:val="32"/>
          <w:szCs w:val="32"/>
          <w:lang w:val="en-US" w:eastAsia="zh-CN"/>
        </w:rPr>
        <w:t>0</w:t>
      </w:r>
      <w:r>
        <w:rPr>
          <w:rFonts w:hint="eastAsia" w:ascii="仿宋_GB2312" w:hAnsi="Times New Roman" w:eastAsia="仿宋_GB2312" w:cs="DengXian-Regular"/>
          <w:sz w:val="32"/>
          <w:szCs w:val="32"/>
        </w:rPr>
        <w:t>辆，执法执勤用车</w:t>
      </w:r>
      <w:r>
        <w:rPr>
          <w:rFonts w:hint="eastAsia" w:ascii="仿宋_GB2312" w:hAnsi="Times New Roman" w:eastAsia="仿宋_GB2312" w:cs="DengXian-Regular"/>
          <w:sz w:val="32"/>
          <w:szCs w:val="32"/>
          <w:lang w:val="en-US" w:eastAsia="zh-CN"/>
        </w:rPr>
        <w:t>0</w:t>
      </w:r>
      <w:r>
        <w:rPr>
          <w:rFonts w:hint="eastAsia" w:ascii="仿宋_GB2312" w:hAnsi="Times New Roman" w:eastAsia="仿宋_GB2312" w:cs="DengXian-Regular"/>
          <w:sz w:val="32"/>
          <w:szCs w:val="32"/>
        </w:rPr>
        <w:t>辆，特种专业技术用车</w:t>
      </w:r>
      <w:r>
        <w:rPr>
          <w:rFonts w:hint="eastAsia" w:ascii="仿宋_GB2312" w:hAnsi="Times New Roman" w:eastAsia="仿宋_GB2312" w:cs="DengXian-Regular"/>
          <w:sz w:val="32"/>
          <w:szCs w:val="32"/>
          <w:lang w:val="en-US" w:eastAsia="zh-CN"/>
        </w:rPr>
        <w:t>0</w:t>
      </w:r>
      <w:r>
        <w:rPr>
          <w:rFonts w:hint="eastAsia" w:ascii="仿宋_GB2312" w:hAnsi="Times New Roman" w:eastAsia="仿宋_GB2312" w:cs="DengXian-Regular"/>
          <w:sz w:val="32"/>
          <w:szCs w:val="32"/>
        </w:rPr>
        <w:t>辆，离退休干部用车</w:t>
      </w:r>
      <w:r>
        <w:rPr>
          <w:rFonts w:hint="eastAsia" w:ascii="仿宋_GB2312" w:hAnsi="Times New Roman" w:eastAsia="仿宋_GB2312" w:cs="DengXian-Regular"/>
          <w:sz w:val="32"/>
          <w:szCs w:val="32"/>
          <w:lang w:val="en-US" w:eastAsia="zh-CN"/>
        </w:rPr>
        <w:t>0</w:t>
      </w:r>
      <w:r>
        <w:rPr>
          <w:rFonts w:hint="eastAsia" w:ascii="仿宋_GB2312" w:hAnsi="Times New Roman" w:eastAsia="仿宋_GB2312" w:cs="DengXian-Regular"/>
          <w:sz w:val="32"/>
          <w:szCs w:val="32"/>
        </w:rPr>
        <w:t>辆，其他用车</w:t>
      </w:r>
      <w:r>
        <w:rPr>
          <w:rFonts w:hint="eastAsia" w:ascii="仿宋_GB2312" w:hAnsi="Times New Roman" w:eastAsia="仿宋_GB2312" w:cs="DengXian-Regular"/>
          <w:sz w:val="32"/>
          <w:szCs w:val="32"/>
          <w:lang w:val="en-US" w:eastAsia="zh-CN"/>
        </w:rPr>
        <w:t>0</w:t>
      </w:r>
      <w:r>
        <w:rPr>
          <w:rFonts w:hint="eastAsia" w:ascii="仿宋_GB2312" w:hAnsi="Times New Roman" w:eastAsia="仿宋_GB2312" w:cs="DengXian-Regular"/>
          <w:sz w:val="32"/>
          <w:szCs w:val="32"/>
        </w:rPr>
        <w:t>辆，其他用车主要是</w:t>
      </w:r>
      <w:r>
        <w:rPr>
          <w:rFonts w:hint="eastAsia" w:ascii="仿宋_GB2312" w:hAnsi="Times New Roman" w:eastAsia="仿宋_GB2312" w:cs="DengXian-Regular"/>
          <w:sz w:val="32"/>
          <w:szCs w:val="32"/>
          <w:highlight w:val="none"/>
          <w:lang w:val="en-US" w:eastAsia="zh-CN"/>
        </w:rPr>
        <w:t>本部门固定资产在消防固定资产系统中录入</w:t>
      </w:r>
      <w:r>
        <w:rPr>
          <w:rFonts w:hint="eastAsia" w:ascii="仿宋_GB2312" w:hAnsi="Times New Roman" w:eastAsia="仿宋_GB2312" w:cs="DengXian-Regular"/>
          <w:sz w:val="32"/>
          <w:szCs w:val="32"/>
        </w:rPr>
        <w:t>；单位价值100万元以上设备（不含车辆）</w:t>
      </w:r>
      <w:r>
        <w:rPr>
          <w:rFonts w:hint="eastAsia" w:ascii="仿宋_GB2312" w:hAnsi="Times New Roman" w:eastAsia="仿宋_GB2312" w:cs="DengXian-Regular"/>
          <w:sz w:val="32"/>
          <w:szCs w:val="32"/>
          <w:lang w:val="en-US" w:eastAsia="zh-CN"/>
        </w:rPr>
        <w:t>0</w:t>
      </w:r>
      <w:r>
        <w:rPr>
          <w:rFonts w:hint="eastAsia" w:ascii="仿宋_GB2312" w:hAnsi="Times New Roman" w:eastAsia="仿宋_GB2312" w:cs="DengXian-Regular"/>
          <w:sz w:val="32"/>
          <w:szCs w:val="32"/>
        </w:rPr>
        <w:t>台（套）。</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40" w:firstLineChars="200"/>
        <w:jc w:val="both"/>
        <w:outlineLvl w:val="1"/>
        <w:rPr>
          <w:rFonts w:hint="default" w:ascii="Times New Roman" w:hAnsi="Times New Roman" w:eastAsia="黑体" w:cs="Times New Roman"/>
          <w:kern w:val="2"/>
          <w:sz w:val="32"/>
          <w:szCs w:val="40"/>
          <w:lang w:val="en-US" w:eastAsia="zh-CN" w:bidi="ar-SA"/>
        </w:rPr>
      </w:pPr>
      <w:r>
        <w:rPr>
          <w:rFonts w:hint="default" w:ascii="Times New Roman" w:hAnsi="Times New Roman" w:eastAsia="黑体" w:cs="Times New Roman"/>
          <w:kern w:val="2"/>
          <w:sz w:val="32"/>
          <w:szCs w:val="40"/>
          <w:lang w:val="en-US" w:eastAsia="zh-CN" w:bidi="ar-SA"/>
        </w:rPr>
        <w:t>九、预算绩效情况说明</w:t>
      </w:r>
    </w:p>
    <w:p>
      <w:pPr>
        <w:adjustRightInd w:val="0"/>
        <w:snapToGrid w:val="0"/>
        <w:spacing w:line="580" w:lineRule="exact"/>
        <w:ind w:firstLine="643" w:firstLineChars="200"/>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（一）预算绩效管理工作开展情况</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40" w:firstLineChars="200"/>
        <w:jc w:val="left"/>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color w:val="auto"/>
          <w:kern w:val="2"/>
          <w:sz w:val="32"/>
          <w:szCs w:val="32"/>
          <w:lang w:val="zh-CN" w:eastAsia="zh-CN" w:bidi="ar-SA"/>
        </w:rPr>
        <w:t>根据预算绩效管理要求，本部门组织对2023年度一般公共预算项目支出全面开展绩效自评，其中，一级项目</w:t>
      </w:r>
      <w:r>
        <w:rPr>
          <w:rFonts w:hint="eastAsia" w:ascii="Times New Roman" w:hAnsi="Times New Roman" w:eastAsia="仿宋_GB2312" w:cs="Times New Roman"/>
          <w:color w:val="auto"/>
          <w:kern w:val="2"/>
          <w:sz w:val="32"/>
          <w:szCs w:val="32"/>
          <w:lang w:val="en-US" w:eastAsia="zh-CN" w:bidi="ar-SA"/>
        </w:rPr>
        <w:t>8</w:t>
      </w:r>
      <w:r>
        <w:rPr>
          <w:rFonts w:hint="default" w:ascii="Times New Roman" w:hAnsi="Times New Roman" w:eastAsia="仿宋_GB2312" w:cs="Times New Roman"/>
          <w:color w:val="auto"/>
          <w:kern w:val="2"/>
          <w:sz w:val="32"/>
          <w:szCs w:val="32"/>
          <w:lang w:val="zh-CN" w:eastAsia="zh-CN" w:bidi="ar-SA"/>
        </w:rPr>
        <w:t>个，二级项目</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zh-CN" w:eastAsia="zh-CN" w:bidi="ar-SA"/>
        </w:rPr>
        <w:t>个，共涉及资金</w:t>
      </w:r>
      <w:r>
        <w:rPr>
          <w:rFonts w:hint="eastAsia" w:ascii="Times New Roman" w:hAnsi="Times New Roman" w:eastAsia="仿宋_GB2312" w:cs="Times New Roman"/>
          <w:color w:val="auto"/>
          <w:kern w:val="2"/>
          <w:sz w:val="32"/>
          <w:szCs w:val="32"/>
          <w:lang w:val="en-US" w:eastAsia="zh-CN" w:bidi="ar-SA"/>
        </w:rPr>
        <w:t>1259.99</w:t>
      </w:r>
      <w:r>
        <w:rPr>
          <w:rFonts w:hint="default" w:ascii="Times New Roman" w:hAnsi="Times New Roman" w:eastAsia="仿宋_GB2312" w:cs="Times New Roman"/>
          <w:color w:val="auto"/>
          <w:kern w:val="2"/>
          <w:sz w:val="32"/>
          <w:szCs w:val="32"/>
          <w:lang w:val="zh-CN" w:eastAsia="zh-CN" w:bidi="ar-SA"/>
        </w:rPr>
        <w:t>万元，占一般公共预算项目支出总额的</w:t>
      </w:r>
      <w:r>
        <w:rPr>
          <w:rFonts w:hint="eastAsia" w:ascii="Times New Roman" w:hAnsi="Times New Roman" w:eastAsia="仿宋_GB2312" w:cs="Times New Roman"/>
          <w:color w:val="auto"/>
          <w:kern w:val="2"/>
          <w:sz w:val="32"/>
          <w:szCs w:val="32"/>
          <w:lang w:val="en-US" w:eastAsia="zh-CN" w:bidi="ar-SA"/>
        </w:rPr>
        <w:t>100.0%</w:t>
      </w:r>
      <w:r>
        <w:rPr>
          <w:rFonts w:hint="default" w:ascii="Times New Roman" w:hAnsi="Times New Roman" w:eastAsia="仿宋_GB2312" w:cs="Times New Roman"/>
          <w:color w:val="auto"/>
          <w:kern w:val="2"/>
          <w:sz w:val="32"/>
          <w:szCs w:val="32"/>
          <w:lang w:val="zh-CN" w:eastAsia="zh-CN" w:bidi="ar-SA"/>
        </w:rPr>
        <w:t>。</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40" w:firstLineChars="200"/>
        <w:jc w:val="left"/>
        <w:rPr>
          <w:rFonts w:hint="default" w:ascii="Times New Roman" w:hAnsi="Times New Roman" w:eastAsia="Arial" w:cs="Times New Roman"/>
          <w:highlight w:val="none"/>
        </w:rPr>
      </w:pPr>
      <w:r>
        <w:rPr>
          <w:rFonts w:hint="default" w:ascii="Times New Roman" w:hAnsi="Times New Roman" w:eastAsia="仿宋_GB2312" w:cs="Times New Roman"/>
          <w:color w:val="auto"/>
          <w:kern w:val="2"/>
          <w:sz w:val="32"/>
          <w:szCs w:val="32"/>
          <w:lang w:val="zh-CN" w:eastAsia="zh-CN" w:bidi="ar-SA"/>
        </w:rPr>
        <w:t>组织对“</w:t>
      </w:r>
      <w:r>
        <w:rPr>
          <w:rFonts w:hint="eastAsia" w:ascii="仿宋" w:hAnsi="仿宋" w:eastAsia="仿宋"/>
          <w:sz w:val="32"/>
          <w:szCs w:val="32"/>
        </w:rPr>
        <w:t>消防救援大队</w:t>
      </w:r>
      <w:r>
        <w:rPr>
          <w:rFonts w:ascii="仿宋" w:hAnsi="仿宋" w:eastAsia="仿宋"/>
          <w:sz w:val="32"/>
          <w:szCs w:val="32"/>
        </w:rPr>
        <w:t>2022年度考核奖</w:t>
      </w:r>
      <w:r>
        <w:rPr>
          <w:rFonts w:hint="default" w:ascii="Times New Roman" w:hAnsi="Times New Roman" w:eastAsia="仿宋_GB2312" w:cs="Times New Roman"/>
          <w:color w:val="auto"/>
          <w:kern w:val="2"/>
          <w:sz w:val="32"/>
          <w:szCs w:val="32"/>
          <w:lang w:val="zh-CN" w:eastAsia="zh-CN" w:bidi="ar-SA"/>
        </w:rPr>
        <w:t>”“</w:t>
      </w:r>
      <w:r>
        <w:rPr>
          <w:rFonts w:hint="eastAsia" w:ascii="仿宋" w:hAnsi="仿宋" w:eastAsia="仿宋"/>
          <w:sz w:val="32"/>
          <w:szCs w:val="32"/>
        </w:rPr>
        <w:t>政府专职消防队员被装保障经费</w:t>
      </w:r>
      <w:r>
        <w:rPr>
          <w:rFonts w:hint="default" w:ascii="Times New Roman" w:hAnsi="Times New Roman" w:eastAsia="仿宋_GB2312" w:cs="Times New Roman"/>
          <w:color w:val="auto"/>
          <w:kern w:val="2"/>
          <w:sz w:val="32"/>
          <w:szCs w:val="32"/>
          <w:lang w:val="zh-CN" w:eastAsia="zh-CN" w:bidi="ar-SA"/>
        </w:rPr>
        <w:t>”等</w:t>
      </w:r>
      <w:r>
        <w:rPr>
          <w:rFonts w:hint="eastAsia" w:ascii="Times New Roman" w:hAnsi="Times New Roman" w:eastAsia="仿宋_GB2312" w:cs="Times New Roman"/>
          <w:color w:val="auto"/>
          <w:kern w:val="2"/>
          <w:sz w:val="32"/>
          <w:szCs w:val="32"/>
          <w:lang w:val="en-US" w:eastAsia="zh-CN" w:bidi="ar-SA"/>
        </w:rPr>
        <w:t>8</w:t>
      </w:r>
      <w:r>
        <w:rPr>
          <w:rFonts w:hint="default" w:ascii="Times New Roman" w:hAnsi="Times New Roman" w:eastAsia="仿宋_GB2312" w:cs="Times New Roman"/>
          <w:color w:val="auto"/>
          <w:kern w:val="2"/>
          <w:sz w:val="32"/>
          <w:szCs w:val="32"/>
          <w:lang w:val="zh-CN" w:eastAsia="zh-CN" w:bidi="ar-SA"/>
        </w:rPr>
        <w:t>个项目开展了部门评价，涉及一般公共预算支出</w:t>
      </w:r>
      <w:r>
        <w:rPr>
          <w:rFonts w:hint="eastAsia" w:ascii="Times New Roman" w:hAnsi="Times New Roman" w:eastAsia="仿宋_GB2312" w:cs="Times New Roman"/>
          <w:color w:val="auto"/>
          <w:kern w:val="2"/>
          <w:sz w:val="32"/>
          <w:szCs w:val="32"/>
          <w:lang w:val="en-US" w:eastAsia="zh-CN" w:bidi="ar-SA"/>
        </w:rPr>
        <w:t>1259.99</w:t>
      </w:r>
      <w:r>
        <w:rPr>
          <w:rFonts w:hint="default" w:ascii="Times New Roman" w:hAnsi="Times New Roman" w:eastAsia="仿宋_GB2312" w:cs="Times New Roman"/>
          <w:color w:val="auto"/>
          <w:kern w:val="2"/>
          <w:sz w:val="32"/>
          <w:szCs w:val="32"/>
          <w:lang w:val="zh-CN" w:eastAsia="zh-CN" w:bidi="ar-SA"/>
        </w:rPr>
        <w:t>万元，政府性基金预算支出</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zh-CN" w:eastAsia="zh-CN" w:bidi="ar-SA"/>
        </w:rPr>
        <w:t>万元，国有资本经营预算支出</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zh-CN" w:eastAsia="zh-CN" w:bidi="ar-SA"/>
        </w:rPr>
        <w:t>万元。从评价情况来看</w:t>
      </w:r>
      <w:r>
        <w:rPr>
          <w:rFonts w:hint="eastAsia" w:ascii="Times New Roman" w:hAnsi="Times New Roman" w:eastAsia="仿宋_GB2312" w:cs="Times New Roman"/>
          <w:color w:val="auto"/>
          <w:kern w:val="2"/>
          <w:sz w:val="32"/>
          <w:szCs w:val="32"/>
          <w:lang w:val="zh-CN" w:eastAsia="zh-CN" w:bidi="ar-SA"/>
        </w:rPr>
        <w:t>，</w:t>
      </w:r>
      <w:r>
        <w:rPr>
          <w:rFonts w:hint="default" w:ascii="Times New Roman" w:hAnsi="Times New Roman" w:eastAsia="仿宋_GB2312" w:cs="Times New Roman"/>
          <w:color w:val="auto"/>
          <w:kern w:val="2"/>
          <w:sz w:val="32"/>
          <w:szCs w:val="32"/>
          <w:lang w:val="zh-CN" w:eastAsia="zh-CN" w:bidi="ar-SA"/>
        </w:rPr>
        <w:t>通过202</w:t>
      </w:r>
      <w:r>
        <w:rPr>
          <w:rFonts w:hint="eastAsia"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年度项目绩效自评结果与年初绩效目标设定对比，202</w:t>
      </w:r>
      <w:r>
        <w:rPr>
          <w:rFonts w:hint="eastAsia"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 xml:space="preserve"> 年初绩效目标设定质量达标，各个项目总体绩效目标设定清晰准确，绩效指标全面完整、科学合理，绩效标准恰当适宜、易于评价。</w:t>
      </w:r>
    </w:p>
    <w:p>
      <w:pPr>
        <w:adjustRightInd w:val="0"/>
        <w:snapToGrid w:val="0"/>
        <w:spacing w:line="580" w:lineRule="exact"/>
        <w:ind w:firstLine="643" w:firstLineChars="200"/>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（二）部门决算中项目绩效自评结果</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firstLine="660" w:firstLineChars="200"/>
        <w:jc w:val="left"/>
        <w:textAlignment w:val="auto"/>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i w:val="0"/>
          <w:iCs w:val="0"/>
          <w:caps w:val="0"/>
          <w:color w:val="333333"/>
          <w:spacing w:val="0"/>
          <w:sz w:val="33"/>
          <w:szCs w:val="33"/>
          <w:highlight w:val="none"/>
          <w:shd w:val="clear" w:fill="FFFFFF"/>
        </w:rPr>
        <w:t> </w:t>
      </w:r>
      <w:r>
        <w:rPr>
          <w:rFonts w:hint="default" w:ascii="Times New Roman" w:hAnsi="Times New Roman" w:eastAsia="仿宋_GB2312" w:cs="Times New Roman"/>
          <w:color w:val="auto"/>
          <w:kern w:val="2"/>
          <w:sz w:val="32"/>
          <w:szCs w:val="32"/>
          <w:lang w:val="zh-CN" w:eastAsia="zh-CN" w:bidi="ar-SA"/>
        </w:rPr>
        <w:t>本部门在今年部门决算公开中反映</w:t>
      </w:r>
      <w:r>
        <w:rPr>
          <w:rFonts w:hint="eastAsia" w:ascii="仿宋" w:hAnsi="仿宋" w:eastAsia="仿宋"/>
          <w:sz w:val="32"/>
          <w:szCs w:val="32"/>
        </w:rPr>
        <w:t>政府专职消防队员保障经费</w:t>
      </w:r>
      <w:r>
        <w:rPr>
          <w:rFonts w:hint="default" w:ascii="Times New Roman" w:hAnsi="Times New Roman" w:eastAsia="仿宋_GB2312" w:cs="Times New Roman"/>
          <w:color w:val="auto"/>
          <w:kern w:val="2"/>
          <w:sz w:val="32"/>
          <w:szCs w:val="32"/>
          <w:lang w:val="zh-CN" w:eastAsia="zh-CN" w:bidi="ar-SA"/>
        </w:rPr>
        <w:t>项目绩效自评结果。</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firstLine="480" w:firstLineChars="200"/>
        <w:jc w:val="left"/>
        <w:textAlignment w:val="auto"/>
        <w:rPr>
          <w:rFonts w:hint="default" w:ascii="Times New Roman" w:hAnsi="Times New Roman" w:eastAsia="仿宋_GB2312" w:cs="Times New Roman"/>
          <w:b/>
          <w:bCs/>
          <w:sz w:val="32"/>
          <w:szCs w:val="32"/>
        </w:rPr>
      </w:pPr>
      <w:r>
        <w:drawing>
          <wp:anchor distT="0" distB="0" distL="114300" distR="114300" simplePos="0" relativeHeight="251667456" behindDoc="0" locked="0" layoutInCell="1" allowOverlap="1">
            <wp:simplePos x="0" y="0"/>
            <wp:positionH relativeFrom="column">
              <wp:posOffset>34925</wp:posOffset>
            </wp:positionH>
            <wp:positionV relativeFrom="paragraph">
              <wp:posOffset>3442970</wp:posOffset>
            </wp:positionV>
            <wp:extent cx="5264785" cy="3299460"/>
            <wp:effectExtent l="0" t="0" r="12065" b="15240"/>
            <wp:wrapSquare wrapText="bothSides"/>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18"/>
                    <a:stretch>
                      <a:fillRect/>
                    </a:stretch>
                  </pic:blipFill>
                  <pic:spPr>
                    <a:xfrm>
                      <a:off x="0" y="0"/>
                      <a:ext cx="5264785" cy="3299460"/>
                    </a:xfrm>
                    <a:prstGeom prst="rect">
                      <a:avLst/>
                    </a:prstGeom>
                    <a:noFill/>
                    <a:ln>
                      <a:noFill/>
                    </a:ln>
                  </pic:spPr>
                </pic:pic>
              </a:graphicData>
            </a:graphic>
          </wp:anchor>
        </w:drawing>
      </w:r>
      <w:r>
        <w:rPr>
          <w:rFonts w:hint="eastAsia" w:ascii="仿宋" w:hAnsi="仿宋" w:eastAsia="仿宋"/>
          <w:sz w:val="32"/>
          <w:szCs w:val="32"/>
        </w:rPr>
        <w:t>政府专职消防队员保障经费</w:t>
      </w:r>
      <w:r>
        <w:rPr>
          <w:rFonts w:hint="default" w:ascii="Times New Roman" w:hAnsi="Times New Roman" w:eastAsia="仿宋_GB2312" w:cs="Times New Roman"/>
          <w:color w:val="auto"/>
          <w:kern w:val="2"/>
          <w:sz w:val="32"/>
          <w:szCs w:val="32"/>
          <w:lang w:val="zh-CN" w:eastAsia="zh-CN" w:bidi="ar-SA"/>
        </w:rPr>
        <w:t>项目绩效自评情况：根据年初设定的绩效目标，</w:t>
      </w:r>
      <w:r>
        <w:rPr>
          <w:rFonts w:hint="eastAsia" w:ascii="仿宋" w:hAnsi="仿宋" w:eastAsia="仿宋"/>
          <w:sz w:val="32"/>
          <w:szCs w:val="32"/>
        </w:rPr>
        <w:t>政府专职消防队员保障经费</w:t>
      </w:r>
      <w:r>
        <w:rPr>
          <w:rFonts w:hint="default" w:ascii="Times New Roman" w:hAnsi="Times New Roman" w:eastAsia="仿宋_GB2312" w:cs="Times New Roman"/>
          <w:color w:val="auto"/>
          <w:kern w:val="2"/>
          <w:sz w:val="32"/>
          <w:szCs w:val="32"/>
          <w:lang w:val="zh-CN" w:eastAsia="zh-CN" w:bidi="ar-SA"/>
        </w:rPr>
        <w:t>项目绩效自评得分为</w:t>
      </w:r>
      <w:r>
        <w:rPr>
          <w:rFonts w:hint="eastAsia" w:ascii="Times New Roman" w:hAnsi="Times New Roman" w:eastAsia="仿宋_GB2312" w:cs="Times New Roman"/>
          <w:color w:val="auto"/>
          <w:kern w:val="2"/>
          <w:sz w:val="32"/>
          <w:szCs w:val="32"/>
          <w:lang w:val="en-US" w:eastAsia="zh-CN" w:bidi="ar-SA"/>
        </w:rPr>
        <w:t>100</w:t>
      </w:r>
      <w:r>
        <w:rPr>
          <w:rFonts w:hint="default" w:ascii="Times New Roman" w:hAnsi="Times New Roman" w:eastAsia="仿宋_GB2312" w:cs="Times New Roman"/>
          <w:color w:val="auto"/>
          <w:kern w:val="2"/>
          <w:sz w:val="32"/>
          <w:szCs w:val="32"/>
          <w:lang w:val="zh-CN" w:eastAsia="zh-CN" w:bidi="ar-SA"/>
        </w:rPr>
        <w:t>分（绩效自评表附后）。全年预算数为</w:t>
      </w:r>
      <w:r>
        <w:rPr>
          <w:rFonts w:hint="eastAsia" w:ascii="Times New Roman" w:hAnsi="Times New Roman" w:eastAsia="仿宋_GB2312" w:cs="Times New Roman"/>
          <w:color w:val="auto"/>
          <w:kern w:val="2"/>
          <w:sz w:val="32"/>
          <w:szCs w:val="32"/>
          <w:lang w:val="en-US" w:eastAsia="zh-CN" w:bidi="ar-SA"/>
        </w:rPr>
        <w:t>616.82</w:t>
      </w:r>
      <w:r>
        <w:rPr>
          <w:rFonts w:hint="default" w:ascii="Times New Roman" w:hAnsi="Times New Roman" w:eastAsia="仿宋_GB2312" w:cs="Times New Roman"/>
          <w:color w:val="auto"/>
          <w:kern w:val="2"/>
          <w:sz w:val="32"/>
          <w:szCs w:val="32"/>
          <w:lang w:val="zh-CN" w:eastAsia="zh-CN" w:bidi="ar-SA"/>
        </w:rPr>
        <w:t>万元，执行数为</w:t>
      </w:r>
      <w:r>
        <w:rPr>
          <w:rFonts w:hint="eastAsia" w:ascii="Times New Roman" w:hAnsi="Times New Roman" w:eastAsia="仿宋_GB2312" w:cs="Times New Roman"/>
          <w:color w:val="auto"/>
          <w:kern w:val="2"/>
          <w:sz w:val="32"/>
          <w:szCs w:val="32"/>
          <w:lang w:val="en-US" w:eastAsia="zh-CN" w:bidi="ar-SA"/>
        </w:rPr>
        <w:t>616.82</w:t>
      </w:r>
      <w:r>
        <w:rPr>
          <w:rFonts w:hint="default" w:ascii="Times New Roman" w:hAnsi="Times New Roman" w:eastAsia="仿宋_GB2312" w:cs="Times New Roman"/>
          <w:color w:val="auto"/>
          <w:kern w:val="2"/>
          <w:sz w:val="32"/>
          <w:szCs w:val="32"/>
          <w:lang w:val="zh-CN" w:eastAsia="zh-CN" w:bidi="ar-SA"/>
        </w:rPr>
        <w:t>万元，完成预算的</w:t>
      </w:r>
      <w:r>
        <w:rPr>
          <w:rFonts w:hint="eastAsia" w:ascii="Times New Roman" w:hAnsi="Times New Roman" w:eastAsia="仿宋_GB2312" w:cs="Times New Roman"/>
          <w:color w:val="auto"/>
          <w:kern w:val="2"/>
          <w:sz w:val="32"/>
          <w:szCs w:val="32"/>
          <w:lang w:val="en-US" w:eastAsia="zh-CN" w:bidi="ar-SA"/>
        </w:rPr>
        <w:t>100.0%</w:t>
      </w:r>
      <w:r>
        <w:rPr>
          <w:rFonts w:hint="default" w:ascii="Times New Roman" w:hAnsi="Times New Roman" w:eastAsia="仿宋_GB2312" w:cs="Times New Roman"/>
          <w:color w:val="auto"/>
          <w:kern w:val="2"/>
          <w:sz w:val="32"/>
          <w:szCs w:val="32"/>
          <w:lang w:val="zh-CN" w:eastAsia="zh-CN" w:bidi="ar-SA"/>
        </w:rPr>
        <w:t>。项目绩效目标完成情况：</w:t>
      </w:r>
      <w:r>
        <w:rPr>
          <w:rFonts w:hint="default" w:ascii="Times New Roman" w:hAnsi="Times New Roman" w:eastAsia="仿宋_GB2312" w:cs="Times New Roman"/>
          <w:color w:val="auto"/>
          <w:kern w:val="0"/>
          <w:sz w:val="32"/>
          <w:szCs w:val="32"/>
          <w:highlight w:val="none"/>
          <w:lang w:val="en-US" w:eastAsia="zh-CN" w:bidi="ar-SA"/>
        </w:rPr>
        <w:t>通过项目实施，完成了年初设定的各项绩效目标，</w:t>
      </w:r>
      <w:r>
        <w:rPr>
          <w:rFonts w:hint="default" w:ascii="Times New Roman" w:hAnsi="Times New Roman" w:eastAsia="仿宋_GB2312" w:cs="Times New Roman"/>
          <w:color w:val="auto"/>
          <w:kern w:val="2"/>
          <w:sz w:val="32"/>
          <w:szCs w:val="32"/>
          <w:highlight w:val="none"/>
          <w:lang w:val="zh-CN" w:eastAsia="zh-CN" w:bidi="ar-SA"/>
        </w:rPr>
        <w:t>足额发放政府</w:t>
      </w:r>
      <w:r>
        <w:rPr>
          <w:rFonts w:hint="default" w:ascii="Times New Roman" w:hAnsi="Times New Roman" w:eastAsia="仿宋_GB2312" w:cs="Times New Roman"/>
          <w:color w:val="auto"/>
          <w:kern w:val="2"/>
          <w:sz w:val="32"/>
          <w:szCs w:val="32"/>
          <w:lang w:val="zh-CN" w:eastAsia="zh-CN" w:bidi="ar-SA"/>
        </w:rPr>
        <w:t>专职消防队员工资，完成社会保障缴纳，为每名专职消防员购置人身意外险</w:t>
      </w:r>
      <w:r>
        <w:rPr>
          <w:rFonts w:hint="eastAsia" w:ascii="Times New Roman" w:hAnsi="Times New Roman" w:eastAsia="仿宋_GB2312" w:cs="Times New Roman"/>
          <w:color w:val="auto"/>
          <w:kern w:val="2"/>
          <w:sz w:val="32"/>
          <w:szCs w:val="32"/>
          <w:lang w:val="zh-CN" w:eastAsia="zh-CN" w:bidi="ar-SA"/>
        </w:rPr>
        <w:t>；</w:t>
      </w:r>
      <w:r>
        <w:rPr>
          <w:rFonts w:hint="eastAsia" w:ascii="Times New Roman" w:hAnsi="Times New Roman" w:eastAsia="仿宋_GB2312" w:cs="Times New Roman"/>
          <w:color w:val="auto"/>
          <w:kern w:val="2"/>
          <w:sz w:val="32"/>
          <w:szCs w:val="32"/>
          <w:lang w:val="en-US" w:eastAsia="zh-CN" w:bidi="ar-SA"/>
        </w:rPr>
        <w:t>完成</w:t>
      </w:r>
      <w:r>
        <w:rPr>
          <w:rFonts w:hint="default" w:ascii="Times New Roman" w:hAnsi="Times New Roman" w:eastAsia="仿宋_GB2312" w:cs="Times New Roman"/>
          <w:color w:val="auto"/>
          <w:kern w:val="2"/>
          <w:sz w:val="32"/>
          <w:szCs w:val="32"/>
          <w:lang w:val="zh-CN" w:eastAsia="zh-CN" w:bidi="ar-SA"/>
        </w:rPr>
        <w:t>工资按时发放，保障了政府专职消防队员工作积极性。</w:t>
      </w:r>
      <w:r>
        <w:rPr>
          <w:rFonts w:hint="default" w:ascii="Times New Roman" w:hAnsi="Times New Roman" w:eastAsia="仿宋_GB2312" w:cs="Times New Roman"/>
          <w:color w:val="auto"/>
          <w:kern w:val="0"/>
          <w:sz w:val="32"/>
          <w:szCs w:val="32"/>
          <w:highlight w:val="none"/>
          <w:lang w:val="en-US" w:eastAsia="zh-CN" w:bidi="ar-SA"/>
        </w:rPr>
        <w:t>未发现问题</w:t>
      </w:r>
      <w:r>
        <w:rPr>
          <w:rFonts w:hint="eastAsia" w:ascii="Times New Roman" w:hAnsi="Times New Roman" w:eastAsia="仿宋_GB2312" w:cs="Times New Roman"/>
          <w:color w:val="auto"/>
          <w:kern w:val="0"/>
          <w:sz w:val="32"/>
          <w:szCs w:val="32"/>
          <w:highlight w:val="none"/>
          <w:lang w:val="en-US" w:eastAsia="zh-CN" w:bidi="ar-SA"/>
        </w:rPr>
        <w:t>。</w:t>
      </w:r>
    </w:p>
    <w:p>
      <w:pPr>
        <w:numPr>
          <w:ilvl w:val="0"/>
          <w:numId w:val="4"/>
        </w:numPr>
        <w:adjustRightInd w:val="0"/>
        <w:snapToGrid w:val="0"/>
        <w:spacing w:line="580" w:lineRule="exact"/>
        <w:ind w:firstLine="643" w:firstLineChars="200"/>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部门评价项目绩效评价结果</w:t>
      </w:r>
    </w:p>
    <w:p>
      <w:pPr>
        <w:keepNext w:val="0"/>
        <w:keepLines w:val="0"/>
        <w:widowControl/>
        <w:suppressLineNumbers w:val="0"/>
        <w:ind w:firstLine="620" w:firstLineChars="200"/>
        <w:jc w:val="left"/>
        <w:rPr>
          <w:rFonts w:hint="default"/>
        </w:rPr>
      </w:pPr>
      <w:r>
        <w:rPr>
          <w:rFonts w:ascii="仿宋" w:hAnsi="仿宋" w:eastAsia="仿宋" w:cs="仿宋"/>
          <w:color w:val="000000"/>
          <w:kern w:val="0"/>
          <w:sz w:val="31"/>
          <w:szCs w:val="31"/>
          <w:lang w:val="en-US" w:eastAsia="zh-CN" w:bidi="ar"/>
        </w:rPr>
        <w:t>本部门本年度</w:t>
      </w:r>
      <w:r>
        <w:rPr>
          <w:rFonts w:hint="eastAsia" w:ascii="仿宋" w:hAnsi="仿宋" w:eastAsia="仿宋" w:cs="仿宋"/>
          <w:color w:val="000000"/>
          <w:kern w:val="0"/>
          <w:sz w:val="31"/>
          <w:szCs w:val="31"/>
          <w:lang w:val="en-US" w:eastAsia="zh-CN" w:bidi="ar"/>
        </w:rPr>
        <w:t>无</w:t>
      </w:r>
      <w:r>
        <w:rPr>
          <w:rFonts w:ascii="仿宋" w:hAnsi="仿宋" w:eastAsia="仿宋" w:cs="仿宋"/>
          <w:color w:val="000000"/>
          <w:kern w:val="0"/>
          <w:sz w:val="31"/>
          <w:szCs w:val="31"/>
          <w:lang w:val="en-US" w:eastAsia="zh-CN" w:bidi="ar"/>
        </w:rPr>
        <w:t>项目绩效评价。</w:t>
      </w:r>
    </w:p>
    <w:p>
      <w:pPr>
        <w:adjustRightInd w:val="0"/>
        <w:snapToGrid w:val="0"/>
        <w:spacing w:line="580" w:lineRule="exact"/>
        <w:ind w:firstLine="640" w:firstLineChars="200"/>
        <w:rPr>
          <w:rFonts w:hint="default" w:ascii="Times New Roman" w:hAnsi="Times New Roman" w:eastAsia="楷体_GB2312" w:cs="Times New Roman"/>
          <w:b/>
          <w:bCs/>
          <w:sz w:val="32"/>
          <w:szCs w:val="32"/>
        </w:rPr>
      </w:pPr>
      <w:r>
        <w:rPr>
          <w:rFonts w:hint="default" w:ascii="Times New Roman" w:hAnsi="Times New Roman" w:eastAsia="黑体" w:cs="Times New Roman"/>
          <w:sz w:val="32"/>
          <w:szCs w:val="32"/>
        </w:rPr>
        <w:t>十、其他需要说明的情况</w:t>
      </w:r>
    </w:p>
    <w:p>
      <w:pPr>
        <w:adjustRightInd w:val="0"/>
        <w:snapToGrid w:val="0"/>
        <w:spacing w:line="580" w:lineRule="exact"/>
        <w:ind w:firstLine="640" w:firstLineChars="200"/>
        <w:rPr>
          <w:rFonts w:hint="default" w:ascii="Times New Roman" w:hAnsi="Times New Roman" w:eastAsia="仿宋_GB2312" w:cs="Times New Roman"/>
          <w:sz w:val="32"/>
          <w:szCs w:val="32"/>
        </w:rPr>
      </w:pPr>
      <w:r>
        <w:rPr>
          <w:rFonts w:hint="eastAsia" w:ascii="Times New Roman" w:hAnsi="Times New Roman" w:eastAsia="仿宋_GB2312" w:cs="Times New Roman"/>
          <w:sz w:val="32"/>
          <w:szCs w:val="32"/>
          <w:lang w:val="en-US" w:eastAsia="zh-CN"/>
        </w:rPr>
        <w:t>1.</w:t>
      </w:r>
      <w:r>
        <w:rPr>
          <w:rFonts w:hint="default" w:ascii="Times New Roman" w:hAnsi="Times New Roman" w:eastAsia="仿宋_GB2312" w:cs="Times New Roman"/>
          <w:sz w:val="32"/>
          <w:szCs w:val="32"/>
        </w:rPr>
        <w:t>本部门202</w:t>
      </w:r>
      <w:r>
        <w:rPr>
          <w:rFonts w:hint="eastAsia" w:ascii="Times New Roman" w:hAnsi="Times New Roman" w:eastAsia="仿宋_GB2312" w:cs="Times New Roman"/>
          <w:sz w:val="32"/>
          <w:szCs w:val="32"/>
          <w:lang w:val="en-US" w:eastAsia="zh-CN"/>
        </w:rPr>
        <w:t>3</w:t>
      </w:r>
      <w:r>
        <w:rPr>
          <w:rFonts w:hint="default" w:ascii="Times New Roman" w:hAnsi="Times New Roman" w:eastAsia="仿宋_GB2312" w:cs="Times New Roman"/>
          <w:sz w:val="32"/>
          <w:szCs w:val="32"/>
        </w:rPr>
        <w:t>年度</w:t>
      </w:r>
      <w:r>
        <w:rPr>
          <w:rFonts w:hint="eastAsia" w:ascii="方正仿宋_GB2312" w:hAnsi="方正仿宋_GB2312" w:eastAsia="方正仿宋_GB2312" w:cs="方正仿宋_GB2312"/>
          <w:b w:val="0"/>
          <w:bCs/>
          <w:color w:val="auto"/>
          <w:kern w:val="0"/>
          <w:sz w:val="32"/>
          <w:szCs w:val="32"/>
          <w:highlight w:val="none"/>
          <w:lang w:val="en-US" w:eastAsia="zh-CN"/>
        </w:rPr>
        <w:t>一般公共预算财政拨款基本支出决算表、</w:t>
      </w:r>
      <w:r>
        <w:rPr>
          <w:rFonts w:hint="default" w:ascii="Times New Roman" w:hAnsi="Times New Roman" w:eastAsia="仿宋_GB2312" w:cs="Times New Roman"/>
          <w:sz w:val="32"/>
          <w:szCs w:val="32"/>
        </w:rPr>
        <w:t>政府性基金预算财政拨款收入支出决算表</w:t>
      </w:r>
      <w:r>
        <w:rPr>
          <w:rFonts w:hint="default" w:ascii="Times New Roman" w:hAnsi="Times New Roman" w:eastAsia="仿宋_GB2312" w:cs="Times New Roman"/>
          <w:sz w:val="32"/>
          <w:szCs w:val="32"/>
          <w:lang w:eastAsia="zh-CN"/>
        </w:rPr>
        <w:t>、国有资本经营预算财政拨款支出决算表、财政拨款“三公”经费支出决算表</w:t>
      </w:r>
      <w:r>
        <w:rPr>
          <w:rFonts w:hint="default" w:ascii="Times New Roman" w:hAnsi="Times New Roman" w:eastAsia="仿宋_GB2312" w:cs="Times New Roman"/>
          <w:sz w:val="32"/>
          <w:szCs w:val="32"/>
        </w:rPr>
        <w:t>无收支及结转结余情况，故</w:t>
      </w:r>
      <w:r>
        <w:rPr>
          <w:rFonts w:hint="eastAsia" w:ascii="方正仿宋_GB2312" w:hAnsi="方正仿宋_GB2312" w:eastAsia="方正仿宋_GB2312" w:cs="方正仿宋_GB2312"/>
          <w:b w:val="0"/>
          <w:bCs/>
          <w:color w:val="auto"/>
          <w:kern w:val="0"/>
          <w:sz w:val="32"/>
          <w:szCs w:val="32"/>
          <w:highlight w:val="none"/>
          <w:lang w:val="en-US" w:eastAsia="zh-CN"/>
        </w:rPr>
        <w:t>一般公共预算财政拨款基本支出决算表、</w:t>
      </w:r>
      <w:r>
        <w:rPr>
          <w:rFonts w:hint="default" w:ascii="Times New Roman" w:hAnsi="Times New Roman" w:eastAsia="仿宋_GB2312" w:cs="Times New Roman"/>
          <w:sz w:val="32"/>
          <w:szCs w:val="32"/>
        </w:rPr>
        <w:t>政府性基金预算财政拨款收入支出决算表</w:t>
      </w:r>
      <w:r>
        <w:rPr>
          <w:rFonts w:hint="default" w:ascii="Times New Roman" w:hAnsi="Times New Roman" w:eastAsia="仿宋_GB2312" w:cs="Times New Roman"/>
          <w:sz w:val="32"/>
          <w:szCs w:val="32"/>
          <w:lang w:eastAsia="zh-CN"/>
        </w:rPr>
        <w:t>、国有资本经营预算财政拨款支出决算表、财政拨款“三公”经费支出决算表</w:t>
      </w:r>
      <w:r>
        <w:rPr>
          <w:rFonts w:hint="default" w:ascii="Times New Roman" w:hAnsi="Times New Roman" w:eastAsia="仿宋_GB2312" w:cs="Times New Roman"/>
          <w:sz w:val="32"/>
          <w:szCs w:val="32"/>
        </w:rPr>
        <w:t>以空表列示。</w:t>
      </w:r>
    </w:p>
    <w:p>
      <w:pPr>
        <w:adjustRightInd w:val="0"/>
        <w:snapToGrid w:val="0"/>
        <w:spacing w:line="58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2. 由于决算公开表格中金额数值应当保留两位小数，公开数据为四舍五入计算结果，个别数据合计项与分项之和存在小数点后差额，特此说明。</w:t>
      </w:r>
    </w:p>
    <w:p>
      <w:pPr>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br w:type="page"/>
      </w:r>
    </w:p>
    <w:p>
      <w:pPr>
        <w:adjustRightInd w:val="0"/>
        <w:snapToGrid w:val="0"/>
        <w:spacing w:line="580" w:lineRule="exact"/>
        <w:ind w:firstLine="640" w:firstLineChars="200"/>
        <w:rPr>
          <w:rFonts w:hint="default" w:ascii="Times New Roman" w:hAnsi="Times New Roman" w:eastAsia="仿宋_GB2312" w:cs="Times New Roman"/>
          <w:sz w:val="32"/>
          <w:szCs w:val="32"/>
        </w:rPr>
      </w:pPr>
    </w:p>
    <w:p>
      <w:pPr>
        <w:widowControl/>
        <w:spacing w:line="580" w:lineRule="exact"/>
        <w:ind w:firstLine="883" w:firstLineChars="200"/>
        <w:jc w:val="left"/>
        <w:rPr>
          <w:rFonts w:hint="default" w:ascii="Times New Roman" w:hAnsi="Times New Roman" w:eastAsia="宋体" w:cs="Times New Roman"/>
          <w:b/>
          <w:bCs/>
          <w:kern w:val="0"/>
          <w:sz w:val="44"/>
          <w:szCs w:val="44"/>
        </w:rPr>
      </w:pPr>
    </w:p>
    <w:p>
      <w:pPr>
        <w:rPr>
          <w:rFonts w:hint="default" w:ascii="Times New Roman" w:hAnsi="Times New Roman" w:eastAsia="仿宋_GB2312" w:cs="Times New Roman"/>
          <w:sz w:val="32"/>
          <w:szCs w:val="32"/>
        </w:rPr>
      </w:pPr>
    </w:p>
    <w:p>
      <w:pPr>
        <w:widowControl/>
        <w:jc w:val="center"/>
        <w:rPr>
          <w:rFonts w:hint="default"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p>
    <w:p>
      <w:pPr>
        <w:rPr>
          <w:rFonts w:hint="default"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p>
    <w:p>
      <w:pPr>
        <w:pStyle w:val="2"/>
        <w:numPr>
          <w:ilvl w:val="2"/>
          <w:numId w:val="0"/>
        </w:numPr>
        <w:ind w:leftChars="0"/>
        <w:rPr>
          <w:rFonts w:hint="default"/>
        </w:rPr>
      </w:pPr>
    </w:p>
    <w:p>
      <w:pPr>
        <w:widowControl/>
        <w:jc w:val="center"/>
        <w:rPr>
          <w:rFonts w:hint="default"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p>
    <w:p>
      <w:pPr>
        <w:widowControl/>
        <w:jc w:val="center"/>
        <w:rPr>
          <w:rFonts w:hint="default"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p>
    <w:p>
      <w:pPr>
        <w:widowControl/>
        <w:jc w:val="center"/>
        <w:rPr>
          <w:rFonts w:hint="default"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hint="default"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第四部分 相关名词解释</w:t>
      </w:r>
    </w:p>
    <w:p>
      <w:pPr>
        <w:rPr>
          <w:rFonts w:hint="default"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hint="default"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br w:type="page"/>
      </w:r>
    </w:p>
    <w:p>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一、</w:t>
      </w:r>
      <w:r>
        <w:rPr>
          <w:rFonts w:hint="default" w:ascii="Times New Roman" w:hAnsi="Times New Roman" w:eastAsia="仿宋_GB2312" w:cs="Times New Roman"/>
          <w:b/>
          <w:bCs/>
          <w:color w:val="000000"/>
          <w:kern w:val="0"/>
          <w:sz w:val="32"/>
          <w:szCs w:val="32"/>
        </w:rPr>
        <w:t>财政拨款收入：</w:t>
      </w:r>
      <w:r>
        <w:rPr>
          <w:rFonts w:hint="default" w:ascii="Times New Roman" w:hAnsi="Times New Roman" w:eastAsia="仿宋_GB2312" w:cs="Times New Roman"/>
          <w:bCs/>
          <w:color w:val="000000"/>
          <w:kern w:val="0"/>
          <w:sz w:val="32"/>
          <w:szCs w:val="32"/>
        </w:rPr>
        <w:t>指单位从同级财政部门取得的财政预算资金。</w:t>
      </w:r>
    </w:p>
    <w:p>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二、</w:t>
      </w:r>
      <w:r>
        <w:rPr>
          <w:rFonts w:hint="default" w:ascii="Times New Roman" w:hAnsi="Times New Roman" w:eastAsia="仿宋_GB2312" w:cs="Times New Roman"/>
          <w:b/>
          <w:bCs/>
          <w:color w:val="000000"/>
          <w:kern w:val="0"/>
          <w:sz w:val="32"/>
          <w:szCs w:val="32"/>
        </w:rPr>
        <w:t>事业收入：</w:t>
      </w:r>
      <w:r>
        <w:rPr>
          <w:rFonts w:hint="default" w:ascii="Times New Roman" w:hAnsi="Times New Roman" w:eastAsia="仿宋_GB2312" w:cs="Times New Roman"/>
          <w:bCs/>
          <w:color w:val="000000"/>
          <w:kern w:val="0"/>
          <w:sz w:val="32"/>
          <w:szCs w:val="32"/>
        </w:rPr>
        <w:t>指事业单位开展专业业务活动及辅助活动取得的收入。</w:t>
      </w:r>
    </w:p>
    <w:p>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三、</w:t>
      </w:r>
      <w:r>
        <w:rPr>
          <w:rFonts w:hint="default" w:ascii="Times New Roman" w:hAnsi="Times New Roman" w:eastAsia="仿宋_GB2312" w:cs="Times New Roman"/>
          <w:b/>
          <w:bCs/>
          <w:color w:val="000000"/>
          <w:kern w:val="0"/>
          <w:sz w:val="32"/>
          <w:szCs w:val="32"/>
        </w:rPr>
        <w:t>经营收入：</w:t>
      </w:r>
      <w:r>
        <w:rPr>
          <w:rFonts w:hint="default" w:ascii="Times New Roman" w:hAnsi="Times New Roman" w:eastAsia="仿宋_GB2312" w:cs="Times New Roman"/>
          <w:bCs/>
          <w:color w:val="000000"/>
          <w:kern w:val="0"/>
          <w:sz w:val="32"/>
          <w:szCs w:val="32"/>
        </w:rPr>
        <w:t>指事业单位在专业业务活动及其辅助活动之外开展非独立核算经营活动取得的收入。</w:t>
      </w:r>
    </w:p>
    <w:p>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四、</w:t>
      </w:r>
      <w:r>
        <w:rPr>
          <w:rFonts w:hint="default" w:ascii="Times New Roman" w:hAnsi="Times New Roman" w:eastAsia="仿宋_GB2312" w:cs="Times New Roman"/>
          <w:b/>
          <w:bCs/>
          <w:color w:val="000000"/>
          <w:kern w:val="0"/>
          <w:sz w:val="32"/>
          <w:szCs w:val="32"/>
        </w:rPr>
        <w:t>其他收入：</w:t>
      </w:r>
      <w:r>
        <w:rPr>
          <w:rFonts w:hint="default" w:ascii="Times New Roman" w:hAnsi="Times New Roman" w:eastAsia="仿宋_GB2312" w:cs="Times New Roman"/>
          <w:bCs/>
          <w:color w:val="000000"/>
          <w:kern w:val="0"/>
          <w:sz w:val="32"/>
          <w:szCs w:val="32"/>
        </w:rPr>
        <w:t>指单位取得的除上述收入以外的各项收</w:t>
      </w:r>
    </w:p>
    <w:p>
      <w:pPr>
        <w:spacing w:line="580" w:lineRule="exact"/>
        <w:rPr>
          <w:rFonts w:hint="default" w:ascii="Times New Roman" w:hAnsi="Times New Roman" w:eastAsia="仿宋_GB2312" w:cs="Times New Roman"/>
          <w:b/>
          <w:bCs/>
          <w:color w:val="000000"/>
          <w:kern w:val="0"/>
          <w:sz w:val="32"/>
          <w:szCs w:val="32"/>
        </w:rPr>
      </w:pPr>
      <w:r>
        <w:rPr>
          <w:rFonts w:hint="default" w:ascii="Times New Roman" w:hAnsi="Times New Roman" w:eastAsia="仿宋_GB2312" w:cs="Times New Roman"/>
          <w:bCs/>
          <w:color w:val="000000"/>
          <w:kern w:val="0"/>
          <w:sz w:val="32"/>
          <w:szCs w:val="32"/>
        </w:rPr>
        <w:t>入。主要是事业单位固定资产出租收入、存款利息收入等。</w:t>
      </w:r>
    </w:p>
    <w:p>
      <w:p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五、</w:t>
      </w:r>
      <w:r>
        <w:rPr>
          <w:rFonts w:hint="default" w:ascii="Times New Roman" w:hAnsi="Times New Roman" w:eastAsia="仿宋_GB2312" w:cs="Times New Roman"/>
          <w:b/>
          <w:bCs/>
          <w:color w:val="000000"/>
          <w:kern w:val="0"/>
          <w:sz w:val="32"/>
          <w:szCs w:val="32"/>
        </w:rPr>
        <w:t>使用非财政拨款结余（含专用结余）：</w:t>
      </w:r>
      <w:r>
        <w:rPr>
          <w:rFonts w:hint="default" w:ascii="Times New Roman" w:hAnsi="Times New Roman" w:eastAsia="仿宋_GB2312" w:cs="Times New Roman"/>
          <w:bCs/>
          <w:color w:val="000000"/>
          <w:kern w:val="0"/>
          <w:sz w:val="32"/>
          <w:szCs w:val="32"/>
        </w:rPr>
        <w:t>指事业单位按照预算管理要求使用非财政拨款结余弥补收支差额的金额，以及使用专用结余安排支出的金额。</w:t>
      </w:r>
    </w:p>
    <w:p>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六、</w:t>
      </w:r>
      <w:r>
        <w:rPr>
          <w:rFonts w:hint="default" w:ascii="Times New Roman" w:hAnsi="Times New Roman" w:eastAsia="仿宋_GB2312" w:cs="Times New Roman"/>
          <w:b/>
          <w:bCs/>
          <w:color w:val="000000"/>
          <w:kern w:val="0"/>
          <w:sz w:val="32"/>
          <w:szCs w:val="32"/>
        </w:rPr>
        <w:t>年初结转和结余：</w:t>
      </w:r>
      <w:r>
        <w:rPr>
          <w:rFonts w:hint="default" w:ascii="Times New Roman" w:hAnsi="Times New Roman" w:eastAsia="仿宋_GB2312" w:cs="Times New Roman"/>
          <w:bCs/>
          <w:color w:val="000000"/>
          <w:kern w:val="0"/>
          <w:sz w:val="32"/>
          <w:szCs w:val="32"/>
        </w:rPr>
        <w:t>指单位以前年度尚未完成、结转到本年仍按原规定用途继续使用的资金，或项目已完成等产生的结余资金。</w:t>
      </w:r>
    </w:p>
    <w:p>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七、</w:t>
      </w:r>
      <w:r>
        <w:rPr>
          <w:rFonts w:hint="default" w:ascii="Times New Roman" w:hAnsi="Times New Roman" w:eastAsia="仿宋_GB2312" w:cs="Times New Roman"/>
          <w:b/>
          <w:bCs/>
          <w:color w:val="000000"/>
          <w:kern w:val="0"/>
          <w:sz w:val="32"/>
          <w:szCs w:val="32"/>
        </w:rPr>
        <w:t>结余分配：</w:t>
      </w:r>
      <w:r>
        <w:rPr>
          <w:rFonts w:hint="default" w:ascii="Times New Roman" w:hAnsi="Times New Roman" w:eastAsia="仿宋_GB2312" w:cs="Times New Roman"/>
          <w:bCs/>
          <w:color w:val="000000"/>
          <w:kern w:val="0"/>
          <w:sz w:val="32"/>
          <w:szCs w:val="32"/>
        </w:rPr>
        <w:t>指事业单位按照会计制度规定缴纳的所得税、提取的专用结余以及转入非财政拨款结余的金额等。</w:t>
      </w:r>
    </w:p>
    <w:p>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八、</w:t>
      </w:r>
      <w:r>
        <w:rPr>
          <w:rFonts w:hint="default" w:ascii="Times New Roman" w:hAnsi="Times New Roman" w:eastAsia="仿宋_GB2312" w:cs="Times New Roman"/>
          <w:b/>
          <w:bCs/>
          <w:color w:val="000000"/>
          <w:kern w:val="0"/>
          <w:sz w:val="32"/>
          <w:szCs w:val="32"/>
        </w:rPr>
        <w:t>年末结转和结余：</w:t>
      </w:r>
      <w:r>
        <w:rPr>
          <w:rFonts w:hint="default" w:ascii="Times New Roman" w:hAnsi="Times New Roman" w:eastAsia="仿宋_GB2312" w:cs="Times New Roman"/>
          <w:bCs/>
          <w:color w:val="000000"/>
          <w:kern w:val="0"/>
          <w:sz w:val="32"/>
          <w:szCs w:val="32"/>
        </w:rPr>
        <w:t>指单位按有关规定结转到下年或以后年度继续使用的资金，或项目已完成等产生的结余资金。</w:t>
      </w:r>
    </w:p>
    <w:p>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九、</w:t>
      </w:r>
      <w:r>
        <w:rPr>
          <w:rFonts w:hint="default" w:ascii="Times New Roman" w:hAnsi="Times New Roman" w:eastAsia="仿宋_GB2312" w:cs="Times New Roman"/>
          <w:b/>
          <w:bCs/>
          <w:color w:val="000000"/>
          <w:kern w:val="0"/>
          <w:sz w:val="32"/>
          <w:szCs w:val="32"/>
        </w:rPr>
        <w:t>基本支出：</w:t>
      </w:r>
      <w:r>
        <w:rPr>
          <w:rFonts w:hint="default" w:ascii="Times New Roman" w:hAnsi="Times New Roman" w:eastAsia="仿宋_GB2312" w:cs="Times New Roman"/>
          <w:bCs/>
          <w:color w:val="000000"/>
          <w:kern w:val="0"/>
          <w:sz w:val="32"/>
          <w:szCs w:val="32"/>
        </w:rPr>
        <w:t>指为保障机构正常运转、完成日常工作任务而发生的人员支出和公用支出。</w:t>
      </w:r>
    </w:p>
    <w:p>
      <w:pPr>
        <w:widowControl/>
        <w:spacing w:line="560" w:lineRule="exact"/>
        <w:ind w:firstLine="643" w:firstLineChars="200"/>
        <w:rPr>
          <w:rFonts w:hint="default" w:ascii="Times New Roman" w:hAnsi="Times New Roman" w:eastAsia="仿宋_GB2312" w:cs="Times New Roman"/>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w:t>
      </w:r>
      <w:r>
        <w:rPr>
          <w:rFonts w:hint="default" w:ascii="Times New Roman" w:hAnsi="Times New Roman" w:eastAsia="仿宋_GB2312" w:cs="Times New Roman"/>
          <w:b/>
          <w:bCs/>
          <w:color w:val="000000"/>
          <w:kern w:val="0"/>
          <w:sz w:val="32"/>
          <w:szCs w:val="32"/>
        </w:rPr>
        <w:t>项目支出：</w:t>
      </w:r>
      <w:r>
        <w:rPr>
          <w:rFonts w:hint="default" w:ascii="Times New Roman" w:hAnsi="Times New Roman" w:eastAsia="仿宋_GB2312" w:cs="Times New Roman"/>
          <w:color w:val="000000"/>
          <w:kern w:val="0"/>
          <w:sz w:val="32"/>
          <w:szCs w:val="32"/>
        </w:rPr>
        <w:t>指在基本支出之外为完成特定行政任务和事业发展目标所发生的支出。</w:t>
      </w:r>
    </w:p>
    <w:p>
      <w:pPr>
        <w:widowControl/>
        <w:spacing w:line="560" w:lineRule="exact"/>
        <w:ind w:firstLine="643" w:firstLineChars="200"/>
        <w:rPr>
          <w:rFonts w:hint="default" w:ascii="Times New Roman" w:hAnsi="Times New Roman" w:eastAsia="仿宋_GB2312" w:cs="Times New Roman"/>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十一、</w:t>
      </w:r>
      <w:r>
        <w:rPr>
          <w:rFonts w:hint="default" w:ascii="Times New Roman" w:hAnsi="Times New Roman" w:eastAsia="仿宋_GB2312" w:cs="Times New Roman"/>
          <w:b/>
          <w:bCs/>
          <w:color w:val="000000"/>
          <w:kern w:val="0"/>
          <w:sz w:val="32"/>
          <w:szCs w:val="32"/>
        </w:rPr>
        <w:t>经营支出 ：</w:t>
      </w:r>
      <w:r>
        <w:rPr>
          <w:rFonts w:hint="default" w:ascii="Times New Roman" w:hAnsi="Times New Roman" w:eastAsia="仿宋_GB2312" w:cs="Times New Roman"/>
          <w:color w:val="000000"/>
          <w:kern w:val="0"/>
          <w:sz w:val="32"/>
          <w:szCs w:val="32"/>
        </w:rPr>
        <w:t>指事业单位在专业业务活动及其辅助活动之外开展非独立核算经营活动发生的支出。</w:t>
      </w:r>
    </w:p>
    <w:p>
      <w:pPr>
        <w:widowControl/>
        <w:spacing w:line="560" w:lineRule="exact"/>
        <w:ind w:firstLine="643" w:firstLineChars="200"/>
        <w:rPr>
          <w:rFonts w:hint="default" w:ascii="Times New Roman" w:hAnsi="Times New Roman" w:eastAsia="仿宋_GB2312" w:cs="Times New Roman"/>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十二、</w:t>
      </w:r>
      <w:r>
        <w:rPr>
          <w:rFonts w:hint="default" w:ascii="Times New Roman" w:hAnsi="Times New Roman" w:eastAsia="仿宋_GB2312" w:cs="Times New Roman"/>
          <w:b/>
          <w:bCs/>
          <w:color w:val="000000"/>
          <w:kern w:val="0"/>
          <w:sz w:val="32"/>
          <w:szCs w:val="32"/>
        </w:rPr>
        <w:t>基本建设支出：</w:t>
      </w:r>
      <w:r>
        <w:rPr>
          <w:rFonts w:hint="default" w:ascii="Times New Roman" w:hAnsi="Times New Roman" w:eastAsia="仿宋_GB2312" w:cs="Times New Roman"/>
          <w:color w:val="000000"/>
          <w:kern w:val="0"/>
          <w:sz w:val="32"/>
          <w:szCs w:val="32"/>
        </w:rPr>
        <w:t>填列由本级发展与改革部门集中安排的用于购置固定资产、战略性和应急性储备、土地和无形资产，以及购建基础设施、大型修缮所发生的一般公共预算财政拨款支出，不包括政府性基金、财政专户管理资金以及各类拼盘自筹资金等。</w:t>
      </w:r>
    </w:p>
    <w:p>
      <w:pPr>
        <w:widowControl/>
        <w:spacing w:line="560" w:lineRule="exact"/>
        <w:ind w:firstLine="643" w:firstLineChars="200"/>
        <w:rPr>
          <w:rFonts w:hint="default" w:ascii="Times New Roman" w:hAnsi="Times New Roman" w:eastAsia="仿宋_GB2312" w:cs="Times New Roman"/>
          <w:b/>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十三、</w:t>
      </w:r>
      <w:r>
        <w:rPr>
          <w:rFonts w:hint="default" w:ascii="Times New Roman" w:hAnsi="Times New Roman" w:eastAsia="仿宋_GB2312" w:cs="Times New Roman"/>
          <w:b/>
          <w:bCs/>
          <w:color w:val="000000"/>
          <w:kern w:val="0"/>
          <w:sz w:val="32"/>
          <w:szCs w:val="32"/>
        </w:rPr>
        <w:t>其他资本性支出：</w:t>
      </w:r>
      <w:r>
        <w:rPr>
          <w:rFonts w:hint="default" w:ascii="Times New Roman" w:hAnsi="Times New Roman" w:eastAsia="仿宋_GB2312" w:cs="Times New Roman"/>
          <w:color w:val="000000"/>
          <w:kern w:val="0"/>
          <w:sz w:val="32"/>
          <w:szCs w:val="32"/>
        </w:rPr>
        <w:t>填列由各级非发展与改革部门集中安排的用于购置固定资产、战备性和应急性储备、土地和无形资产，以及购建基础设施、大型修缮和财政支持企业更新改造所发生的支出。</w:t>
      </w:r>
    </w:p>
    <w:p>
      <w:pPr>
        <w:snapToGrid w:val="0"/>
        <w:spacing w:line="560" w:lineRule="exact"/>
        <w:ind w:firstLine="643" w:firstLineChars="200"/>
        <w:rPr>
          <w:rFonts w:hint="default" w:ascii="Times New Roman" w:hAnsi="Times New Roman" w:eastAsia="仿宋_GB2312" w:cs="Times New Roman"/>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十四、</w:t>
      </w:r>
      <w:r>
        <w:rPr>
          <w:rFonts w:hint="default" w:ascii="Times New Roman" w:hAnsi="Times New Roman" w:eastAsia="仿宋_GB2312" w:cs="Times New Roman"/>
          <w:b/>
          <w:bCs/>
          <w:color w:val="000000"/>
          <w:kern w:val="0"/>
          <w:sz w:val="32"/>
          <w:szCs w:val="32"/>
        </w:rPr>
        <w:t>“三公”经费：</w:t>
      </w:r>
      <w:r>
        <w:rPr>
          <w:rFonts w:hint="default" w:ascii="Times New Roman" w:hAnsi="Times New Roman" w:eastAsia="仿宋_GB2312" w:cs="Times New Roman"/>
          <w:color w:val="000000"/>
          <w:kern w:val="0"/>
          <w:sz w:val="32"/>
          <w:szCs w:val="32"/>
        </w:rPr>
        <w:t>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购置支出（含车辆购置税、牌照费）及按规定保留的公务用车燃料费、维修费、过桥过路费、保险费、安全奖励费用等支出；公务接待费反映单位按规定开支的各类公务接待（含外宾接待）支出。</w:t>
      </w:r>
    </w:p>
    <w:p>
      <w:pPr>
        <w:snapToGrid w:val="0"/>
        <w:spacing w:line="560" w:lineRule="exact"/>
        <w:ind w:firstLine="643" w:firstLineChars="200"/>
        <w:rPr>
          <w:rFonts w:hint="default" w:ascii="Times New Roman" w:hAnsi="Times New Roman" w:eastAsia="仿宋_GB2312" w:cs="Times New Roman"/>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十五、</w:t>
      </w:r>
      <w:r>
        <w:rPr>
          <w:rFonts w:hint="default" w:ascii="Times New Roman" w:hAnsi="Times New Roman" w:eastAsia="仿宋_GB2312" w:cs="Times New Roman"/>
          <w:b/>
          <w:bCs/>
          <w:color w:val="000000"/>
          <w:kern w:val="0"/>
          <w:sz w:val="32"/>
          <w:szCs w:val="32"/>
        </w:rPr>
        <w:t>其他交通费用：</w:t>
      </w:r>
      <w:r>
        <w:rPr>
          <w:rFonts w:hint="default" w:ascii="Times New Roman" w:hAnsi="Times New Roman" w:eastAsia="仿宋_GB2312" w:cs="Times New Roman"/>
          <w:color w:val="000000"/>
          <w:kern w:val="0"/>
          <w:sz w:val="32"/>
          <w:szCs w:val="32"/>
        </w:rPr>
        <w:t>填列单位除公务用车运行维护费以外的其他交通费用。如公务交通补贴、租车费用、出租车费用，飞机、船舶等燃料费、维修费、保险费等。</w:t>
      </w:r>
    </w:p>
    <w:p>
      <w:pPr>
        <w:widowControl/>
        <w:spacing w:line="560" w:lineRule="exact"/>
        <w:ind w:firstLine="643" w:firstLineChars="200"/>
        <w:rPr>
          <w:rFonts w:hint="default" w:ascii="Times New Roman" w:hAnsi="Times New Roman" w:eastAsia="仿宋_GB2312" w:cs="Times New Roman"/>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十六、</w:t>
      </w:r>
      <w:r>
        <w:rPr>
          <w:rFonts w:hint="default" w:ascii="Times New Roman" w:hAnsi="Times New Roman" w:eastAsia="仿宋_GB2312" w:cs="Times New Roman"/>
          <w:b/>
          <w:bCs/>
          <w:color w:val="000000"/>
          <w:kern w:val="0"/>
          <w:sz w:val="32"/>
          <w:szCs w:val="32"/>
        </w:rPr>
        <w:t>公务用车购置：</w:t>
      </w:r>
      <w:r>
        <w:rPr>
          <w:rFonts w:hint="default" w:ascii="Times New Roman" w:hAnsi="Times New Roman" w:eastAsia="仿宋_GB2312" w:cs="Times New Roman"/>
          <w:color w:val="000000"/>
          <w:kern w:val="0"/>
          <w:sz w:val="32"/>
          <w:szCs w:val="32"/>
        </w:rPr>
        <w:t>填列单位公务用车车辆购置支出（含车辆购置税、牌照费）。</w:t>
      </w:r>
    </w:p>
    <w:p>
      <w:pPr>
        <w:widowControl/>
        <w:spacing w:line="560" w:lineRule="exact"/>
        <w:ind w:firstLine="643" w:firstLineChars="200"/>
        <w:rPr>
          <w:rFonts w:hint="default" w:ascii="Times New Roman" w:hAnsi="Times New Roman" w:eastAsia="仿宋_GB2312" w:cs="Times New Roman"/>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十七、</w:t>
      </w:r>
      <w:r>
        <w:rPr>
          <w:rFonts w:hint="default" w:ascii="Times New Roman" w:hAnsi="Times New Roman" w:eastAsia="仿宋_GB2312" w:cs="Times New Roman"/>
          <w:b/>
          <w:bCs/>
          <w:color w:val="000000"/>
          <w:kern w:val="0"/>
          <w:sz w:val="32"/>
          <w:szCs w:val="32"/>
        </w:rPr>
        <w:t>其他交通工具购置：</w:t>
      </w:r>
      <w:r>
        <w:rPr>
          <w:rFonts w:hint="default" w:ascii="Times New Roman" w:hAnsi="Times New Roman" w:eastAsia="仿宋_GB2312" w:cs="Times New Roman"/>
          <w:color w:val="000000"/>
          <w:kern w:val="0"/>
          <w:sz w:val="32"/>
          <w:szCs w:val="32"/>
        </w:rPr>
        <w:t>填列单位除公务用车外的其他各类交通工具（如船舶、飞机等）购置支出（含车辆购置税、牌照费）。</w:t>
      </w:r>
    </w:p>
    <w:p>
      <w:pPr>
        <w:widowControl/>
        <w:spacing w:line="560" w:lineRule="exact"/>
        <w:ind w:firstLine="643" w:firstLineChars="200"/>
        <w:rPr>
          <w:rFonts w:hint="default" w:ascii="Times New Roman" w:hAnsi="Times New Roman" w:eastAsia="仿宋_GB2312" w:cs="Times New Roman"/>
          <w:color w:val="000000"/>
          <w:kern w:val="0"/>
          <w:sz w:val="32"/>
          <w:szCs w:val="32"/>
        </w:rPr>
      </w:pPr>
      <w:r>
        <w:rPr>
          <w:rFonts w:hint="default" w:ascii="Times New Roman" w:hAnsi="Times New Roman" w:eastAsia="仿宋_GB2312" w:cs="Times New Roman"/>
          <w:b/>
          <w:bCs/>
          <w:color w:val="000000"/>
          <w:kern w:val="0"/>
          <w:sz w:val="32"/>
          <w:szCs w:val="32"/>
        </w:rPr>
        <w:t>十八、机关运行经费：</w:t>
      </w:r>
      <w:r>
        <w:rPr>
          <w:rFonts w:hint="default" w:ascii="Times New Roman" w:hAnsi="Times New Roman" w:eastAsia="仿宋_GB2312" w:cs="Times New Roman"/>
          <w:color w:val="000000"/>
          <w:kern w:val="0"/>
          <w:sz w:val="32"/>
          <w:szCs w:val="32"/>
        </w:rPr>
        <w:t>指为保障行政单位（包括参照公务员法管理的事业单位）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p>
    <w:p>
      <w:pPr>
        <w:tabs>
          <w:tab w:val="left" w:pos="235"/>
        </w:tabs>
        <w:ind w:firstLine="643" w:firstLineChars="200"/>
        <w:jc w:val="left"/>
        <w:rPr>
          <w:rFonts w:hint="eastAsia" w:ascii="Times New Roman" w:hAnsi="Times New Roman" w:eastAsia="仿宋_GB2312" w:cs="Times New Roman"/>
          <w:kern w:val="0"/>
          <w:sz w:val="32"/>
          <w:szCs w:val="32"/>
          <w:lang w:eastAsia="zh-CN"/>
        </w:rPr>
      </w:pPr>
      <w:r>
        <w:rPr>
          <w:rFonts w:hint="default" w:ascii="Times New Roman" w:hAnsi="Times New Roman" w:eastAsia="仿宋_GB2312" w:cs="Times New Roman"/>
          <w:b/>
          <w:bCs/>
          <w:color w:val="000000"/>
          <w:kern w:val="0"/>
          <w:sz w:val="32"/>
          <w:szCs w:val="32"/>
        </w:rPr>
        <w:t>十九、经费形式:</w:t>
      </w:r>
      <w:r>
        <w:rPr>
          <w:rFonts w:hint="default" w:ascii="Times New Roman" w:hAnsi="Times New Roman" w:eastAsia="仿宋_GB2312" w:cs="Times New Roman"/>
          <w:color w:val="000000"/>
          <w:kern w:val="0"/>
          <w:sz w:val="32"/>
          <w:szCs w:val="32"/>
        </w:rPr>
        <w:t>按照经费来源，</w:t>
      </w:r>
      <w:r>
        <w:rPr>
          <w:rFonts w:hint="default" w:ascii="Times New Roman" w:hAnsi="Times New Roman" w:eastAsia="仿宋_GB2312" w:cs="Times New Roman"/>
          <w:kern w:val="0"/>
          <w:sz w:val="32"/>
          <w:szCs w:val="32"/>
        </w:rPr>
        <w:t>可分为财政拨款、财政性资金基本保证、财政性资金定额或定项补助、财政性资金零补助四类</w:t>
      </w:r>
      <w:r>
        <w:rPr>
          <w:rFonts w:hint="eastAsia" w:ascii="Times New Roman" w:hAnsi="Times New Roman" w:eastAsia="仿宋_GB2312" w:cs="Times New Roman"/>
          <w:kern w:val="0"/>
          <w:sz w:val="32"/>
          <w:szCs w:val="32"/>
          <w:lang w:eastAsia="zh-CN"/>
        </w:rPr>
        <w:t>。</w:t>
      </w:r>
    </w:p>
    <w:p>
      <w:pPr>
        <w:rPr>
          <w:rFonts w:hint="default" w:ascii="Times New Roman" w:hAnsi="Times New Roman" w:cs="Times New Roman"/>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left"/>
        <w:rPr>
          <w:rFonts w:hint="default" w:ascii="Times New Roman" w:hAnsi="Times New Roman" w:eastAsia="仿宋_GB2312" w:cs="Times New Roman"/>
          <w:i w:val="0"/>
          <w:iCs w:val="0"/>
          <w:caps w:val="0"/>
          <w:color w:val="333333"/>
          <w:spacing w:val="0"/>
          <w:sz w:val="33"/>
          <w:szCs w:val="33"/>
          <w:highlight w:val="none"/>
          <w:shd w:val="clear" w:fill="FFFFFF"/>
        </w:rPr>
      </w:pPr>
    </w:p>
    <w:p>
      <w:pPr>
        <w:rPr>
          <w:rFonts w:hint="default" w:ascii="Times New Roman" w:hAnsi="Times New Roman" w:eastAsia="仿宋_GB2312" w:cs="Times New Roman"/>
          <w:i w:val="0"/>
          <w:iCs w:val="0"/>
          <w:caps w:val="0"/>
          <w:color w:val="333333"/>
          <w:spacing w:val="0"/>
          <w:sz w:val="33"/>
          <w:szCs w:val="33"/>
          <w:highlight w:val="none"/>
          <w:shd w:val="clear" w:fill="FFFFFF"/>
          <w:lang w:val="en-US" w:eastAsia="zh-CN"/>
        </w:rPr>
      </w:pPr>
    </w:p>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35EB9D59-167C-4F34-B327-83B4A6C33025}"/>
  </w:font>
  <w:font w:name="黑体">
    <w:panose1 w:val="02010609060101010101"/>
    <w:charset w:val="86"/>
    <w:family w:val="auto"/>
    <w:pitch w:val="default"/>
    <w:sig w:usb0="800002BF" w:usb1="38CF7CFA" w:usb2="00000016" w:usb3="00000000" w:csb0="00040001" w:csb1="00000000"/>
    <w:embedRegular r:id="rId2" w:fontKey="{83164F77-9536-435F-92A8-64407F3BEA1B}"/>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embedRegular r:id="rId3" w:fontKey="{E5368C02-21E0-4427-81C1-13C23286A3E0}"/>
  </w:font>
  <w:font w:name="仿宋">
    <w:panose1 w:val="02010609060101010101"/>
    <w:charset w:val="86"/>
    <w:family w:val="modern"/>
    <w:pitch w:val="default"/>
    <w:sig w:usb0="800002BF" w:usb1="38CF7CFA" w:usb2="00000016" w:usb3="00000000" w:csb0="00040001" w:csb1="00000000"/>
    <w:embedRegular r:id="rId4" w:fontKey="{F9E8A136-BBC1-4751-99C9-21DB6A19E47E}"/>
  </w:font>
  <w:font w:name="Calibri Light">
    <w:panose1 w:val="020F0302020204030204"/>
    <w:charset w:val="00"/>
    <w:family w:val="auto"/>
    <w:pitch w:val="default"/>
    <w:sig w:usb0="E0002AFF" w:usb1="C000247B" w:usb2="00000009" w:usb3="00000000" w:csb0="200001FF" w:csb1="00000000"/>
  </w:font>
  <w:font w:name="华文中宋">
    <w:panose1 w:val="02010600040101010101"/>
    <w:charset w:val="86"/>
    <w:family w:val="auto"/>
    <w:pitch w:val="default"/>
    <w:sig w:usb0="00000287" w:usb1="080F0000" w:usb2="00000000" w:usb3="00000000" w:csb0="0004009F" w:csb1="DFD70000"/>
  </w:font>
  <w:font w:name="方正魏碑简体">
    <w:altName w:val="微软雅黑"/>
    <w:panose1 w:val="00000000000000000000"/>
    <w:charset w:val="86"/>
    <w:family w:val="auto"/>
    <w:pitch w:val="default"/>
    <w:sig w:usb0="00000000" w:usb1="00000000" w:usb2="00000010" w:usb3="00000000" w:csb0="00040000" w:csb1="00000000"/>
    <w:embedRegular r:id="rId5" w:fontKey="{E0BC5FF1-581A-4A9D-A3B7-2CBCC26D766E}"/>
  </w:font>
  <w:font w:name="微软雅黑">
    <w:panose1 w:val="020B0503020204020204"/>
    <w:charset w:val="86"/>
    <w:family w:val="auto"/>
    <w:pitch w:val="default"/>
    <w:sig w:usb0="80000287" w:usb1="2ACF3C50" w:usb2="00000016" w:usb3="00000000" w:csb0="0004001F" w:csb1="00000000"/>
  </w:font>
  <w:font w:name="思源黑体 CN Heavy">
    <w:altName w:val="黑体"/>
    <w:panose1 w:val="00000000000000000000"/>
    <w:charset w:val="86"/>
    <w:family w:val="swiss"/>
    <w:pitch w:val="default"/>
    <w:sig w:usb0="00000000" w:usb1="00000000" w:usb2="00000016" w:usb3="00000000" w:csb0="00060107" w:csb1="00000000"/>
    <w:embedRegular r:id="rId6" w:fontKey="{0E168DDD-0ED7-45ED-B32F-0DA7F9967D40}"/>
  </w:font>
  <w:font w:name="楷体_GB2312">
    <w:panose1 w:val="02010609030101010101"/>
    <w:charset w:val="86"/>
    <w:family w:val="auto"/>
    <w:pitch w:val="default"/>
    <w:sig w:usb0="00000001" w:usb1="080E0000" w:usb2="00000000" w:usb3="00000000" w:csb0="00040000" w:csb1="00000000"/>
    <w:embedRegular r:id="rId7" w:fontKey="{BC0388F2-549F-4F83-B5F8-9516E3D4F1C9}"/>
  </w:font>
  <w:font w:name="仿宋_GB2312">
    <w:panose1 w:val="02010609030101010101"/>
    <w:charset w:val="86"/>
    <w:family w:val="auto"/>
    <w:pitch w:val="default"/>
    <w:sig w:usb0="00000001" w:usb1="080E0000" w:usb2="00000000" w:usb3="00000000" w:csb0="00040000" w:csb1="00000000"/>
    <w:embedRegular r:id="rId8" w:fontKey="{4B3E8C9C-D5FC-4024-9B47-D8E173F8025A}"/>
  </w:font>
  <w:font w:name="ArialUnicodeMS">
    <w:altName w:val="Malgun Gothic"/>
    <w:panose1 w:val="00000000000000000000"/>
    <w:charset w:val="81"/>
    <w:family w:val="auto"/>
    <w:pitch w:val="default"/>
    <w:sig w:usb0="00000000" w:usb1="00000000" w:usb2="00000010" w:usb3="00000000" w:csb0="00080001" w:csb1="00000000"/>
    <w:embedRegular r:id="rId9" w:fontKey="{60F0F69B-5DBE-4D18-BB97-B308746D69A9}"/>
  </w:font>
  <w:font w:name="Malgun Gothic">
    <w:panose1 w:val="020B0503020000020004"/>
    <w:charset w:val="81"/>
    <w:family w:val="auto"/>
    <w:pitch w:val="default"/>
    <w:sig w:usb0="9000002F" w:usb1="29D77CFB" w:usb2="00000012" w:usb3="00000000" w:csb0="00080001" w:csb1="00000000"/>
  </w:font>
  <w:font w:name="方正仿宋_GB2312">
    <w:panose1 w:val="02000000000000000000"/>
    <w:charset w:val="86"/>
    <w:family w:val="auto"/>
    <w:pitch w:val="default"/>
    <w:sig w:usb0="A00002BF" w:usb1="184F6CFA" w:usb2="00000012" w:usb3="00000000" w:csb0="00040001" w:csb1="00000000"/>
    <w:embedRegular r:id="rId10" w:fontKey="{3E1EE97D-2F67-41E3-BD80-3759FEAB3221}"/>
  </w:font>
  <w:font w:name="DengXian-Regular">
    <w:altName w:val="宋体"/>
    <w:panose1 w:val="00000000000000000000"/>
    <w:charset w:val="86"/>
    <w:family w:val="auto"/>
    <w:pitch w:val="default"/>
    <w:sig w:usb0="00000000" w:usb1="00000000" w:usb2="00000010" w:usb3="00000000" w:csb0="00040001" w:csb1="00000000"/>
    <w:embedRegular r:id="rId11" w:fontKey="{3CF0499C-79DD-41AD-AD46-F2A29B322CB3}"/>
  </w:font>
  <w:font w:name="DengXian-Bold">
    <w:altName w:val="宋体"/>
    <w:panose1 w:val="00000000000000000000"/>
    <w:charset w:val="86"/>
    <w:family w:val="auto"/>
    <w:pitch w:val="default"/>
    <w:sig w:usb0="00000000" w:usb1="00000000" w:usb2="00000010" w:usb3="00000000" w:csb0="00040001" w:csb1="00000000"/>
    <w:embedRegular r:id="rId12" w:fontKey="{5E69C30C-47B0-4BC2-BAF4-6CB69FF35F6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31EB42C"/>
    <w:multiLevelType w:val="singleLevel"/>
    <w:tmpl w:val="F31EB42C"/>
    <w:lvl w:ilvl="0" w:tentative="0">
      <w:start w:val="4"/>
      <w:numFmt w:val="chineseCounting"/>
      <w:suff w:val="nothing"/>
      <w:lvlText w:val="（%1）"/>
      <w:lvlJc w:val="left"/>
      <w:rPr>
        <w:rFonts w:hint="eastAsia"/>
      </w:rPr>
    </w:lvl>
  </w:abstractNum>
  <w:abstractNum w:abstractNumId="1">
    <w:nsid w:val="19B89B8C"/>
    <w:multiLevelType w:val="singleLevel"/>
    <w:tmpl w:val="19B89B8C"/>
    <w:lvl w:ilvl="0" w:tentative="0">
      <w:start w:val="3"/>
      <w:numFmt w:val="chineseCounting"/>
      <w:suff w:val="nothing"/>
      <w:lvlText w:val="（%1）"/>
      <w:lvlJc w:val="left"/>
      <w:rPr>
        <w:rFonts w:hint="eastAsia"/>
      </w:rPr>
    </w:lvl>
  </w:abstractNum>
  <w:abstractNum w:abstractNumId="2">
    <w:nsid w:val="3497ED3E"/>
    <w:multiLevelType w:val="singleLevel"/>
    <w:tmpl w:val="3497ED3E"/>
    <w:lvl w:ilvl="0" w:tentative="0">
      <w:start w:val="2"/>
      <w:numFmt w:val="decimal"/>
      <w:suff w:val="nothing"/>
      <w:lvlText w:val="%1、"/>
      <w:lvlJc w:val="left"/>
    </w:lvl>
  </w:abstractNum>
  <w:abstractNum w:abstractNumId="3">
    <w:nsid w:val="5F16A424"/>
    <w:multiLevelType w:val="multilevel"/>
    <w:tmpl w:val="5F16A424"/>
    <w:lvl w:ilvl="0" w:tentative="0">
      <w:start w:val="1"/>
      <w:numFmt w:val="decimal"/>
      <w:pStyle w:val="3"/>
      <w:lvlText w:val="%1."/>
      <w:lvlJc w:val="left"/>
      <w:pPr>
        <w:ind w:left="425" w:hanging="425"/>
      </w:pPr>
      <w:rPr>
        <w:rFonts w:hint="default"/>
      </w:rPr>
    </w:lvl>
    <w:lvl w:ilvl="1" w:tentative="0">
      <w:start w:val="1"/>
      <w:numFmt w:val="decimal"/>
      <w:pStyle w:val="4"/>
      <w:lvlText w:val="%1.%2."/>
      <w:lvlJc w:val="left"/>
      <w:pPr>
        <w:ind w:left="567" w:hanging="567"/>
      </w:pPr>
      <w:rPr>
        <w:rFonts w:hint="default"/>
      </w:rPr>
    </w:lvl>
    <w:lvl w:ilvl="2" w:tentative="0">
      <w:start w:val="1"/>
      <w:numFmt w:val="decimal"/>
      <w:pStyle w:val="2"/>
      <w:lvlText w:val="%1.%2.%3."/>
      <w:lvlJc w:val="left"/>
      <w:pPr>
        <w:ind w:left="709" w:hanging="709"/>
      </w:pPr>
      <w:rPr>
        <w:rFonts w:hint="default"/>
      </w:rPr>
    </w:lvl>
    <w:lvl w:ilvl="3" w:tentative="0">
      <w:start w:val="1"/>
      <w:numFmt w:val="decimal"/>
      <w:pStyle w:val="5"/>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jb3VudCI6OTgsImhkaWQiOiJmMDZkNDQyM2RjZjVjOWViMDYxYWM0ZmMwNjNlNDYzOSIsInVzZXJDb3VudCI6Mjl9"/>
  </w:docVars>
  <w:rsids>
    <w:rsidRoot w:val="00000000"/>
    <w:rsid w:val="00086151"/>
    <w:rsid w:val="00236F8C"/>
    <w:rsid w:val="00822154"/>
    <w:rsid w:val="00C65689"/>
    <w:rsid w:val="00CC2C8E"/>
    <w:rsid w:val="01A03C5A"/>
    <w:rsid w:val="01A5267D"/>
    <w:rsid w:val="01AF6A8D"/>
    <w:rsid w:val="024808A2"/>
    <w:rsid w:val="025C3821"/>
    <w:rsid w:val="02DA3B1B"/>
    <w:rsid w:val="02E57B4D"/>
    <w:rsid w:val="03450B90"/>
    <w:rsid w:val="037B12D4"/>
    <w:rsid w:val="03804D63"/>
    <w:rsid w:val="03FB73B0"/>
    <w:rsid w:val="049C1B9D"/>
    <w:rsid w:val="04BD008C"/>
    <w:rsid w:val="04C55939"/>
    <w:rsid w:val="04DA28BB"/>
    <w:rsid w:val="04F528BE"/>
    <w:rsid w:val="050E10CE"/>
    <w:rsid w:val="054F2DFB"/>
    <w:rsid w:val="05991C82"/>
    <w:rsid w:val="061416A9"/>
    <w:rsid w:val="061D60A6"/>
    <w:rsid w:val="06236884"/>
    <w:rsid w:val="06B07006"/>
    <w:rsid w:val="06FC7C2A"/>
    <w:rsid w:val="07533AFE"/>
    <w:rsid w:val="078B7CA7"/>
    <w:rsid w:val="07B3657A"/>
    <w:rsid w:val="07C857D0"/>
    <w:rsid w:val="08AB5AAF"/>
    <w:rsid w:val="09012C64"/>
    <w:rsid w:val="093B2E99"/>
    <w:rsid w:val="095D7943"/>
    <w:rsid w:val="09C006C6"/>
    <w:rsid w:val="0A10621F"/>
    <w:rsid w:val="0A464C4F"/>
    <w:rsid w:val="0A6729A3"/>
    <w:rsid w:val="0A694877"/>
    <w:rsid w:val="0AA954BE"/>
    <w:rsid w:val="0ACD40FF"/>
    <w:rsid w:val="0AE70639"/>
    <w:rsid w:val="0B4F5E6D"/>
    <w:rsid w:val="0B753AE2"/>
    <w:rsid w:val="0BB67D0A"/>
    <w:rsid w:val="0BC56230"/>
    <w:rsid w:val="0BCF21BD"/>
    <w:rsid w:val="0C4E53E8"/>
    <w:rsid w:val="0C6712D6"/>
    <w:rsid w:val="0C9F7900"/>
    <w:rsid w:val="0CB23317"/>
    <w:rsid w:val="0CDE75F6"/>
    <w:rsid w:val="0D101068"/>
    <w:rsid w:val="0D4E13BE"/>
    <w:rsid w:val="0D7557DF"/>
    <w:rsid w:val="0D853E34"/>
    <w:rsid w:val="0D9C2A57"/>
    <w:rsid w:val="0DFA5D82"/>
    <w:rsid w:val="0E1E52CE"/>
    <w:rsid w:val="0E866524"/>
    <w:rsid w:val="0E9268D3"/>
    <w:rsid w:val="0E957F1F"/>
    <w:rsid w:val="0F0E7284"/>
    <w:rsid w:val="0F28110F"/>
    <w:rsid w:val="0F37083F"/>
    <w:rsid w:val="0F615CE4"/>
    <w:rsid w:val="0F891DB8"/>
    <w:rsid w:val="0FAA3B86"/>
    <w:rsid w:val="10191346"/>
    <w:rsid w:val="102A01A6"/>
    <w:rsid w:val="10754A6C"/>
    <w:rsid w:val="108B537D"/>
    <w:rsid w:val="10B11DB1"/>
    <w:rsid w:val="11177F57"/>
    <w:rsid w:val="11217C97"/>
    <w:rsid w:val="11464C20"/>
    <w:rsid w:val="115E4926"/>
    <w:rsid w:val="118A1FFA"/>
    <w:rsid w:val="11E35B5A"/>
    <w:rsid w:val="11E42DD6"/>
    <w:rsid w:val="125F5A1B"/>
    <w:rsid w:val="126979D6"/>
    <w:rsid w:val="129E45A7"/>
    <w:rsid w:val="13074404"/>
    <w:rsid w:val="136A5C00"/>
    <w:rsid w:val="13B97B08"/>
    <w:rsid w:val="13C527AC"/>
    <w:rsid w:val="14711797"/>
    <w:rsid w:val="147B6F17"/>
    <w:rsid w:val="14D42061"/>
    <w:rsid w:val="15081C8B"/>
    <w:rsid w:val="15090D5C"/>
    <w:rsid w:val="15CF053D"/>
    <w:rsid w:val="15E0131A"/>
    <w:rsid w:val="16457D9F"/>
    <w:rsid w:val="16B5089D"/>
    <w:rsid w:val="17223EFF"/>
    <w:rsid w:val="17AA5F28"/>
    <w:rsid w:val="17B713F6"/>
    <w:rsid w:val="184350A0"/>
    <w:rsid w:val="18935485"/>
    <w:rsid w:val="18A34206"/>
    <w:rsid w:val="18DE3B2C"/>
    <w:rsid w:val="1906685D"/>
    <w:rsid w:val="19111683"/>
    <w:rsid w:val="19353916"/>
    <w:rsid w:val="193E101D"/>
    <w:rsid w:val="19C10AF1"/>
    <w:rsid w:val="1A017CDA"/>
    <w:rsid w:val="1A2672DE"/>
    <w:rsid w:val="1AA81D42"/>
    <w:rsid w:val="1AB433D9"/>
    <w:rsid w:val="1AFB6D70"/>
    <w:rsid w:val="1B0032DD"/>
    <w:rsid w:val="1B1B11EE"/>
    <w:rsid w:val="1B3719E0"/>
    <w:rsid w:val="1B6261C3"/>
    <w:rsid w:val="1B731730"/>
    <w:rsid w:val="1B882BB5"/>
    <w:rsid w:val="1B9B33C7"/>
    <w:rsid w:val="1B9D7FEC"/>
    <w:rsid w:val="1BA55461"/>
    <w:rsid w:val="1BE74496"/>
    <w:rsid w:val="1C3D67D1"/>
    <w:rsid w:val="1C40731A"/>
    <w:rsid w:val="1C506572"/>
    <w:rsid w:val="1C560392"/>
    <w:rsid w:val="1C581532"/>
    <w:rsid w:val="1C776FFB"/>
    <w:rsid w:val="1CA15E03"/>
    <w:rsid w:val="1CA24F0C"/>
    <w:rsid w:val="1CF8716C"/>
    <w:rsid w:val="1D1E545A"/>
    <w:rsid w:val="1D4B1F5B"/>
    <w:rsid w:val="1D6C5CA0"/>
    <w:rsid w:val="1D725586"/>
    <w:rsid w:val="1D745B4F"/>
    <w:rsid w:val="1D867987"/>
    <w:rsid w:val="1D944010"/>
    <w:rsid w:val="1DD70E85"/>
    <w:rsid w:val="1DE74AD7"/>
    <w:rsid w:val="1DF60A19"/>
    <w:rsid w:val="1DFA6713"/>
    <w:rsid w:val="1E050843"/>
    <w:rsid w:val="1E155BC7"/>
    <w:rsid w:val="1E2D3FB0"/>
    <w:rsid w:val="1E2E50F1"/>
    <w:rsid w:val="1E3B4E26"/>
    <w:rsid w:val="1EDF707D"/>
    <w:rsid w:val="1F394761"/>
    <w:rsid w:val="1F65664C"/>
    <w:rsid w:val="1F7C149A"/>
    <w:rsid w:val="1F84140D"/>
    <w:rsid w:val="1F9B7FFD"/>
    <w:rsid w:val="1F9C7614"/>
    <w:rsid w:val="1FBE1971"/>
    <w:rsid w:val="2008768D"/>
    <w:rsid w:val="204B327F"/>
    <w:rsid w:val="204C2B10"/>
    <w:rsid w:val="207D30AD"/>
    <w:rsid w:val="209064B9"/>
    <w:rsid w:val="20970D81"/>
    <w:rsid w:val="20D165D5"/>
    <w:rsid w:val="210878E6"/>
    <w:rsid w:val="210E1408"/>
    <w:rsid w:val="211069AD"/>
    <w:rsid w:val="21573FAB"/>
    <w:rsid w:val="2172069C"/>
    <w:rsid w:val="21987BC4"/>
    <w:rsid w:val="21BE314A"/>
    <w:rsid w:val="220451AB"/>
    <w:rsid w:val="2237486E"/>
    <w:rsid w:val="223D1378"/>
    <w:rsid w:val="22451BC7"/>
    <w:rsid w:val="22940650"/>
    <w:rsid w:val="22AD4B1E"/>
    <w:rsid w:val="22D31DF3"/>
    <w:rsid w:val="22FD3CF7"/>
    <w:rsid w:val="232C221B"/>
    <w:rsid w:val="2356249E"/>
    <w:rsid w:val="236E713A"/>
    <w:rsid w:val="23700968"/>
    <w:rsid w:val="238761A6"/>
    <w:rsid w:val="23920578"/>
    <w:rsid w:val="23BB6F9A"/>
    <w:rsid w:val="23FC3864"/>
    <w:rsid w:val="244F252C"/>
    <w:rsid w:val="24857B00"/>
    <w:rsid w:val="24F25212"/>
    <w:rsid w:val="251B0465"/>
    <w:rsid w:val="254B0AC6"/>
    <w:rsid w:val="25571AB6"/>
    <w:rsid w:val="25B40AD6"/>
    <w:rsid w:val="25BE7872"/>
    <w:rsid w:val="25BF702A"/>
    <w:rsid w:val="264D2D17"/>
    <w:rsid w:val="26D50E55"/>
    <w:rsid w:val="271A539C"/>
    <w:rsid w:val="274972D4"/>
    <w:rsid w:val="27AA3D97"/>
    <w:rsid w:val="27DC1F8E"/>
    <w:rsid w:val="280A3758"/>
    <w:rsid w:val="289057C5"/>
    <w:rsid w:val="28A67C7A"/>
    <w:rsid w:val="28EA3248"/>
    <w:rsid w:val="28F879DA"/>
    <w:rsid w:val="291D155C"/>
    <w:rsid w:val="294B7731"/>
    <w:rsid w:val="29514455"/>
    <w:rsid w:val="29D21FF2"/>
    <w:rsid w:val="2A611B0F"/>
    <w:rsid w:val="2A9172BF"/>
    <w:rsid w:val="2AC1762B"/>
    <w:rsid w:val="2AC4736E"/>
    <w:rsid w:val="2AE845D0"/>
    <w:rsid w:val="2AF43A06"/>
    <w:rsid w:val="2B4975FB"/>
    <w:rsid w:val="2B695031"/>
    <w:rsid w:val="2B735A8F"/>
    <w:rsid w:val="2BA7478D"/>
    <w:rsid w:val="2BB038DB"/>
    <w:rsid w:val="2BB761E0"/>
    <w:rsid w:val="2BB812F9"/>
    <w:rsid w:val="2BE35C27"/>
    <w:rsid w:val="2BFA504B"/>
    <w:rsid w:val="2C681F1F"/>
    <w:rsid w:val="2C8608DC"/>
    <w:rsid w:val="2CA4764A"/>
    <w:rsid w:val="2CC42ECA"/>
    <w:rsid w:val="2CD3241F"/>
    <w:rsid w:val="2CDA4349"/>
    <w:rsid w:val="2D225539"/>
    <w:rsid w:val="2D4618D2"/>
    <w:rsid w:val="2D5F021B"/>
    <w:rsid w:val="2D6E1286"/>
    <w:rsid w:val="2D70583E"/>
    <w:rsid w:val="2E0725DC"/>
    <w:rsid w:val="2E1B4BB8"/>
    <w:rsid w:val="2E256CB6"/>
    <w:rsid w:val="2E5F27E4"/>
    <w:rsid w:val="2EBD223E"/>
    <w:rsid w:val="2EC10AD1"/>
    <w:rsid w:val="2ECB6A5A"/>
    <w:rsid w:val="2EFC0112"/>
    <w:rsid w:val="2F2B730D"/>
    <w:rsid w:val="2F9F3DC1"/>
    <w:rsid w:val="2FFC7AC2"/>
    <w:rsid w:val="301430AF"/>
    <w:rsid w:val="30630612"/>
    <w:rsid w:val="308E59B0"/>
    <w:rsid w:val="30B10568"/>
    <w:rsid w:val="30E55DD3"/>
    <w:rsid w:val="30E60399"/>
    <w:rsid w:val="31356AA5"/>
    <w:rsid w:val="313E22F0"/>
    <w:rsid w:val="31B0194C"/>
    <w:rsid w:val="31CE17D1"/>
    <w:rsid w:val="31F406E5"/>
    <w:rsid w:val="32270449"/>
    <w:rsid w:val="323E4515"/>
    <w:rsid w:val="3286389B"/>
    <w:rsid w:val="32CF5C94"/>
    <w:rsid w:val="32D337C7"/>
    <w:rsid w:val="32E200EC"/>
    <w:rsid w:val="32E5408B"/>
    <w:rsid w:val="32EB0D70"/>
    <w:rsid w:val="332868BB"/>
    <w:rsid w:val="333211F3"/>
    <w:rsid w:val="33504B41"/>
    <w:rsid w:val="33857B1D"/>
    <w:rsid w:val="338B4A07"/>
    <w:rsid w:val="33944811"/>
    <w:rsid w:val="33CE0488"/>
    <w:rsid w:val="34262463"/>
    <w:rsid w:val="34296F31"/>
    <w:rsid w:val="34340A27"/>
    <w:rsid w:val="346A2989"/>
    <w:rsid w:val="348865E9"/>
    <w:rsid w:val="348F70D5"/>
    <w:rsid w:val="349D2BAD"/>
    <w:rsid w:val="34B25886"/>
    <w:rsid w:val="35277FF8"/>
    <w:rsid w:val="354B48C1"/>
    <w:rsid w:val="35763460"/>
    <w:rsid w:val="35776F72"/>
    <w:rsid w:val="35997371"/>
    <w:rsid w:val="35DD4D47"/>
    <w:rsid w:val="360134DF"/>
    <w:rsid w:val="360B1E2F"/>
    <w:rsid w:val="360D500F"/>
    <w:rsid w:val="36330424"/>
    <w:rsid w:val="36FE3ABA"/>
    <w:rsid w:val="37072BDE"/>
    <w:rsid w:val="37455334"/>
    <w:rsid w:val="37731921"/>
    <w:rsid w:val="37E509C0"/>
    <w:rsid w:val="37E96FB8"/>
    <w:rsid w:val="38222D85"/>
    <w:rsid w:val="38803721"/>
    <w:rsid w:val="38925A62"/>
    <w:rsid w:val="389F5F4F"/>
    <w:rsid w:val="38C36BA2"/>
    <w:rsid w:val="38F6595C"/>
    <w:rsid w:val="391702A7"/>
    <w:rsid w:val="39286EB6"/>
    <w:rsid w:val="39601DF4"/>
    <w:rsid w:val="396960F3"/>
    <w:rsid w:val="397B107A"/>
    <w:rsid w:val="39840D35"/>
    <w:rsid w:val="39A97DAF"/>
    <w:rsid w:val="39CD1330"/>
    <w:rsid w:val="39DD1AFF"/>
    <w:rsid w:val="3A2510B9"/>
    <w:rsid w:val="3A2B1DFC"/>
    <w:rsid w:val="3AA6422C"/>
    <w:rsid w:val="3AAF46D5"/>
    <w:rsid w:val="3AF562AE"/>
    <w:rsid w:val="3B135A0E"/>
    <w:rsid w:val="3B272BBC"/>
    <w:rsid w:val="3B374FEE"/>
    <w:rsid w:val="3B4410EE"/>
    <w:rsid w:val="3B56159C"/>
    <w:rsid w:val="3B596DF7"/>
    <w:rsid w:val="3B7D732B"/>
    <w:rsid w:val="3BD30423"/>
    <w:rsid w:val="3C6C0B58"/>
    <w:rsid w:val="3CBE41D5"/>
    <w:rsid w:val="3D446B0E"/>
    <w:rsid w:val="3D953A6B"/>
    <w:rsid w:val="3DBB5979"/>
    <w:rsid w:val="3DD56F21"/>
    <w:rsid w:val="3E1057AF"/>
    <w:rsid w:val="3E6C0DFA"/>
    <w:rsid w:val="3E740322"/>
    <w:rsid w:val="3E7F4380"/>
    <w:rsid w:val="3E8D171B"/>
    <w:rsid w:val="3EA5630D"/>
    <w:rsid w:val="3EBA731B"/>
    <w:rsid w:val="3EE33949"/>
    <w:rsid w:val="3EFB5800"/>
    <w:rsid w:val="3F3B4E59"/>
    <w:rsid w:val="3F6E677C"/>
    <w:rsid w:val="3F712F46"/>
    <w:rsid w:val="3FBC0EF7"/>
    <w:rsid w:val="3FCD2AB9"/>
    <w:rsid w:val="3FD17600"/>
    <w:rsid w:val="4050218A"/>
    <w:rsid w:val="405C7868"/>
    <w:rsid w:val="408B24EB"/>
    <w:rsid w:val="408D1DBF"/>
    <w:rsid w:val="40C652D1"/>
    <w:rsid w:val="417044B8"/>
    <w:rsid w:val="41A203A0"/>
    <w:rsid w:val="41C77987"/>
    <w:rsid w:val="41E83F8C"/>
    <w:rsid w:val="422D1842"/>
    <w:rsid w:val="425B7C31"/>
    <w:rsid w:val="427D66D0"/>
    <w:rsid w:val="42BC7E02"/>
    <w:rsid w:val="42C82575"/>
    <w:rsid w:val="43022EE1"/>
    <w:rsid w:val="431A5F8F"/>
    <w:rsid w:val="431F247A"/>
    <w:rsid w:val="43335E8F"/>
    <w:rsid w:val="433F2968"/>
    <w:rsid w:val="43655F7F"/>
    <w:rsid w:val="43676E20"/>
    <w:rsid w:val="43A31040"/>
    <w:rsid w:val="43BF774E"/>
    <w:rsid w:val="43CD062F"/>
    <w:rsid w:val="43E214F9"/>
    <w:rsid w:val="43F06264"/>
    <w:rsid w:val="44404C8E"/>
    <w:rsid w:val="447537F1"/>
    <w:rsid w:val="44870D07"/>
    <w:rsid w:val="45344EFF"/>
    <w:rsid w:val="45513D03"/>
    <w:rsid w:val="45541E1C"/>
    <w:rsid w:val="45FE7734"/>
    <w:rsid w:val="460A063E"/>
    <w:rsid w:val="461F0A8B"/>
    <w:rsid w:val="4648721E"/>
    <w:rsid w:val="46663E71"/>
    <w:rsid w:val="466A37AC"/>
    <w:rsid w:val="46CB071B"/>
    <w:rsid w:val="46DB0013"/>
    <w:rsid w:val="46DE140B"/>
    <w:rsid w:val="46E77334"/>
    <w:rsid w:val="46F22E29"/>
    <w:rsid w:val="46F7142F"/>
    <w:rsid w:val="47107AE3"/>
    <w:rsid w:val="473C62ED"/>
    <w:rsid w:val="47617242"/>
    <w:rsid w:val="478C16C9"/>
    <w:rsid w:val="47BD246B"/>
    <w:rsid w:val="47CB2B0C"/>
    <w:rsid w:val="47E773CE"/>
    <w:rsid w:val="47EE2C9A"/>
    <w:rsid w:val="47F00499"/>
    <w:rsid w:val="48015FF5"/>
    <w:rsid w:val="483820D2"/>
    <w:rsid w:val="48692CD0"/>
    <w:rsid w:val="48AE3D01"/>
    <w:rsid w:val="49067B2F"/>
    <w:rsid w:val="49677E31"/>
    <w:rsid w:val="496C2225"/>
    <w:rsid w:val="49AE2880"/>
    <w:rsid w:val="49F42EAF"/>
    <w:rsid w:val="4A337323"/>
    <w:rsid w:val="4A5B28DC"/>
    <w:rsid w:val="4AA06B93"/>
    <w:rsid w:val="4ADB18EB"/>
    <w:rsid w:val="4B96118E"/>
    <w:rsid w:val="4BAE1B66"/>
    <w:rsid w:val="4BED4708"/>
    <w:rsid w:val="4BF133DC"/>
    <w:rsid w:val="4C507D4A"/>
    <w:rsid w:val="4C690909"/>
    <w:rsid w:val="4CDF5563"/>
    <w:rsid w:val="4CFB2214"/>
    <w:rsid w:val="4D2C4D26"/>
    <w:rsid w:val="4D335E0E"/>
    <w:rsid w:val="4D4E4EA3"/>
    <w:rsid w:val="4D9A5B1B"/>
    <w:rsid w:val="4DA55D85"/>
    <w:rsid w:val="4DBB20DB"/>
    <w:rsid w:val="4DDC3F22"/>
    <w:rsid w:val="4DE66FB2"/>
    <w:rsid w:val="4E1040C7"/>
    <w:rsid w:val="4E1760BF"/>
    <w:rsid w:val="4E30647F"/>
    <w:rsid w:val="4EBA03C3"/>
    <w:rsid w:val="4EBC5459"/>
    <w:rsid w:val="4ED94CB0"/>
    <w:rsid w:val="4EEC2ED3"/>
    <w:rsid w:val="4F0E56EA"/>
    <w:rsid w:val="4F2E11BC"/>
    <w:rsid w:val="4F3C4343"/>
    <w:rsid w:val="4F416688"/>
    <w:rsid w:val="4F5620B0"/>
    <w:rsid w:val="4F616EB4"/>
    <w:rsid w:val="4F6654EE"/>
    <w:rsid w:val="4F7379C6"/>
    <w:rsid w:val="4F872BDB"/>
    <w:rsid w:val="4FA033E9"/>
    <w:rsid w:val="4FA743DA"/>
    <w:rsid w:val="4FB3565A"/>
    <w:rsid w:val="4FBF7ABB"/>
    <w:rsid w:val="503D1C79"/>
    <w:rsid w:val="507A6406"/>
    <w:rsid w:val="50816453"/>
    <w:rsid w:val="50853863"/>
    <w:rsid w:val="508A4590"/>
    <w:rsid w:val="50982C04"/>
    <w:rsid w:val="50F1461D"/>
    <w:rsid w:val="50FE5411"/>
    <w:rsid w:val="510B072E"/>
    <w:rsid w:val="511B0BF4"/>
    <w:rsid w:val="51264306"/>
    <w:rsid w:val="516123CE"/>
    <w:rsid w:val="51932FAD"/>
    <w:rsid w:val="51B177A9"/>
    <w:rsid w:val="51E066EB"/>
    <w:rsid w:val="52640E8B"/>
    <w:rsid w:val="5267570A"/>
    <w:rsid w:val="52707792"/>
    <w:rsid w:val="52A12CDC"/>
    <w:rsid w:val="52DF0C92"/>
    <w:rsid w:val="52E1159C"/>
    <w:rsid w:val="52E34D6A"/>
    <w:rsid w:val="531E524E"/>
    <w:rsid w:val="534072EB"/>
    <w:rsid w:val="537648BE"/>
    <w:rsid w:val="538E2D0B"/>
    <w:rsid w:val="53922782"/>
    <w:rsid w:val="539C1424"/>
    <w:rsid w:val="53A639C0"/>
    <w:rsid w:val="53F00A24"/>
    <w:rsid w:val="53F63DBA"/>
    <w:rsid w:val="54164A93"/>
    <w:rsid w:val="5448624E"/>
    <w:rsid w:val="546E2B1A"/>
    <w:rsid w:val="5482555F"/>
    <w:rsid w:val="54AA6F8B"/>
    <w:rsid w:val="54D26583"/>
    <w:rsid w:val="55363E67"/>
    <w:rsid w:val="556E6DF7"/>
    <w:rsid w:val="55965CE3"/>
    <w:rsid w:val="559D47CE"/>
    <w:rsid w:val="55BE1959"/>
    <w:rsid w:val="56232437"/>
    <w:rsid w:val="56541A75"/>
    <w:rsid w:val="568832FC"/>
    <w:rsid w:val="568C4181"/>
    <w:rsid w:val="570725A9"/>
    <w:rsid w:val="5714693E"/>
    <w:rsid w:val="571D0C9C"/>
    <w:rsid w:val="573A16CE"/>
    <w:rsid w:val="579C7F80"/>
    <w:rsid w:val="57B30D7C"/>
    <w:rsid w:val="57FF75EE"/>
    <w:rsid w:val="58160C8E"/>
    <w:rsid w:val="58166B03"/>
    <w:rsid w:val="583E3C94"/>
    <w:rsid w:val="58721734"/>
    <w:rsid w:val="58900246"/>
    <w:rsid w:val="58977358"/>
    <w:rsid w:val="58D53944"/>
    <w:rsid w:val="58D65478"/>
    <w:rsid w:val="58F52487"/>
    <w:rsid w:val="590422E6"/>
    <w:rsid w:val="592257E5"/>
    <w:rsid w:val="59655E33"/>
    <w:rsid w:val="59CF5BD9"/>
    <w:rsid w:val="59E20C3C"/>
    <w:rsid w:val="5A1D5B0A"/>
    <w:rsid w:val="5A3B4B4E"/>
    <w:rsid w:val="5A4804CA"/>
    <w:rsid w:val="5A594C85"/>
    <w:rsid w:val="5A8842AA"/>
    <w:rsid w:val="5AEB1E3C"/>
    <w:rsid w:val="5B1E5FDD"/>
    <w:rsid w:val="5B2507CA"/>
    <w:rsid w:val="5B2A474A"/>
    <w:rsid w:val="5B830730"/>
    <w:rsid w:val="5BBB2DD6"/>
    <w:rsid w:val="5BE263B6"/>
    <w:rsid w:val="5C8E5C5A"/>
    <w:rsid w:val="5C965E61"/>
    <w:rsid w:val="5CF0089C"/>
    <w:rsid w:val="5CF5796F"/>
    <w:rsid w:val="5D242A11"/>
    <w:rsid w:val="5D9217C2"/>
    <w:rsid w:val="5DAD06BF"/>
    <w:rsid w:val="5DE23CB3"/>
    <w:rsid w:val="5DE97EEC"/>
    <w:rsid w:val="5DFA5EB0"/>
    <w:rsid w:val="5E000E4D"/>
    <w:rsid w:val="5E0B583E"/>
    <w:rsid w:val="5E201A7B"/>
    <w:rsid w:val="5EA45884"/>
    <w:rsid w:val="5EBD0484"/>
    <w:rsid w:val="5F2C5C7C"/>
    <w:rsid w:val="5F36141C"/>
    <w:rsid w:val="5FB213EA"/>
    <w:rsid w:val="5FC5273F"/>
    <w:rsid w:val="604F6C39"/>
    <w:rsid w:val="60806DF2"/>
    <w:rsid w:val="60C72393"/>
    <w:rsid w:val="61072DA5"/>
    <w:rsid w:val="611C0817"/>
    <w:rsid w:val="61224A52"/>
    <w:rsid w:val="61520CCB"/>
    <w:rsid w:val="61851A29"/>
    <w:rsid w:val="622D1522"/>
    <w:rsid w:val="622E0574"/>
    <w:rsid w:val="62683B6B"/>
    <w:rsid w:val="6275761C"/>
    <w:rsid w:val="62816E52"/>
    <w:rsid w:val="62AC5944"/>
    <w:rsid w:val="632F3F8A"/>
    <w:rsid w:val="637279B4"/>
    <w:rsid w:val="63817D2B"/>
    <w:rsid w:val="63BD1FA9"/>
    <w:rsid w:val="63D175D1"/>
    <w:rsid w:val="63D27965"/>
    <w:rsid w:val="63F4667E"/>
    <w:rsid w:val="64095516"/>
    <w:rsid w:val="641A2468"/>
    <w:rsid w:val="64372F20"/>
    <w:rsid w:val="64DC72D7"/>
    <w:rsid w:val="653619A6"/>
    <w:rsid w:val="65610A02"/>
    <w:rsid w:val="65A11EA3"/>
    <w:rsid w:val="65AC3D66"/>
    <w:rsid w:val="65BB5334"/>
    <w:rsid w:val="663E1DBA"/>
    <w:rsid w:val="665D0213"/>
    <w:rsid w:val="669E59F1"/>
    <w:rsid w:val="66A2024B"/>
    <w:rsid w:val="6704732B"/>
    <w:rsid w:val="670F6731"/>
    <w:rsid w:val="67585CB0"/>
    <w:rsid w:val="67770F0C"/>
    <w:rsid w:val="67A3717C"/>
    <w:rsid w:val="67B03535"/>
    <w:rsid w:val="68174F69"/>
    <w:rsid w:val="682C436A"/>
    <w:rsid w:val="68382778"/>
    <w:rsid w:val="68391F41"/>
    <w:rsid w:val="68436B8C"/>
    <w:rsid w:val="68797358"/>
    <w:rsid w:val="6884624F"/>
    <w:rsid w:val="68A519DF"/>
    <w:rsid w:val="68C4160B"/>
    <w:rsid w:val="68C41C30"/>
    <w:rsid w:val="68CF3BA4"/>
    <w:rsid w:val="69216C99"/>
    <w:rsid w:val="69257FA7"/>
    <w:rsid w:val="693F26C7"/>
    <w:rsid w:val="697E12B2"/>
    <w:rsid w:val="69C8706D"/>
    <w:rsid w:val="6A0A4E6F"/>
    <w:rsid w:val="6A0E3FB4"/>
    <w:rsid w:val="6A292754"/>
    <w:rsid w:val="6A5E3B28"/>
    <w:rsid w:val="6A6B1EBE"/>
    <w:rsid w:val="6A8F43F7"/>
    <w:rsid w:val="6AD625F3"/>
    <w:rsid w:val="6B7218BE"/>
    <w:rsid w:val="6B750BA9"/>
    <w:rsid w:val="6BB93285"/>
    <w:rsid w:val="6C0C698C"/>
    <w:rsid w:val="6C222401"/>
    <w:rsid w:val="6C56267F"/>
    <w:rsid w:val="6C826EF9"/>
    <w:rsid w:val="6CAE4C93"/>
    <w:rsid w:val="6CB14F16"/>
    <w:rsid w:val="6CEC2069"/>
    <w:rsid w:val="6D0B1869"/>
    <w:rsid w:val="6D65402D"/>
    <w:rsid w:val="6D683822"/>
    <w:rsid w:val="6D8D136C"/>
    <w:rsid w:val="6DBF2759"/>
    <w:rsid w:val="6DC96F36"/>
    <w:rsid w:val="6DFA3EBF"/>
    <w:rsid w:val="6E3E63D2"/>
    <w:rsid w:val="6E5F7BE6"/>
    <w:rsid w:val="6E6361E8"/>
    <w:rsid w:val="6E6918C6"/>
    <w:rsid w:val="6EEB4AC4"/>
    <w:rsid w:val="6F212DD6"/>
    <w:rsid w:val="6F3B5912"/>
    <w:rsid w:val="6FA14A81"/>
    <w:rsid w:val="6FA3261F"/>
    <w:rsid w:val="700D6539"/>
    <w:rsid w:val="704203E3"/>
    <w:rsid w:val="7058046B"/>
    <w:rsid w:val="707F2079"/>
    <w:rsid w:val="70922734"/>
    <w:rsid w:val="70CE6DC7"/>
    <w:rsid w:val="710B3646"/>
    <w:rsid w:val="711759F2"/>
    <w:rsid w:val="713C4ED8"/>
    <w:rsid w:val="71407642"/>
    <w:rsid w:val="71641210"/>
    <w:rsid w:val="71D95B7C"/>
    <w:rsid w:val="71EA6A50"/>
    <w:rsid w:val="71FE31A8"/>
    <w:rsid w:val="720C30AE"/>
    <w:rsid w:val="721F6113"/>
    <w:rsid w:val="7233782C"/>
    <w:rsid w:val="73177841"/>
    <w:rsid w:val="733774FE"/>
    <w:rsid w:val="73617E1B"/>
    <w:rsid w:val="736D7653"/>
    <w:rsid w:val="738035CB"/>
    <w:rsid w:val="73852C46"/>
    <w:rsid w:val="7396335C"/>
    <w:rsid w:val="73F46595"/>
    <w:rsid w:val="74283FA2"/>
    <w:rsid w:val="742C135B"/>
    <w:rsid w:val="74463733"/>
    <w:rsid w:val="748A2F40"/>
    <w:rsid w:val="74F85778"/>
    <w:rsid w:val="75104791"/>
    <w:rsid w:val="75272439"/>
    <w:rsid w:val="758F1E9B"/>
    <w:rsid w:val="75CE266B"/>
    <w:rsid w:val="76120141"/>
    <w:rsid w:val="768216BE"/>
    <w:rsid w:val="76C23B43"/>
    <w:rsid w:val="76FD6F97"/>
    <w:rsid w:val="770218E8"/>
    <w:rsid w:val="779469CE"/>
    <w:rsid w:val="77C875A5"/>
    <w:rsid w:val="78A27DF6"/>
    <w:rsid w:val="79285B3A"/>
    <w:rsid w:val="79625CA9"/>
    <w:rsid w:val="79A91196"/>
    <w:rsid w:val="7A0B32D3"/>
    <w:rsid w:val="7AC13CD3"/>
    <w:rsid w:val="7AE10264"/>
    <w:rsid w:val="7AE4248E"/>
    <w:rsid w:val="7B4A207F"/>
    <w:rsid w:val="7B936F45"/>
    <w:rsid w:val="7BA47419"/>
    <w:rsid w:val="7BB10D45"/>
    <w:rsid w:val="7BB44151"/>
    <w:rsid w:val="7C656A39"/>
    <w:rsid w:val="7CB93996"/>
    <w:rsid w:val="7CBE0F99"/>
    <w:rsid w:val="7D4E45F1"/>
    <w:rsid w:val="7DFB6D82"/>
    <w:rsid w:val="7E1D71D1"/>
    <w:rsid w:val="7E246254"/>
    <w:rsid w:val="7E6D090F"/>
    <w:rsid w:val="7ECC66B2"/>
    <w:rsid w:val="7F2914C3"/>
    <w:rsid w:val="7F4D1678"/>
    <w:rsid w:val="7F5F2ED6"/>
    <w:rsid w:val="7FA837EF"/>
    <w:rsid w:val="7FC36955"/>
    <w:rsid w:val="7FE903A0"/>
    <w:rsid w:val="7FF07065"/>
    <w:rsid w:val="7FF97946"/>
    <w:rsid w:val="7FFE788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nhideWhenUsed="0" w:uiPriority="0"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cs="宋体" w:asciiTheme="minorHAnsi" w:hAnsiTheme="minorHAnsi" w:eastAsiaTheme="minorEastAsia"/>
      <w:color w:val="auto"/>
      <w:kern w:val="0"/>
      <w:sz w:val="24"/>
      <w:szCs w:val="24"/>
      <w:lang w:val="en-US" w:eastAsia="zh-CN" w:bidi="ar-SA"/>
    </w:rPr>
  </w:style>
  <w:style w:type="paragraph" w:styleId="3">
    <w:name w:val="heading 1"/>
    <w:basedOn w:val="1"/>
    <w:next w:val="1"/>
    <w:qFormat/>
    <w:uiPriority w:val="0"/>
    <w:pPr>
      <w:keepNext/>
      <w:keepLines/>
      <w:numPr>
        <w:ilvl w:val="0"/>
        <w:numId w:val="1"/>
      </w:numPr>
      <w:adjustRightInd w:val="0"/>
      <w:snapToGrid w:val="0"/>
      <w:spacing w:before="340" w:after="50" w:afterLines="50" w:line="578" w:lineRule="auto"/>
      <w:ind w:left="425" w:hanging="425"/>
      <w:jc w:val="left"/>
      <w:outlineLvl w:val="0"/>
    </w:pPr>
    <w:rPr>
      <w:rFonts w:ascii="Times New Roman" w:hAnsi="Times New Roman" w:eastAsia="仿宋" w:cs="Times New Roman"/>
      <w:b/>
      <w:bCs/>
      <w:kern w:val="44"/>
      <w:sz w:val="36"/>
      <w:szCs w:val="44"/>
    </w:rPr>
  </w:style>
  <w:style w:type="paragraph" w:styleId="4">
    <w:name w:val="heading 2"/>
    <w:basedOn w:val="1"/>
    <w:next w:val="1"/>
    <w:link w:val="15"/>
    <w:semiHidden/>
    <w:unhideWhenUsed/>
    <w:qFormat/>
    <w:uiPriority w:val="9"/>
    <w:pPr>
      <w:widowControl w:val="0"/>
      <w:numPr>
        <w:ilvl w:val="1"/>
        <w:numId w:val="1"/>
      </w:numPr>
      <w:spacing w:line="416" w:lineRule="auto"/>
      <w:ind w:left="567" w:hanging="567"/>
      <w:outlineLvl w:val="1"/>
    </w:pPr>
    <w:rPr>
      <w:rFonts w:ascii="Calibri Light" w:hAnsi="Calibri Light" w:eastAsia="宋体" w:cs="Times New Roman"/>
      <w:b/>
      <w:bCs/>
      <w:sz w:val="28"/>
      <w:szCs w:val="32"/>
    </w:rPr>
  </w:style>
  <w:style w:type="paragraph" w:styleId="2">
    <w:name w:val="heading 3"/>
    <w:basedOn w:val="1"/>
    <w:next w:val="1"/>
    <w:semiHidden/>
    <w:unhideWhenUsed/>
    <w:qFormat/>
    <w:uiPriority w:val="9"/>
    <w:pPr>
      <w:keepNext/>
      <w:keepLines/>
      <w:numPr>
        <w:ilvl w:val="2"/>
        <w:numId w:val="1"/>
      </w:numPr>
      <w:spacing w:before="50" w:beforeLines="50" w:after="50" w:afterLines="50" w:line="416" w:lineRule="auto"/>
      <w:outlineLvl w:val="2"/>
    </w:pPr>
    <w:rPr>
      <w:rFonts w:ascii="宋体" w:hAnsi="宋体" w:eastAsia="宋体" w:cs="宋体"/>
      <w:b/>
      <w:bCs/>
      <w:sz w:val="32"/>
    </w:rPr>
  </w:style>
  <w:style w:type="paragraph" w:styleId="5">
    <w:name w:val="heading 4"/>
    <w:basedOn w:val="1"/>
    <w:next w:val="1"/>
    <w:semiHidden/>
    <w:unhideWhenUsed/>
    <w:qFormat/>
    <w:uiPriority w:val="9"/>
    <w:pPr>
      <w:keepNext/>
      <w:keepLines/>
      <w:numPr>
        <w:ilvl w:val="3"/>
        <w:numId w:val="1"/>
      </w:numPr>
      <w:spacing w:before="120" w:after="120"/>
      <w:outlineLvl w:val="3"/>
    </w:pPr>
    <w:rPr>
      <w:rFonts w:ascii="Calibri Light" w:hAnsi="Calibri Light" w:eastAsia="宋体" w:cs="Times New Roman"/>
      <w:b/>
      <w:bCs/>
      <w:sz w:val="28"/>
      <w:szCs w:val="28"/>
    </w:rPr>
  </w:style>
  <w:style w:type="character" w:default="1" w:styleId="13">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6">
    <w:name w:val="annotation text"/>
    <w:basedOn w:val="1"/>
    <w:semiHidden/>
    <w:unhideWhenUsed/>
    <w:qFormat/>
    <w:uiPriority w:val="99"/>
    <w:pPr>
      <w:jc w:val="left"/>
    </w:pPr>
  </w:style>
  <w:style w:type="paragraph" w:styleId="7">
    <w:name w:val="Balloon Text"/>
    <w:basedOn w:val="1"/>
    <w:link w:val="24"/>
    <w:unhideWhenUsed/>
    <w:qFormat/>
    <w:uiPriority w:val="99"/>
    <w:rPr>
      <w:rFonts w:cstheme="minorBidi"/>
      <w:kern w:val="2"/>
      <w:sz w:val="18"/>
      <w:szCs w:val="18"/>
    </w:rPr>
  </w:style>
  <w:style w:type="paragraph" w:styleId="8">
    <w:name w:val="footer"/>
    <w:basedOn w:val="1"/>
    <w:link w:val="16"/>
    <w:qFormat/>
    <w:uiPriority w:val="99"/>
    <w:pPr>
      <w:tabs>
        <w:tab w:val="center" w:pos="4153"/>
        <w:tab w:val="right" w:pos="8306"/>
      </w:tabs>
      <w:snapToGrid w:val="0"/>
      <w:jc w:val="left"/>
    </w:pPr>
    <w:rPr>
      <w:rFonts w:cstheme="minorBidi"/>
      <w:kern w:val="2"/>
      <w:sz w:val="18"/>
      <w:szCs w:val="18"/>
    </w:rPr>
  </w:style>
  <w:style w:type="paragraph" w:styleId="9">
    <w:name w:val="header"/>
    <w:basedOn w:val="1"/>
    <w:link w:val="17"/>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jc w:val="center"/>
    </w:pPr>
    <w:rPr>
      <w:rFonts w:cstheme="minorBidi"/>
      <w:kern w:val="2"/>
      <w:sz w:val="18"/>
      <w:szCs w:val="18"/>
    </w:rPr>
  </w:style>
  <w:style w:type="paragraph" w:styleId="10">
    <w:name w:val="Normal (Web)"/>
    <w:basedOn w:val="1"/>
    <w:semiHidden/>
    <w:unhideWhenUsed/>
    <w:qFormat/>
    <w:uiPriority w:val="99"/>
    <w:pPr>
      <w:spacing w:before="0" w:beforeAutospacing="1" w:after="0" w:afterAutospacing="1"/>
      <w:ind w:left="0" w:right="0"/>
      <w:jc w:val="left"/>
    </w:pPr>
    <w:rPr>
      <w:kern w:val="0"/>
      <w:sz w:val="24"/>
      <w:lang w:val="en-US" w:eastAsia="zh-CN" w:bidi="ar"/>
    </w:rPr>
  </w:style>
  <w:style w:type="table" w:styleId="12">
    <w:name w:val="Table Grid"/>
    <w:qFormat/>
    <w:uiPriority w:val="0"/>
    <w:rPr>
      <w:sz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14">
    <w:name w:val="Strong"/>
    <w:basedOn w:val="13"/>
    <w:qFormat/>
    <w:uiPriority w:val="22"/>
    <w:rPr>
      <w:b/>
    </w:rPr>
  </w:style>
  <w:style w:type="character" w:customStyle="1" w:styleId="15">
    <w:name w:val="标题 2 Char"/>
    <w:link w:val="4"/>
    <w:qFormat/>
    <w:uiPriority w:val="0"/>
    <w:rPr>
      <w:rFonts w:ascii="Calibri Light" w:hAnsi="Calibri Light" w:eastAsia="宋体" w:cs="Times New Roman"/>
      <w:b/>
      <w:bCs/>
      <w:sz w:val="28"/>
      <w:szCs w:val="32"/>
    </w:rPr>
  </w:style>
  <w:style w:type="character" w:customStyle="1" w:styleId="16">
    <w:name w:val="页脚 Char"/>
    <w:basedOn w:val="13"/>
    <w:link w:val="8"/>
    <w:qFormat/>
    <w:uiPriority w:val="99"/>
    <w:rPr>
      <w:rFonts w:asciiTheme="minorHAnsi" w:hAnsiTheme="minorHAnsi" w:eastAsiaTheme="minorEastAsia" w:cstheme="minorBidi"/>
      <w:sz w:val="18"/>
      <w:szCs w:val="18"/>
      <w:lang w:val="en-US" w:eastAsia="zh-CN" w:bidi="ar-SA"/>
    </w:rPr>
  </w:style>
  <w:style w:type="character" w:customStyle="1" w:styleId="17">
    <w:name w:val="页眉 Char"/>
    <w:basedOn w:val="13"/>
    <w:link w:val="9"/>
    <w:qFormat/>
    <w:uiPriority w:val="0"/>
    <w:rPr>
      <w:rFonts w:asciiTheme="minorHAnsi" w:hAnsiTheme="minorHAnsi" w:eastAsiaTheme="minorEastAsia" w:cstheme="minorBidi"/>
      <w:sz w:val="18"/>
      <w:szCs w:val="18"/>
      <w:lang w:val="en-US" w:eastAsia="zh-CN" w:bidi="ar-SA"/>
    </w:rPr>
  </w:style>
  <w:style w:type="character" w:customStyle="1" w:styleId="18">
    <w:name w:val="font11"/>
    <w:basedOn w:val="13"/>
    <w:qFormat/>
    <w:uiPriority w:val="0"/>
    <w:rPr>
      <w:rFonts w:hint="eastAsia" w:ascii="宋体" w:hAnsi="宋体" w:eastAsia="宋体" w:cs="宋体"/>
      <w:color w:val="000000"/>
      <w:sz w:val="20"/>
      <w:szCs w:val="20"/>
      <w:u w:val="none"/>
      <w:lang w:val="en-US" w:eastAsia="zh-CN" w:bidi="ar-SA"/>
    </w:rPr>
  </w:style>
  <w:style w:type="character" w:customStyle="1" w:styleId="19">
    <w:name w:val="font01"/>
    <w:basedOn w:val="13"/>
    <w:qFormat/>
    <w:uiPriority w:val="0"/>
    <w:rPr>
      <w:rFonts w:hint="eastAsia" w:ascii="宋体" w:hAnsi="宋体" w:eastAsia="宋体" w:cs="宋体"/>
      <w:color w:val="000000"/>
      <w:sz w:val="22"/>
      <w:szCs w:val="22"/>
      <w:u w:val="none"/>
      <w:lang w:val="en-US" w:eastAsia="zh-CN" w:bidi="ar-SA"/>
    </w:rPr>
  </w:style>
  <w:style w:type="character" w:customStyle="1" w:styleId="20">
    <w:name w:val="font41"/>
    <w:basedOn w:val="13"/>
    <w:qFormat/>
    <w:uiPriority w:val="0"/>
    <w:rPr>
      <w:rFonts w:hint="eastAsia" w:ascii="宋体" w:hAnsi="宋体" w:eastAsia="宋体" w:cs="宋体"/>
      <w:color w:val="000000"/>
      <w:sz w:val="24"/>
      <w:szCs w:val="24"/>
      <w:u w:val="none"/>
      <w:lang w:val="en-US" w:eastAsia="zh-CN" w:bidi="ar-SA"/>
    </w:rPr>
  </w:style>
  <w:style w:type="character" w:customStyle="1" w:styleId="21">
    <w:name w:val="font31"/>
    <w:basedOn w:val="13"/>
    <w:qFormat/>
    <w:uiPriority w:val="0"/>
    <w:rPr>
      <w:rFonts w:hint="eastAsia" w:ascii="华文中宋" w:hAnsi="华文中宋" w:eastAsia="华文中宋" w:cs="华文中宋"/>
      <w:color w:val="000000"/>
      <w:sz w:val="32"/>
      <w:szCs w:val="32"/>
      <w:u w:val="none"/>
      <w:lang w:val="en-US" w:eastAsia="zh-CN" w:bidi="ar-SA"/>
    </w:rPr>
  </w:style>
  <w:style w:type="character" w:customStyle="1" w:styleId="22">
    <w:name w:val="font91"/>
    <w:basedOn w:val="13"/>
    <w:qFormat/>
    <w:uiPriority w:val="0"/>
    <w:rPr>
      <w:rFonts w:hint="eastAsia" w:ascii="华文中宋" w:hAnsi="华文中宋" w:eastAsia="华文中宋" w:cs="华文中宋"/>
      <w:color w:val="000000"/>
      <w:sz w:val="32"/>
      <w:szCs w:val="32"/>
      <w:u w:val="none"/>
      <w:lang w:val="en-US" w:eastAsia="zh-CN" w:bidi="ar-SA"/>
    </w:rPr>
  </w:style>
  <w:style w:type="character" w:customStyle="1" w:styleId="23">
    <w:name w:val="font51"/>
    <w:basedOn w:val="13"/>
    <w:qFormat/>
    <w:uiPriority w:val="0"/>
    <w:rPr>
      <w:rFonts w:hint="eastAsia" w:ascii="宋体" w:hAnsi="宋体" w:eastAsia="宋体" w:cs="宋体"/>
      <w:color w:val="000000"/>
      <w:sz w:val="24"/>
      <w:szCs w:val="24"/>
      <w:u w:val="none"/>
      <w:lang w:val="en-US" w:eastAsia="zh-CN" w:bidi="ar-SA"/>
    </w:rPr>
  </w:style>
  <w:style w:type="character" w:customStyle="1" w:styleId="24">
    <w:name w:val="批注框文本 Char"/>
    <w:basedOn w:val="13"/>
    <w:link w:val="7"/>
    <w:semiHidden/>
    <w:qFormat/>
    <w:uiPriority w:val="99"/>
    <w:rPr>
      <w:rFonts w:asciiTheme="minorHAnsi" w:hAnsiTheme="minorHAnsi" w:eastAsiaTheme="minorEastAsia" w:cstheme="minorBidi"/>
      <w:sz w:val="18"/>
      <w:szCs w:val="18"/>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7.png"/><Relationship Id="rId17" Type="http://schemas.openxmlformats.org/officeDocument/2006/relationships/chart" Target="charts/chart3.xml"/><Relationship Id="rId16" Type="http://schemas.openxmlformats.org/officeDocument/2006/relationships/chart" Target="charts/chart2.xml"/><Relationship Id="rId15" Type="http://schemas.openxmlformats.org/officeDocument/2006/relationships/chart" Target="charts/chart1.xml"/><Relationship Id="rId14" Type="http://schemas.openxmlformats.org/officeDocument/2006/relationships/image" Target="media/image6.svg"/><Relationship Id="rId13" Type="http://schemas.openxmlformats.org/officeDocument/2006/relationships/image" Target="media/image5.png"/><Relationship Id="rId12" Type="http://schemas.openxmlformats.org/officeDocument/2006/relationships/image" Target="media/image4.jpeg"/><Relationship Id="rId11" Type="http://schemas.openxmlformats.org/officeDocument/2006/relationships/image" Target="media/image3.jpeg"/><Relationship Id="rId10" Type="http://schemas.openxmlformats.org/officeDocument/2006/relationships/image" Target="media/image2.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charts/_rels/chart1.xml.rels><?xml version="1.0" encoding="UTF-8" standalone="yes"?>
<Relationships xmlns="http://schemas.openxmlformats.org/package/2006/relationships"><Relationship Id="rId1" Type="http://schemas.openxmlformats.org/officeDocument/2006/relationships/oleObject" Target="file:///C:\Users\119\Desktop\&#26032;&#24314;%20XLS%20&#24037;&#20316;&#34920;.xls" TargetMode="External"/></Relationships>
</file>

<file path=word/charts/_rels/chart2.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oleObject" Target="file:///C:\Users\119\Desktop\&#26032;&#24314;%20XLS%20&#24037;&#20316;&#34920;.xls" TargetMode="External"/></Relationships>
</file>

<file path=word/charts/_rels/chart3.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file:///C:\Users\119\Desktop\&#26032;&#24314;%20XLS%20&#24037;&#20316;&#34920;.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'[新建 XLS 工作表.xls]Sheet1'!$I$16</c:f>
              <c:strCache>
                <c:ptCount val="1"/>
                <c:pt idx="0">
                  <c:v>收支总计
</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ext>
            </c:extLst>
          </c:dLbls>
          <c:cat>
            <c:strRef>
              <c:f>'[新建 XLS 工作表.xls]Sheet1'!$H$14:$H$15</c:f>
              <c:strCache>
                <c:ptCount val="2"/>
                <c:pt idx="0">
                  <c:v>2022年度收支总计</c:v>
                </c:pt>
                <c:pt idx="1">
                  <c:v>2023年度收支总计</c:v>
                </c:pt>
              </c:strCache>
            </c:strRef>
          </c:cat>
          <c:val>
            <c:numRef>
              <c:f>'[新建 XLS 工作表.xls]Sheet1'!$I$14:$I$15</c:f>
              <c:numCache>
                <c:formatCode>General</c:formatCode>
                <c:ptCount val="2"/>
                <c:pt idx="0">
                  <c:v>1282.68</c:v>
                </c:pt>
                <c:pt idx="1" c:formatCode="#,##0.00">
                  <c:v>1259.99</c:v>
                </c:pt>
              </c:numCache>
            </c:numRef>
          </c:val>
        </c:ser>
        <c:dLbls>
          <c:showLegendKey val="0"/>
          <c:showVal val="1"/>
          <c:showCatName val="0"/>
          <c:showSerName val="0"/>
          <c:showPercent val="0"/>
          <c:showBubbleSize val="0"/>
        </c:dLbls>
        <c:gapWidth val="300"/>
        <c:overlap val="0"/>
        <c:axId val="330309610"/>
        <c:axId val="755089042"/>
      </c:barChart>
      <c:catAx>
        <c:axId val="330309610"/>
        <c:scaling>
          <c:orientation val="minMax"/>
        </c:scaling>
        <c:delete val="0"/>
        <c:axPos val="b"/>
        <c:title>
          <c:tx>
            <c:rich>
              <a:bodyPr rot="0" spcFirstLastPara="0" vertOverflow="ellipsis" vert="horz" wrap="square" anchor="ctr" anchorCtr="1"/>
              <a:lstStyle/>
              <a:p>
                <a:pPr defTabSz="914400">
                  <a:defRPr lang="zh-CN" sz="1000" b="1" i="0" u="none" strike="noStrike" kern="1200" baseline="0">
                    <a:solidFill>
                      <a:schemeClr val="tx1"/>
                    </a:solidFill>
                    <a:latin typeface="+mn-lt"/>
                    <a:ea typeface="+mn-ea"/>
                    <a:cs typeface="+mn-cs"/>
                  </a:defRPr>
                </a:pPr>
                <a:r>
                  <a:t>202</a:t>
                </a:r>
                <a:r>
                  <a:rPr lang="en-US" altLang="zh-CN"/>
                  <a:t>2</a:t>
                </a:r>
                <a:r>
                  <a:t>-202</a:t>
                </a:r>
                <a:r>
                  <a:rPr lang="en-US" altLang="zh-CN"/>
                  <a:t>3</a:t>
                </a:r>
                <a:r>
                  <a:t>年收支总计对比情况（图1）</a:t>
                </a:r>
              </a:p>
            </c:rich>
          </c:tx>
          <c:layout/>
          <c:overlay val="0"/>
        </c:title>
        <c:majorTickMark val="out"/>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55089042"/>
        <c:crosses val="autoZero"/>
        <c:auto val="1"/>
        <c:lblAlgn val="ctr"/>
        <c:lblOffset val="100"/>
        <c:noMultiLvlLbl val="0"/>
      </c:catAx>
      <c:valAx>
        <c:axId val="755089042"/>
        <c:scaling>
          <c:orientation val="minMax"/>
        </c:scaling>
        <c:delete val="0"/>
        <c:axPos val="l"/>
        <c:numFmt formatCode="General" sourceLinked="1"/>
        <c:majorTickMark val="out"/>
        <c:minorTickMark val="none"/>
        <c:tickLblPos val="nextTo"/>
        <c:spPr>
          <a:noFill/>
          <a:ln w="6350"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30309610"/>
        <c:crosses val="autoZero"/>
        <c:crossBetween val="between"/>
      </c:valAx>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wrap="square"/>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delete val="1"/>
          </c:dLbls>
          <c:cat>
            <c:strRef>
              <c:f>'[新建 XLS 工作表.xls]Sheet1'!$H$34:$H$37</c:f>
              <c:strCache>
                <c:ptCount val="4"/>
                <c:pt idx="0">
                  <c:v>2022年度收入</c:v>
                </c:pt>
                <c:pt idx="1">
                  <c:v>2023年度收入</c:v>
                </c:pt>
                <c:pt idx="2">
                  <c:v>2022年度支出</c:v>
                </c:pt>
                <c:pt idx="3">
                  <c:v>2023年度支出</c:v>
                </c:pt>
              </c:strCache>
            </c:strRef>
          </c:cat>
          <c:val>
            <c:numRef>
              <c:f>'[新建 XLS 工作表.xls]Sheet1'!$H$40:$H$43</c:f>
              <c:numCache>
                <c:formatCode>General</c:formatCode>
                <c:ptCount val="4"/>
                <c:pt idx="0">
                  <c:v>1282.68</c:v>
                </c:pt>
                <c:pt idx="1" c:formatCode="#,##0.00">
                  <c:v>1259.99</c:v>
                </c:pt>
                <c:pt idx="2">
                  <c:v>1282.68</c:v>
                </c:pt>
                <c:pt idx="3" c:formatCode="#,##0.00">
                  <c:v>1259.99</c:v>
                </c:pt>
              </c:numCache>
            </c:numRef>
          </c:val>
        </c:ser>
        <c:dLbls>
          <c:showLegendKey val="0"/>
          <c:showVal val="0"/>
          <c:showCatName val="0"/>
          <c:showSerName val="0"/>
          <c:showPercent val="0"/>
          <c:showBubbleSize val="0"/>
        </c:dLbls>
        <c:gapWidth val="300"/>
        <c:overlap val="0"/>
        <c:axId val="43996960"/>
        <c:axId val="461218384"/>
      </c:barChart>
      <c:catAx>
        <c:axId val="43996960"/>
        <c:scaling>
          <c:orientation val="minMax"/>
        </c:scaling>
        <c:delete val="0"/>
        <c:axPos val="b"/>
        <c:title>
          <c:tx>
            <c:rich>
              <a:bodyPr rot="0" spcFirstLastPara="0" vertOverflow="ellipsis" vert="horz" wrap="square" anchor="ctr" anchorCtr="1"/>
              <a:lstStyle/>
              <a:p>
                <a:pPr defTabSz="914400">
                  <a:defRPr lang="zh-CN" sz="1000" b="0" i="0" u="none" strike="noStrike" kern="1200" baseline="0">
                    <a:solidFill>
                      <a:schemeClr val="tx1">
                        <a:lumMod val="65000"/>
                        <a:lumOff val="35000"/>
                      </a:schemeClr>
                    </a:solidFill>
                    <a:latin typeface="+mn-lt"/>
                    <a:ea typeface="+mn-ea"/>
                    <a:cs typeface="+mn-cs"/>
                  </a:defRPr>
                </a:pPr>
                <a:r>
                  <a:rPr b="1">
                    <a:latin typeface="+mn-ea"/>
                    <a:cs typeface="+mn-ea"/>
                  </a:rPr>
                  <a:t>图</a:t>
                </a:r>
                <a:r>
                  <a:rPr lang="en-US" altLang="zh-CN" b="1">
                    <a:latin typeface="+mn-ea"/>
                    <a:cs typeface="+mn-ea"/>
                  </a:rPr>
                  <a:t>4</a:t>
                </a:r>
                <a:r>
                  <a:rPr altLang="en-US" b="1">
                    <a:latin typeface="+mn-ea"/>
                    <a:cs typeface="+mn-ea"/>
                  </a:rPr>
                  <a:t>：</a:t>
                </a:r>
                <a:r>
                  <a:rPr lang="en-US" altLang="zh-CN" b="1">
                    <a:latin typeface="+mn-ea"/>
                    <a:cs typeface="+mn-ea"/>
                  </a:rPr>
                  <a:t>2022-2023</a:t>
                </a:r>
                <a:r>
                  <a:rPr altLang="en-US" b="1">
                    <a:latin typeface="+mn-ea"/>
                    <a:cs typeface="+mn-ea"/>
                  </a:rPr>
                  <a:t>年度</a:t>
                </a:r>
                <a:r>
                  <a:rPr b="1">
                    <a:latin typeface="+mn-ea"/>
                    <a:cs typeface="+mn-ea"/>
                  </a:rPr>
                  <a:t>财政拨款收支情况</a:t>
                </a:r>
                <a:endParaRPr b="1">
                  <a:latin typeface="+mn-ea"/>
                  <a:cs typeface="+mn-ea"/>
                </a:endParaRPr>
              </a:p>
            </c:rich>
          </c:tx>
          <c:layout/>
          <c:overlay val="0"/>
          <c:spPr>
            <a:noFill/>
            <a:ln>
              <a:noFill/>
            </a:ln>
            <a:effectLst/>
          </c:spPr>
        </c:title>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61218384"/>
        <c:crosses val="autoZero"/>
        <c:auto val="1"/>
        <c:lblAlgn val="ctr"/>
        <c:lblOffset val="100"/>
        <c:noMultiLvlLbl val="0"/>
      </c:catAx>
      <c:valAx>
        <c:axId val="461218384"/>
        <c:scaling>
          <c:orientation val="minMax"/>
        </c:scaling>
        <c:delete val="0"/>
        <c:axPos val="l"/>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39969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delete val="1"/>
          </c:dLbls>
          <c:cat>
            <c:strRef>
              <c:f>'[新建 XLS 工作表.xls]Sheet1'!$H$34:$H$37</c:f>
              <c:strCache>
                <c:ptCount val="4"/>
                <c:pt idx="0">
                  <c:v>收入预算数</c:v>
                </c:pt>
                <c:pt idx="1">
                  <c:v>收入决算数</c:v>
                </c:pt>
                <c:pt idx="2">
                  <c:v>支出预算数</c:v>
                </c:pt>
                <c:pt idx="3">
                  <c:v>支出决算数</c:v>
                </c:pt>
              </c:strCache>
            </c:strRef>
          </c:cat>
          <c:val>
            <c:numRef>
              <c:f>'[新建 XLS 工作表.xls]Sheet1'!$I$34:$I$37</c:f>
              <c:numCache>
                <c:formatCode>General</c:formatCode>
                <c:ptCount val="4"/>
                <c:pt idx="0">
                  <c:v>1351.29</c:v>
                </c:pt>
                <c:pt idx="1" c:formatCode="#,##0.00">
                  <c:v>1259.99</c:v>
                </c:pt>
                <c:pt idx="2">
                  <c:v>1351.29</c:v>
                </c:pt>
                <c:pt idx="3" c:formatCode="#,##0.00">
                  <c:v>1259.99</c:v>
                </c:pt>
              </c:numCache>
            </c:numRef>
          </c:val>
        </c:ser>
        <c:dLbls>
          <c:showLegendKey val="0"/>
          <c:showVal val="0"/>
          <c:showCatName val="0"/>
          <c:showSerName val="0"/>
          <c:showPercent val="0"/>
          <c:showBubbleSize val="0"/>
        </c:dLbls>
        <c:gapWidth val="300"/>
        <c:overlap val="0"/>
        <c:axId val="43996960"/>
        <c:axId val="461218384"/>
      </c:barChart>
      <c:catAx>
        <c:axId val="43996960"/>
        <c:scaling>
          <c:orientation val="minMax"/>
        </c:scaling>
        <c:delete val="0"/>
        <c:axPos val="b"/>
        <c:title>
          <c:tx>
            <c:rich>
              <a:bodyPr rot="0" spcFirstLastPara="0" vertOverflow="ellipsis" vert="horz" wrap="square" anchor="ctr" anchorCtr="1"/>
              <a:lstStyle/>
              <a:p>
                <a:pPr defTabSz="914400">
                  <a:defRPr lang="zh-CN" sz="1000" b="0" i="0" u="none" strike="noStrike" kern="1200" baseline="0">
                    <a:solidFill>
                      <a:schemeClr val="tx1">
                        <a:lumMod val="65000"/>
                        <a:lumOff val="35000"/>
                      </a:schemeClr>
                    </a:solidFill>
                    <a:latin typeface="+mn-lt"/>
                    <a:ea typeface="+mn-ea"/>
                    <a:cs typeface="+mn-cs"/>
                  </a:defRPr>
                </a:pPr>
                <a:r>
                  <a:rPr b="1">
                    <a:latin typeface="+mn-ea"/>
                    <a:cs typeface="+mn-ea"/>
                  </a:rPr>
                  <a:t>图</a:t>
                </a:r>
                <a:r>
                  <a:rPr lang="en-US" altLang="zh-CN" b="1">
                    <a:latin typeface="+mn-ea"/>
                    <a:cs typeface="+mn-ea"/>
                  </a:rPr>
                  <a:t>5</a:t>
                </a:r>
                <a:r>
                  <a:rPr altLang="en-US" b="1">
                    <a:latin typeface="+mn-ea"/>
                    <a:cs typeface="+mn-ea"/>
                  </a:rPr>
                  <a:t>：财政拨款收支预决算对比情况</a:t>
                </a:r>
                <a:endParaRPr b="1">
                  <a:latin typeface="+mn-ea"/>
                  <a:cs typeface="+mn-ea"/>
                </a:endParaRPr>
              </a:p>
            </c:rich>
          </c:tx>
          <c:layout>
            <c:manualLayout>
              <c:xMode val="edge"/>
              <c:yMode val="edge"/>
              <c:x val="0.283027777777778"/>
              <c:y val="0.873611111111111"/>
            </c:manualLayout>
          </c:layout>
          <c:overlay val="0"/>
          <c:spPr>
            <a:noFill/>
            <a:ln>
              <a:noFill/>
            </a:ln>
            <a:effectLst/>
          </c:spPr>
        </c:title>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61218384"/>
        <c:crosses val="autoZero"/>
        <c:auto val="1"/>
        <c:lblAlgn val="ctr"/>
        <c:lblOffset val="100"/>
        <c:noMultiLvlLbl val="0"/>
      </c:catAx>
      <c:valAx>
        <c:axId val="461218384"/>
        <c:scaling>
          <c:orientation val="minMax"/>
        </c:scaling>
        <c:delete val="0"/>
        <c:axPos val="l"/>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39969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神州网信技术有限公司</Company>
  <Pages>33</Pages>
  <Words>8313</Words>
  <Characters>9527</Characters>
  <Lines>86</Lines>
  <Paragraphs>24</Paragraphs>
  <TotalTime>2</TotalTime>
  <ScaleCrop>false</ScaleCrop>
  <LinksUpToDate>false</LinksUpToDate>
  <CharactersWithSpaces>10113</CharactersWithSpaces>
  <Application>WPS Office_11.1.0.12650_F1E327BC-269C-435d-A152-05C5408002CA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2023-08-04T07:55:00Z</dcterms:created>
  <dc:creator>王明新TIAD</dc:creator>
  <cp:lastModifiedBy>119</cp:lastModifiedBy>
  <cp:lastPrinted>2023-08-04T01:00:00Z</cp:lastPrinted>
  <dcterms:modified xsi:type="dcterms:W3CDTF">2024-11-26T03:50:38Z</dcterms:modified>
  <cp:revision>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2052-11.1.0.12650</vt:lpwstr>
  </property>
  <property fmtid="{D5CDD505-2E9C-101B-9397-08002B2CF9AE}" pid="3" name="ICV">
    <vt:lpwstr>E3943BC5722641F6AF2F009BA59D61BF_13</vt:lpwstr>
  </property>
  <property fmtid="{D5CDD505-2E9C-101B-9397-08002B2CF9AE}" pid="4" name="KSOTemplateUUID">
    <vt:lpwstr>v1.0_mb_S7ajbG3IpAnL1wSthNCxfw==</vt:lpwstr>
  </property>
</Properties>
</file>