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eastAsia="zh-CN"/>
        </w:rPr>
      </w:pPr>
      <w:r>
        <w:rPr>
          <w:rFonts w:hint="eastAsia"/>
          <w:b/>
          <w:bCs/>
          <w:sz w:val="48"/>
          <w:szCs w:val="48"/>
          <w:lang w:eastAsia="zh-CN"/>
        </w:rPr>
        <w:t>非营利组织免税资格认定办事指南</w:t>
      </w:r>
    </w:p>
    <w:tbl>
      <w:tblPr>
        <w:tblStyle w:val="3"/>
        <w:tblpPr w:leftFromText="180" w:rightFromText="180" w:vertAnchor="text" w:horzAnchor="page" w:tblpX="1310" w:tblpY="367"/>
        <w:tblOverlap w:val="never"/>
        <w:tblW w:w="96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7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27" w:type="dxa"/>
          </w:tcPr>
          <w:p>
            <w:pPr>
              <w:jc w:val="center"/>
              <w:rPr>
                <w:rFonts w:hint="eastAsia" w:ascii="仿宋" w:hAnsi="仿宋" w:eastAsia="仿宋" w:cs="仿宋"/>
                <w:vertAlign w:val="baseline"/>
                <w:lang w:eastAsia="zh-CN"/>
              </w:rPr>
            </w:pPr>
            <w:r>
              <w:rPr>
                <w:rFonts w:hint="eastAsia" w:ascii="仿宋" w:hAnsi="仿宋" w:eastAsia="仿宋" w:cs="仿宋"/>
                <w:vertAlign w:val="baseline"/>
                <w:lang w:eastAsia="zh-CN"/>
              </w:rPr>
              <w:t>事项名称</w:t>
            </w:r>
          </w:p>
        </w:tc>
        <w:tc>
          <w:tcPr>
            <w:tcW w:w="7565" w:type="dxa"/>
          </w:tcPr>
          <w:p>
            <w:pPr>
              <w:rPr>
                <w:rFonts w:hint="eastAsia" w:ascii="仿宋" w:hAnsi="仿宋" w:eastAsia="仿宋" w:cs="仿宋"/>
                <w:vertAlign w:val="baseline"/>
                <w:lang w:eastAsia="zh-CN"/>
              </w:rPr>
            </w:pPr>
            <w:r>
              <w:rPr>
                <w:rFonts w:hint="eastAsia" w:ascii="仿宋" w:hAnsi="仿宋" w:eastAsia="仿宋" w:cs="仿宋"/>
                <w:vertAlign w:val="baseline"/>
                <w:lang w:eastAsia="zh-CN"/>
              </w:rPr>
              <w:t>非营利组织免税资格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127" w:type="dxa"/>
          </w:tcPr>
          <w:p>
            <w:pPr>
              <w:jc w:val="center"/>
              <w:rPr>
                <w:rFonts w:hint="eastAsia" w:ascii="仿宋" w:hAnsi="仿宋" w:eastAsia="仿宋" w:cs="仿宋"/>
                <w:vertAlign w:val="baseline"/>
                <w:lang w:eastAsia="zh-CN"/>
              </w:rPr>
            </w:pPr>
            <w:r>
              <w:rPr>
                <w:rFonts w:hint="eastAsia" w:ascii="仿宋" w:hAnsi="仿宋" w:eastAsia="仿宋" w:cs="仿宋"/>
                <w:vertAlign w:val="baseline"/>
                <w:lang w:eastAsia="zh-CN"/>
              </w:rPr>
              <w:t>事项类别</w:t>
            </w:r>
          </w:p>
        </w:tc>
        <w:tc>
          <w:tcPr>
            <w:tcW w:w="7565" w:type="dxa"/>
          </w:tcPr>
          <w:p>
            <w:pPr>
              <w:rPr>
                <w:rFonts w:hint="eastAsia" w:ascii="仿宋" w:hAnsi="仿宋" w:eastAsia="仿宋" w:cs="仿宋"/>
                <w:vertAlign w:val="baseline"/>
                <w:lang w:eastAsia="zh-CN"/>
              </w:rPr>
            </w:pPr>
            <w:r>
              <w:rPr>
                <w:rFonts w:hint="eastAsia" w:ascii="仿宋" w:hAnsi="仿宋" w:eastAsia="仿宋" w:cs="仿宋"/>
                <w:vertAlign w:val="baseline"/>
                <w:lang w:eastAsia="zh-CN"/>
              </w:rPr>
              <w:t>行政确认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127" w:type="dxa"/>
          </w:tcPr>
          <w:p>
            <w:pPr>
              <w:jc w:val="center"/>
              <w:rPr>
                <w:rFonts w:hint="eastAsia" w:ascii="仿宋" w:hAnsi="仿宋" w:eastAsia="仿宋" w:cs="仿宋"/>
                <w:vertAlign w:val="baseline"/>
                <w:lang w:eastAsia="zh-CN"/>
              </w:rPr>
            </w:pPr>
            <w:r>
              <w:rPr>
                <w:rFonts w:hint="eastAsia" w:ascii="仿宋" w:hAnsi="仿宋" w:eastAsia="仿宋" w:cs="仿宋"/>
                <w:vertAlign w:val="baseline"/>
                <w:lang w:eastAsia="zh-CN"/>
              </w:rPr>
              <w:t>事项编码</w:t>
            </w:r>
          </w:p>
        </w:tc>
        <w:tc>
          <w:tcPr>
            <w:tcW w:w="7565" w:type="dxa"/>
          </w:tcPr>
          <w:p>
            <w:pPr>
              <w:rPr>
                <w:rFonts w:hint="eastAsia" w:ascii="仿宋" w:hAnsi="仿宋" w:eastAsia="仿宋" w:cs="仿宋"/>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127" w:type="dxa"/>
          </w:tcPr>
          <w:p>
            <w:pPr>
              <w:jc w:val="center"/>
              <w:rPr>
                <w:rFonts w:hint="eastAsia" w:ascii="仿宋" w:hAnsi="仿宋" w:eastAsia="仿宋" w:cs="仿宋"/>
                <w:vertAlign w:val="baseline"/>
                <w:lang w:eastAsia="zh-CN"/>
              </w:rPr>
            </w:pPr>
            <w:r>
              <w:rPr>
                <w:rFonts w:hint="eastAsia" w:ascii="仿宋" w:hAnsi="仿宋" w:eastAsia="仿宋" w:cs="仿宋"/>
                <w:vertAlign w:val="baseline"/>
                <w:lang w:eastAsia="zh-CN"/>
              </w:rPr>
              <w:t>承办机构</w:t>
            </w:r>
          </w:p>
        </w:tc>
        <w:tc>
          <w:tcPr>
            <w:tcW w:w="7565" w:type="dxa"/>
          </w:tcPr>
          <w:p>
            <w:pPr>
              <w:rPr>
                <w:rFonts w:hint="eastAsia" w:ascii="仿宋" w:hAnsi="仿宋" w:eastAsia="仿宋" w:cs="仿宋"/>
                <w:vertAlign w:val="baseline"/>
                <w:lang w:eastAsia="zh-CN"/>
              </w:rPr>
            </w:pPr>
            <w:r>
              <w:rPr>
                <w:rFonts w:hint="eastAsia" w:ascii="仿宋" w:hAnsi="仿宋" w:eastAsia="仿宋" w:cs="仿宋"/>
                <w:vertAlign w:val="baseline"/>
                <w:lang w:val="en-US" w:eastAsia="zh-CN"/>
              </w:rPr>
              <w:t>非税收入</w:t>
            </w:r>
            <w:r>
              <w:rPr>
                <w:rFonts w:hint="eastAsia" w:ascii="仿宋" w:hAnsi="仿宋" w:eastAsia="仿宋" w:cs="仿宋"/>
                <w:vertAlign w:val="baseline"/>
                <w:lang w:eastAsia="zh-CN"/>
              </w:rPr>
              <w:t>股（治税办）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2127" w:type="dxa"/>
          </w:tcPr>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r>
              <w:rPr>
                <w:rFonts w:hint="eastAsia" w:ascii="仿宋" w:hAnsi="仿宋" w:eastAsia="仿宋" w:cs="仿宋"/>
                <w:vertAlign w:val="baseline"/>
                <w:lang w:eastAsia="zh-CN"/>
              </w:rPr>
              <w:t>设定依据</w:t>
            </w:r>
          </w:p>
        </w:tc>
        <w:tc>
          <w:tcPr>
            <w:tcW w:w="7565" w:type="dxa"/>
          </w:tcPr>
          <w:p>
            <w:pPr>
              <w:rPr>
                <w:rFonts w:hint="eastAsia" w:ascii="仿宋" w:hAnsi="仿宋" w:eastAsia="仿宋" w:cs="仿宋"/>
                <w:vertAlign w:val="baseline"/>
                <w:lang w:eastAsia="zh-CN"/>
              </w:rPr>
            </w:pPr>
            <w:r>
              <w:rPr>
                <w:rFonts w:hint="eastAsia" w:ascii="仿宋" w:hAnsi="仿宋" w:eastAsia="仿宋" w:cs="仿宋"/>
                <w:i w:val="0"/>
                <w:iCs w:val="0"/>
                <w:caps w:val="0"/>
                <w:color w:val="3D4B64"/>
                <w:spacing w:val="0"/>
                <w:sz w:val="19"/>
                <w:szCs w:val="19"/>
                <w:shd w:val="clear" w:color="auto" w:fill="auto"/>
              </w:rPr>
              <w:t>《中华人民共和国企业所得税法实施条例》《中华人民共和国企业所得税法》《关于非营利组织免税资格认定管理有关问题的通知》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127" w:type="dxa"/>
          </w:tcPr>
          <w:p>
            <w:pPr>
              <w:jc w:val="center"/>
              <w:rPr>
                <w:rFonts w:hint="eastAsia" w:ascii="仿宋" w:hAnsi="仿宋" w:eastAsia="仿宋" w:cs="仿宋"/>
                <w:vertAlign w:val="baseline"/>
                <w:lang w:eastAsia="zh-CN"/>
              </w:rPr>
            </w:pPr>
            <w:r>
              <w:rPr>
                <w:rFonts w:hint="eastAsia" w:ascii="仿宋" w:hAnsi="仿宋" w:eastAsia="仿宋" w:cs="仿宋"/>
                <w:vertAlign w:val="baseline"/>
                <w:lang w:eastAsia="zh-CN"/>
              </w:rPr>
              <w:t>实施对象</w:t>
            </w:r>
          </w:p>
        </w:tc>
        <w:tc>
          <w:tcPr>
            <w:tcW w:w="7565" w:type="dxa"/>
          </w:tcPr>
          <w:p>
            <w:pPr>
              <w:rPr>
                <w:rFonts w:hint="default" w:ascii="仿宋" w:hAnsi="仿宋" w:eastAsia="仿宋" w:cs="仿宋"/>
                <w:vertAlign w:val="baseline"/>
                <w:lang w:val="en-US" w:eastAsia="zh-CN"/>
              </w:rPr>
            </w:pPr>
            <w:r>
              <w:rPr>
                <w:rFonts w:hint="eastAsia" w:ascii="仿宋" w:hAnsi="仿宋" w:eastAsia="仿宋" w:cs="仿宋"/>
                <w:i w:val="0"/>
                <w:iCs w:val="0"/>
                <w:caps w:val="0"/>
                <w:color w:val="3D4B64"/>
                <w:spacing w:val="0"/>
                <w:sz w:val="19"/>
                <w:szCs w:val="19"/>
                <w:shd w:val="clear" w:color="auto" w:fill="auto"/>
                <w:lang w:val="en-US" w:eastAsia="zh-CN"/>
              </w:rPr>
              <w:t>批准设立或登记且符合规定条件的非营利组织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4" w:hRule="atLeast"/>
        </w:trPr>
        <w:tc>
          <w:tcPr>
            <w:tcW w:w="2127" w:type="dxa"/>
          </w:tcPr>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p>
          <w:p>
            <w:pPr>
              <w:jc w:val="center"/>
              <w:rPr>
                <w:rFonts w:hint="eastAsia" w:ascii="仿宋" w:hAnsi="仿宋" w:eastAsia="仿宋" w:cs="仿宋"/>
                <w:vertAlign w:val="baseline"/>
                <w:lang w:eastAsia="zh-CN"/>
              </w:rPr>
            </w:pPr>
            <w:r>
              <w:rPr>
                <w:rFonts w:hint="eastAsia" w:ascii="仿宋" w:hAnsi="仿宋" w:eastAsia="仿宋" w:cs="仿宋"/>
                <w:vertAlign w:val="baseline"/>
                <w:lang w:eastAsia="zh-CN"/>
              </w:rPr>
              <w:t>办理流程</w:t>
            </w:r>
          </w:p>
        </w:tc>
        <w:tc>
          <w:tcPr>
            <w:tcW w:w="7565" w:type="dxa"/>
          </w:tcPr>
          <w:p>
            <w:pPr>
              <w:ind w:firstLine="300" w:firstLineChars="200"/>
              <w:rPr>
                <w:rFonts w:hint="eastAsia" w:ascii="仿宋" w:hAnsi="仿宋" w:eastAsia="仿宋" w:cs="仿宋"/>
                <w:sz w:val="15"/>
                <w:szCs w:val="15"/>
                <w:vertAlign w:val="baseline"/>
                <w:lang w:eastAsia="zh-CN"/>
              </w:rPr>
            </w:pPr>
            <w:r>
              <w:rPr>
                <w:rFonts w:hint="eastAsia" w:ascii="仿宋" w:hAnsi="仿宋" w:eastAsia="仿宋" w:cs="仿宋"/>
                <w:sz w:val="15"/>
                <w:szCs w:val="15"/>
                <w:vertAlign w:val="baseline"/>
                <w:lang w:eastAsia="zh-CN"/>
              </w:rPr>
              <w:t>一、依据本通知认定的符合条件的非营利组织，必须同时满足以下条件：</w:t>
            </w:r>
          </w:p>
          <w:p>
            <w:pPr>
              <w:rPr>
                <w:rFonts w:hint="eastAsia" w:ascii="仿宋" w:hAnsi="仿宋" w:eastAsia="仿宋" w:cs="仿宋"/>
                <w:sz w:val="15"/>
                <w:szCs w:val="15"/>
                <w:vertAlign w:val="baseline"/>
                <w:lang w:eastAsia="zh-CN"/>
              </w:rPr>
            </w:pPr>
            <w:r>
              <w:rPr>
                <w:rFonts w:hint="eastAsia" w:ascii="仿宋" w:hAnsi="仿宋" w:eastAsia="仿宋" w:cs="仿宋"/>
                <w:sz w:val="15"/>
                <w:szCs w:val="15"/>
                <w:vertAlign w:val="baseline"/>
                <w:lang w:eastAsia="zh-CN"/>
              </w:rPr>
              <w:t>　　（一）依照国家有关法律法规设立或登记的事业单位、社会团体、基金会、社会服务机构、宗教活动场所、宗教院校以及财政部、税务总局认定的其他非营利组织；</w:t>
            </w:r>
          </w:p>
          <w:p>
            <w:pPr>
              <w:rPr>
                <w:rFonts w:hint="eastAsia" w:ascii="仿宋" w:hAnsi="仿宋" w:eastAsia="仿宋" w:cs="仿宋"/>
                <w:sz w:val="15"/>
                <w:szCs w:val="15"/>
                <w:vertAlign w:val="baseline"/>
                <w:lang w:eastAsia="zh-CN"/>
              </w:rPr>
            </w:pPr>
            <w:r>
              <w:rPr>
                <w:rFonts w:hint="eastAsia" w:ascii="仿宋" w:hAnsi="仿宋" w:eastAsia="仿宋" w:cs="仿宋"/>
                <w:sz w:val="15"/>
                <w:szCs w:val="15"/>
                <w:vertAlign w:val="baseline"/>
                <w:lang w:eastAsia="zh-CN"/>
              </w:rPr>
              <w:t>　　（二）从事公益性或者非营利性活动；</w:t>
            </w:r>
          </w:p>
          <w:p>
            <w:pPr>
              <w:rPr>
                <w:rFonts w:hint="eastAsia" w:ascii="仿宋" w:hAnsi="仿宋" w:eastAsia="仿宋" w:cs="仿宋"/>
                <w:sz w:val="15"/>
                <w:szCs w:val="15"/>
                <w:vertAlign w:val="baseline"/>
                <w:lang w:eastAsia="zh-CN"/>
              </w:rPr>
            </w:pPr>
            <w:r>
              <w:rPr>
                <w:rFonts w:hint="eastAsia" w:ascii="仿宋" w:hAnsi="仿宋" w:eastAsia="仿宋" w:cs="仿宋"/>
                <w:sz w:val="15"/>
                <w:szCs w:val="15"/>
                <w:vertAlign w:val="baseline"/>
                <w:lang w:eastAsia="zh-CN"/>
              </w:rPr>
              <w:t>　　（三）取得的收入除用于与该组织有关的、合理的支出外，全部用于登记核定或者章程规定的公益性或者非营利性事业；</w:t>
            </w:r>
          </w:p>
          <w:p>
            <w:pPr>
              <w:rPr>
                <w:rFonts w:hint="eastAsia" w:ascii="仿宋" w:hAnsi="仿宋" w:eastAsia="仿宋" w:cs="仿宋"/>
                <w:sz w:val="15"/>
                <w:szCs w:val="15"/>
                <w:vertAlign w:val="baseline"/>
                <w:lang w:eastAsia="zh-CN"/>
              </w:rPr>
            </w:pPr>
            <w:r>
              <w:rPr>
                <w:rFonts w:hint="eastAsia" w:ascii="仿宋" w:hAnsi="仿宋" w:eastAsia="仿宋" w:cs="仿宋"/>
                <w:sz w:val="15"/>
                <w:szCs w:val="15"/>
                <w:vertAlign w:val="baseline"/>
                <w:lang w:eastAsia="zh-CN"/>
              </w:rPr>
              <w:t>　　（四）财产及其孳息不用于分配，但不包括合理的工资薪金支出；</w:t>
            </w:r>
          </w:p>
          <w:p>
            <w:pPr>
              <w:rPr>
                <w:rFonts w:hint="eastAsia" w:ascii="仿宋" w:hAnsi="仿宋" w:eastAsia="仿宋" w:cs="仿宋"/>
                <w:sz w:val="15"/>
                <w:szCs w:val="15"/>
                <w:vertAlign w:val="baseline"/>
                <w:lang w:eastAsia="zh-CN"/>
              </w:rPr>
            </w:pPr>
            <w:r>
              <w:rPr>
                <w:rFonts w:hint="eastAsia" w:ascii="仿宋" w:hAnsi="仿宋" w:eastAsia="仿宋" w:cs="仿宋"/>
                <w:sz w:val="15"/>
                <w:szCs w:val="15"/>
                <w:vertAlign w:val="baseline"/>
                <w:lang w:eastAsia="zh-CN"/>
              </w:rPr>
              <w:t>　　（五）按照登记核定或者章程规定，该组织注销后的剩余财产用于公益性或者非营利性目的，或者由登记管理机关采取转赠给与该组织性质、宗旨相同的组织等处置方式，并向社会公告；</w:t>
            </w:r>
          </w:p>
          <w:p>
            <w:pPr>
              <w:rPr>
                <w:rFonts w:hint="eastAsia" w:ascii="仿宋" w:hAnsi="仿宋" w:eastAsia="仿宋" w:cs="仿宋"/>
                <w:sz w:val="15"/>
                <w:szCs w:val="15"/>
                <w:vertAlign w:val="baseline"/>
                <w:lang w:eastAsia="zh-CN"/>
              </w:rPr>
            </w:pPr>
            <w:r>
              <w:rPr>
                <w:rFonts w:hint="eastAsia" w:ascii="仿宋" w:hAnsi="仿宋" w:eastAsia="仿宋" w:cs="仿宋"/>
                <w:sz w:val="15"/>
                <w:szCs w:val="15"/>
                <w:vertAlign w:val="baseline"/>
                <w:lang w:eastAsia="zh-CN"/>
              </w:rPr>
              <w:t>　　（六）投入人对投入该组织的财产不保留或者享有任何财产权利，本款所称投入人是指除各级人民政府及其部门外的法人、自然人和其他组织；</w:t>
            </w:r>
          </w:p>
          <w:p>
            <w:pPr>
              <w:rPr>
                <w:rFonts w:hint="eastAsia" w:ascii="仿宋" w:hAnsi="仿宋" w:eastAsia="仿宋" w:cs="仿宋"/>
                <w:sz w:val="15"/>
                <w:szCs w:val="15"/>
                <w:vertAlign w:val="baseline"/>
                <w:lang w:eastAsia="zh-CN"/>
              </w:rPr>
            </w:pPr>
            <w:r>
              <w:rPr>
                <w:rFonts w:hint="eastAsia" w:ascii="仿宋" w:hAnsi="仿宋" w:eastAsia="仿宋" w:cs="仿宋"/>
                <w:sz w:val="15"/>
                <w:szCs w:val="15"/>
                <w:vertAlign w:val="baseline"/>
                <w:lang w:eastAsia="zh-CN"/>
              </w:rPr>
              <w:t>　　（七）工作人员工资福利开支控制在规定的比例内，不变相分配该组织的财产，其中：工作人员平均工资薪金水平不得超过税务登记所在地的地市级（含地市级）以上地区的同行业同类组织平均工资水平的两倍，工作人员福利按照国家有关规定执行；</w:t>
            </w:r>
          </w:p>
          <w:p>
            <w:pPr>
              <w:ind w:firstLine="420"/>
              <w:rPr>
                <w:rFonts w:hint="eastAsia" w:ascii="仿宋" w:hAnsi="仿宋" w:eastAsia="仿宋" w:cs="仿宋"/>
                <w:sz w:val="15"/>
                <w:szCs w:val="15"/>
                <w:vertAlign w:val="baseline"/>
                <w:lang w:eastAsia="zh-CN"/>
              </w:rPr>
            </w:pPr>
            <w:r>
              <w:rPr>
                <w:rFonts w:hint="eastAsia" w:ascii="仿宋" w:hAnsi="仿宋" w:eastAsia="仿宋" w:cs="仿宋"/>
                <w:sz w:val="15"/>
                <w:szCs w:val="15"/>
                <w:vertAlign w:val="baseline"/>
                <w:lang w:eastAsia="zh-CN"/>
              </w:rPr>
              <w:t>（八）对取得的应纳税收入及其有关的成本、费用、损失应与免税收入及其有关的成本、费用、损失分别核算。</w:t>
            </w:r>
          </w:p>
          <w:p>
            <w:pPr>
              <w:ind w:firstLine="420"/>
              <w:rPr>
                <w:rFonts w:hint="eastAsia" w:ascii="仿宋" w:hAnsi="仿宋" w:eastAsia="仿宋" w:cs="仿宋"/>
                <w:sz w:val="15"/>
                <w:szCs w:val="15"/>
                <w:vertAlign w:val="baseline"/>
                <w:lang w:val="en-US" w:eastAsia="zh-CN"/>
              </w:rPr>
            </w:pPr>
            <w:r>
              <w:rPr>
                <w:rFonts w:hint="eastAsia" w:ascii="仿宋" w:hAnsi="仿宋" w:eastAsia="仿宋" w:cs="仿宋"/>
                <w:sz w:val="15"/>
                <w:szCs w:val="15"/>
                <w:vertAlign w:val="baseline"/>
                <w:lang w:val="en-US" w:eastAsia="zh-CN"/>
              </w:rPr>
              <w:t>二、现场或网上办理（网址：http://10.38.244.131/bdzwfw）,提供以下材料，</w:t>
            </w:r>
          </w:p>
          <w:p>
            <w:pPr>
              <w:ind w:firstLine="420"/>
              <w:rPr>
                <w:rFonts w:hint="eastAsia" w:ascii="仿宋" w:hAnsi="仿宋" w:eastAsia="仿宋" w:cs="仿宋"/>
                <w:sz w:val="15"/>
                <w:szCs w:val="15"/>
                <w:vertAlign w:val="baseline"/>
                <w:lang w:val="en-US" w:eastAsia="zh-CN"/>
              </w:rPr>
            </w:pPr>
            <w:r>
              <w:rPr>
                <w:rFonts w:hint="eastAsia" w:ascii="仿宋" w:hAnsi="仿宋" w:eastAsia="仿宋" w:cs="仿宋"/>
                <w:sz w:val="15"/>
                <w:szCs w:val="15"/>
                <w:vertAlign w:val="baseline"/>
                <w:lang w:val="en-US" w:eastAsia="zh-CN"/>
              </w:rPr>
              <w:t>（一）申请报告（原件）</w:t>
            </w:r>
          </w:p>
          <w:p>
            <w:pPr>
              <w:ind w:firstLine="420"/>
              <w:rPr>
                <w:rFonts w:hint="eastAsia" w:ascii="仿宋" w:hAnsi="仿宋" w:eastAsia="仿宋" w:cs="仿宋"/>
                <w:sz w:val="15"/>
                <w:szCs w:val="15"/>
                <w:vertAlign w:val="baseline"/>
                <w:lang w:val="en-US" w:eastAsia="zh-CN"/>
              </w:rPr>
            </w:pPr>
            <w:r>
              <w:rPr>
                <w:rFonts w:hint="eastAsia" w:ascii="仿宋" w:hAnsi="仿宋" w:eastAsia="仿宋" w:cs="仿宋"/>
                <w:sz w:val="15"/>
                <w:szCs w:val="15"/>
                <w:vertAlign w:val="baseline"/>
                <w:lang w:val="en-US" w:eastAsia="zh-CN"/>
              </w:rPr>
              <w:t>（二）河北省非营利组织免税资格认定申请表（原件）</w:t>
            </w:r>
          </w:p>
          <w:p>
            <w:pPr>
              <w:ind w:firstLine="420"/>
              <w:rPr>
                <w:rFonts w:hint="eastAsia" w:ascii="仿宋" w:hAnsi="仿宋" w:eastAsia="仿宋" w:cs="仿宋"/>
                <w:sz w:val="15"/>
                <w:szCs w:val="15"/>
                <w:vertAlign w:val="baseline"/>
                <w:lang w:val="en-US" w:eastAsia="zh-CN"/>
              </w:rPr>
            </w:pPr>
            <w:r>
              <w:rPr>
                <w:rFonts w:hint="eastAsia" w:ascii="仿宋" w:hAnsi="仿宋" w:eastAsia="仿宋" w:cs="仿宋"/>
                <w:sz w:val="15"/>
                <w:szCs w:val="15"/>
                <w:vertAlign w:val="baseline"/>
                <w:lang w:val="en-US" w:eastAsia="zh-CN"/>
              </w:rPr>
              <w:t>（三）事业单位、社会团体、基金会、社会服务机构的组织章程或宗教活动场所、宗教院校的管理制度。（原件）</w:t>
            </w:r>
          </w:p>
          <w:p>
            <w:pPr>
              <w:ind w:firstLine="420"/>
              <w:rPr>
                <w:rFonts w:hint="eastAsia" w:ascii="仿宋" w:hAnsi="仿宋" w:eastAsia="仿宋" w:cs="仿宋"/>
                <w:sz w:val="15"/>
                <w:szCs w:val="15"/>
                <w:vertAlign w:val="baseline"/>
                <w:lang w:val="en-US" w:eastAsia="zh-CN"/>
              </w:rPr>
            </w:pPr>
            <w:r>
              <w:rPr>
                <w:rFonts w:hint="eastAsia" w:ascii="仿宋" w:hAnsi="仿宋" w:eastAsia="仿宋" w:cs="仿宋"/>
                <w:sz w:val="15"/>
                <w:szCs w:val="15"/>
                <w:vertAlign w:val="baseline"/>
                <w:lang w:val="en-US" w:eastAsia="zh-CN"/>
              </w:rPr>
              <w:t>（四）非营利组织注册登记证件（复印件）</w:t>
            </w:r>
          </w:p>
          <w:p>
            <w:pPr>
              <w:ind w:firstLine="420"/>
              <w:rPr>
                <w:rFonts w:hint="eastAsia" w:ascii="仿宋" w:hAnsi="仿宋" w:eastAsia="仿宋" w:cs="仿宋"/>
                <w:sz w:val="15"/>
                <w:szCs w:val="15"/>
                <w:vertAlign w:val="baseline"/>
                <w:lang w:val="en-US" w:eastAsia="zh-CN"/>
              </w:rPr>
            </w:pPr>
            <w:r>
              <w:rPr>
                <w:rFonts w:hint="eastAsia" w:ascii="仿宋" w:hAnsi="仿宋" w:eastAsia="仿宋" w:cs="仿宋"/>
                <w:sz w:val="15"/>
                <w:szCs w:val="15"/>
                <w:vertAlign w:val="baseline"/>
                <w:lang w:val="en-US" w:eastAsia="zh-CN"/>
              </w:rPr>
              <w:t>（五）上一年度的资金来源及使用情况、公益活动和非营利活动的</w:t>
            </w:r>
            <w:bookmarkStart w:id="0" w:name="_GoBack"/>
            <w:bookmarkEnd w:id="0"/>
            <w:r>
              <w:rPr>
                <w:rFonts w:hint="eastAsia" w:ascii="仿宋" w:hAnsi="仿宋" w:eastAsia="仿宋" w:cs="仿宋"/>
                <w:sz w:val="15"/>
                <w:szCs w:val="15"/>
                <w:vertAlign w:val="baseline"/>
                <w:lang w:val="en-US" w:eastAsia="zh-CN"/>
              </w:rPr>
              <w:t>明细情况。（原件）</w:t>
            </w:r>
          </w:p>
          <w:p>
            <w:pPr>
              <w:ind w:firstLine="420"/>
              <w:rPr>
                <w:rFonts w:hint="eastAsia" w:ascii="仿宋" w:hAnsi="仿宋" w:eastAsia="仿宋" w:cs="仿宋"/>
                <w:sz w:val="15"/>
                <w:szCs w:val="15"/>
                <w:vertAlign w:val="baseline"/>
                <w:lang w:val="en-US" w:eastAsia="zh-CN"/>
              </w:rPr>
            </w:pPr>
            <w:r>
              <w:rPr>
                <w:rFonts w:hint="eastAsia" w:ascii="仿宋" w:hAnsi="仿宋" w:eastAsia="仿宋" w:cs="仿宋"/>
                <w:sz w:val="15"/>
                <w:szCs w:val="15"/>
                <w:vertAlign w:val="baseline"/>
                <w:lang w:val="en-US" w:eastAsia="zh-CN"/>
              </w:rPr>
              <w:t>（六）上一年度的工资薪金情况专项报告，包括薪酬制度、工作人员整体平均工资薪金水平、工资福利占总支出比例、重要人员工资薪金信息（至少包括工资薪金水平排名前10的人员）(原件）</w:t>
            </w:r>
          </w:p>
          <w:p>
            <w:pPr>
              <w:ind w:firstLine="420"/>
              <w:rPr>
                <w:rFonts w:hint="eastAsia" w:ascii="仿宋" w:hAnsi="仿宋" w:eastAsia="仿宋" w:cs="仿宋"/>
                <w:sz w:val="15"/>
                <w:szCs w:val="15"/>
                <w:vertAlign w:val="baseline"/>
                <w:lang w:val="en-US" w:eastAsia="zh-CN"/>
              </w:rPr>
            </w:pPr>
            <w:r>
              <w:rPr>
                <w:rFonts w:hint="eastAsia" w:ascii="仿宋" w:hAnsi="仿宋" w:eastAsia="仿宋" w:cs="仿宋"/>
                <w:sz w:val="15"/>
                <w:szCs w:val="15"/>
                <w:vertAlign w:val="baseline"/>
                <w:lang w:val="en-US" w:eastAsia="zh-CN"/>
              </w:rPr>
              <w:t>（七）具有资质的中介机构鉴证的上一年度财务报表和审计报告。（原件）</w:t>
            </w:r>
          </w:p>
          <w:p>
            <w:pPr>
              <w:ind w:firstLine="420"/>
              <w:rPr>
                <w:rFonts w:hint="eastAsia" w:ascii="仿宋" w:hAnsi="仿宋" w:eastAsia="仿宋" w:cs="仿宋"/>
                <w:sz w:val="15"/>
                <w:szCs w:val="15"/>
                <w:vertAlign w:val="baseline"/>
                <w:lang w:val="en-US" w:eastAsia="zh-CN"/>
              </w:rPr>
            </w:pPr>
            <w:r>
              <w:rPr>
                <w:rFonts w:hint="eastAsia" w:ascii="仿宋" w:hAnsi="仿宋" w:eastAsia="仿宋" w:cs="仿宋"/>
                <w:sz w:val="15"/>
                <w:szCs w:val="15"/>
                <w:vertAlign w:val="baseline"/>
                <w:lang w:val="en-US" w:eastAsia="zh-CN"/>
              </w:rPr>
              <w:t>（八）登记管理机关出具的事业单位、社会团体、基金会、社会服务机构、宗教活动场所、宗教院校上一年度符合法律法规和国家政策的事业发展情况或非营利活动的材料。（复印件）</w:t>
            </w:r>
          </w:p>
          <w:p>
            <w:pPr>
              <w:ind w:firstLine="420"/>
              <w:rPr>
                <w:rFonts w:hint="eastAsia" w:ascii="仿宋" w:hAnsi="仿宋" w:eastAsia="仿宋" w:cs="仿宋"/>
                <w:vertAlign w:val="baseline"/>
                <w:lang w:val="en-US" w:eastAsia="zh-CN"/>
              </w:rPr>
            </w:pPr>
            <w:r>
              <w:rPr>
                <w:rFonts w:hint="eastAsia" w:ascii="仿宋" w:hAnsi="仿宋" w:eastAsia="仿宋" w:cs="仿宋"/>
                <w:sz w:val="15"/>
                <w:szCs w:val="15"/>
                <w:vertAlign w:val="baseline"/>
                <w:lang w:val="en-US" w:eastAsia="zh-CN"/>
              </w:rPr>
              <w:t>三、符合规定条件的非营利组织向区税务主管机关提出免税资格申请，并提供规定的相关材料。区财政、税务部门对非营利组织享受免税的资格联合进行审核确认，并予以公布。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2127" w:type="dxa"/>
          </w:tcPr>
          <w:p>
            <w:pPr>
              <w:jc w:val="center"/>
              <w:rPr>
                <w:rFonts w:hint="eastAsia" w:ascii="仿宋" w:hAnsi="仿宋" w:eastAsia="仿宋" w:cs="仿宋"/>
                <w:vertAlign w:val="baseline"/>
                <w:lang w:eastAsia="zh-CN"/>
              </w:rPr>
            </w:pPr>
            <w:r>
              <w:rPr>
                <w:rFonts w:hint="eastAsia" w:ascii="仿宋" w:hAnsi="仿宋" w:eastAsia="仿宋" w:cs="仿宋"/>
                <w:vertAlign w:val="baseline"/>
                <w:lang w:eastAsia="zh-CN"/>
              </w:rPr>
              <w:t>办理结果</w:t>
            </w:r>
          </w:p>
        </w:tc>
        <w:tc>
          <w:tcPr>
            <w:tcW w:w="7565" w:type="dxa"/>
          </w:tcPr>
          <w:p>
            <w:pPr>
              <w:rPr>
                <w:rFonts w:hint="eastAsia" w:ascii="仿宋" w:hAnsi="仿宋" w:eastAsia="仿宋" w:cs="仿宋"/>
                <w:vertAlign w:val="baseline"/>
                <w:lang w:eastAsia="zh-CN"/>
              </w:rPr>
            </w:pPr>
            <w:r>
              <w:rPr>
                <w:rFonts w:hint="eastAsia" w:ascii="仿宋" w:hAnsi="仿宋" w:eastAsia="仿宋" w:cs="仿宋"/>
                <w:vertAlign w:val="baseline"/>
                <w:lang w:eastAsia="zh-CN"/>
              </w:rPr>
              <w:t>税务局、财政局联合认定非营利组织免税资格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2127" w:type="dxa"/>
          </w:tcPr>
          <w:p>
            <w:pPr>
              <w:jc w:val="center"/>
              <w:rPr>
                <w:rFonts w:hint="eastAsia" w:ascii="仿宋" w:hAnsi="仿宋" w:eastAsia="仿宋" w:cs="仿宋"/>
                <w:vertAlign w:val="baseline"/>
                <w:lang w:eastAsia="zh-CN"/>
              </w:rPr>
            </w:pPr>
            <w:r>
              <w:rPr>
                <w:rFonts w:hint="eastAsia" w:ascii="仿宋" w:hAnsi="仿宋" w:eastAsia="仿宋" w:cs="仿宋"/>
                <w:vertAlign w:val="baseline"/>
                <w:lang w:eastAsia="zh-CN"/>
              </w:rPr>
              <w:t>办理期限</w:t>
            </w:r>
          </w:p>
        </w:tc>
        <w:tc>
          <w:tcPr>
            <w:tcW w:w="7565" w:type="dxa"/>
          </w:tcPr>
          <w:p>
            <w:pPr>
              <w:rPr>
                <w:rFonts w:hint="eastAsia" w:ascii="仿宋" w:hAnsi="仿宋" w:eastAsia="仿宋" w:cs="仿宋"/>
                <w:vertAlign w:val="baseline"/>
                <w:lang w:val="en-US" w:eastAsia="zh-CN"/>
              </w:rPr>
            </w:pPr>
            <w:r>
              <w:rPr>
                <w:rFonts w:hint="eastAsia" w:ascii="仿宋" w:hAnsi="仿宋" w:eastAsia="仿宋" w:cs="仿宋"/>
                <w:sz w:val="21"/>
                <w:szCs w:val="21"/>
                <w:vertAlign w:val="baseline"/>
                <w:lang w:val="en-US" w:eastAsia="zh-CN"/>
              </w:rPr>
              <w:t>60个工作日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2127" w:type="dxa"/>
          </w:tcPr>
          <w:p>
            <w:pPr>
              <w:jc w:val="center"/>
              <w:rPr>
                <w:rFonts w:hint="eastAsia" w:ascii="仿宋" w:hAnsi="仿宋" w:eastAsia="仿宋" w:cs="仿宋"/>
                <w:vertAlign w:val="baseline"/>
                <w:lang w:eastAsia="zh-CN"/>
              </w:rPr>
            </w:pPr>
            <w:r>
              <w:rPr>
                <w:rFonts w:hint="eastAsia" w:ascii="仿宋" w:hAnsi="仿宋" w:eastAsia="仿宋" w:cs="仿宋"/>
                <w:vertAlign w:val="baseline"/>
                <w:lang w:eastAsia="zh-CN"/>
              </w:rPr>
              <w:t>监督电话</w:t>
            </w:r>
          </w:p>
        </w:tc>
        <w:tc>
          <w:tcPr>
            <w:tcW w:w="7565" w:type="dxa"/>
          </w:tcPr>
          <w:p>
            <w:pPr>
              <w:rPr>
                <w:rFonts w:hint="default" w:ascii="仿宋" w:hAnsi="仿宋" w:eastAsia="仿宋" w:cs="仿宋"/>
                <w:vertAlign w:val="baseline"/>
                <w:lang w:val="en-US" w:eastAsia="zh-CN"/>
              </w:rPr>
            </w:pPr>
            <w:r>
              <w:rPr>
                <w:rFonts w:hint="eastAsia" w:ascii="仿宋" w:hAnsi="仿宋" w:eastAsia="仿宋" w:cs="仿宋"/>
                <w:vertAlign w:val="baseline"/>
                <w:lang w:val="en-US" w:eastAsia="zh-CN"/>
              </w:rPr>
              <w:t>0312--8685176</w:t>
            </w:r>
          </w:p>
        </w:tc>
      </w:tr>
    </w:tbl>
    <w:p>
      <w:pPr>
        <w:rPr>
          <w:rFonts w:hint="eastAsia"/>
          <w:lang w:eastAsia="zh-CN"/>
        </w:rPr>
      </w:pPr>
    </w:p>
    <w:sectPr>
      <w:pgSz w:w="11906" w:h="16838"/>
      <w:pgMar w:top="986" w:right="1349" w:bottom="873" w:left="134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76D3E"/>
    <w:rsid w:val="1816775F"/>
    <w:rsid w:val="1A165E4D"/>
    <w:rsid w:val="382B07D3"/>
    <w:rsid w:val="3A7E58C6"/>
    <w:rsid w:val="432C71AD"/>
    <w:rsid w:val="43F53A85"/>
    <w:rsid w:val="477A41B1"/>
    <w:rsid w:val="49283796"/>
    <w:rsid w:val="49874BB7"/>
    <w:rsid w:val="50D71D48"/>
    <w:rsid w:val="54F5680E"/>
    <w:rsid w:val="5C0E312C"/>
    <w:rsid w:val="656B5A66"/>
    <w:rsid w:val="65C17E94"/>
    <w:rsid w:val="681B3071"/>
    <w:rsid w:val="738D4F67"/>
    <w:rsid w:val="74865DE9"/>
    <w:rsid w:val="77BA03D0"/>
    <w:rsid w:val="7A6C09E6"/>
    <w:rsid w:val="7E695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2021-12-02T07:44:00Z</dcterms:created>
  <dc:creator>Administrator</dc:creator>
  <cp:lastModifiedBy>user</cp:lastModifiedBy>
  <cp:lastPrinted>2021-12-02T08:19:00Z</cp:lastPrinted>
  <dcterms:modified xsi:type="dcterms:W3CDTF">2024-06-11T10:05:01Z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442BBBAFDFCF47D2AD8BE113E6FB166A</vt:lpwstr>
  </property>
</Properties>
</file>