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54C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r>
        <w:rPr>
          <w:rFonts w:hint="eastAsia" w:ascii="宋体" w:hAnsi="宋体" w:cs="宋体"/>
          <w:sz w:val="40"/>
          <w:szCs w:val="40"/>
          <w:lang w:val="en-US" w:eastAsia="zh-CN"/>
        </w:rPr>
        <w:t>中国人民政治协商会议保定市徐水区委员会</w:t>
      </w:r>
      <w:r>
        <w:rPr>
          <w:rFonts w:hint="default" w:ascii="宋体" w:hAnsi="宋体" w:cs="宋体"/>
          <w:sz w:val="44"/>
          <w:szCs w:val="44"/>
          <w:lang w:val="en-US" w:eastAsia="zh-CN"/>
        </w:rPr>
        <w:t xml:space="preserve">          </w:t>
      </w:r>
      <w:r>
        <w:rPr>
          <w:rFonts w:hint="eastAsia" w:ascii="宋体" w:hAnsi="宋体" w:eastAsia="宋体" w:cs="宋体"/>
          <w:sz w:val="44"/>
          <w:szCs w:val="44"/>
          <w:lang w:val="en-US" w:eastAsia="zh-CN"/>
        </w:rPr>
        <w:t>2023年度部门整体绩效管理自评报告</w:t>
      </w:r>
    </w:p>
    <w:p w14:paraId="44CDDE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44"/>
          <w:szCs w:val="44"/>
          <w:lang w:val="en-US" w:eastAsia="zh-CN"/>
        </w:rPr>
      </w:pPr>
    </w:p>
    <w:p w14:paraId="5B503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D1E1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保定市徐水区财政局关于印发&lt;保定市徐水区预算部门绩效管理考核实施办法（试行）&gt;的通知》（徐政财字〔2023〕73号）和《2023年度区直部门（乡镇）绩效管理自评表》，结合实际情况，中共保定市徐水区委宣传部组织开展部门整体绩效管理自评工作，现将具体情况报告如下：</w:t>
      </w:r>
    </w:p>
    <w:p w14:paraId="49C87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一、部门基本情况</w:t>
      </w:r>
    </w:p>
    <w:p w14:paraId="1E2A2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（一）机构设置和人员配备</w:t>
      </w:r>
    </w:p>
    <w:p w14:paraId="3F9EC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s="DengXian-Regular"/>
          <w:sz w:val="32"/>
          <w:szCs w:val="32"/>
        </w:rPr>
        <w:t>中国人民政治协商会议保定市徐水区委员会为正处级级行政单位，经费保障形式为财政拨款，下设</w:t>
      </w:r>
      <w:r>
        <w:rPr>
          <w:rFonts w:ascii="仿宋_GB2312" w:eastAsia="仿宋_GB2312" w:cs="DengXian-Regular"/>
          <w:sz w:val="32"/>
          <w:szCs w:val="32"/>
        </w:rPr>
        <w:t>5</w:t>
      </w:r>
      <w:r>
        <w:rPr>
          <w:rFonts w:hint="eastAsia" w:ascii="仿宋_GB2312" w:eastAsia="仿宋_GB2312" w:cs="DengXian-Regular"/>
          <w:sz w:val="32"/>
          <w:szCs w:val="32"/>
        </w:rPr>
        <w:t>个科室，分别为办公室、经济法制建设委员会、宣教文卫委员会、提案委员会、环境资源与城乡建设委员会</w:t>
      </w:r>
      <w:r>
        <w:rPr>
          <w:rFonts w:hint="eastAsia" w:ascii="仿宋_GB2312" w:hAnsi="仿宋_GB2312" w:eastAsia="仿宋_GB2312" w:cs="仿宋_GB2312"/>
          <w:sz w:val="32"/>
          <w:szCs w:val="32"/>
          <w:lang w:val="en-US" w:eastAsia="zh-CN"/>
        </w:rPr>
        <w:t>。</w:t>
      </w:r>
    </w:p>
    <w:p w14:paraId="26E2BC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根据《三定方案》，我部门编制数有</w:t>
      </w:r>
      <w:r>
        <w:rPr>
          <w:rFonts w:hint="default"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eastAsia="zh-CN"/>
        </w:rPr>
        <w:t>个，实有在编干部职工</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名。</w:t>
      </w:r>
    </w:p>
    <w:p w14:paraId="76D6A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（二）部门整体绩效目标</w:t>
      </w:r>
    </w:p>
    <w:p w14:paraId="60080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s="DengXian-Regular"/>
          <w:sz w:val="32"/>
          <w:szCs w:val="32"/>
        </w:rPr>
        <w:t>中国人民政治协商会议保定市徐水区委员会</w:t>
      </w:r>
      <w:r>
        <w:rPr>
          <w:rFonts w:hint="eastAsia" w:ascii="仿宋_GB2312" w:hAnsi="仿宋_GB2312" w:eastAsia="仿宋_GB2312" w:cs="仿宋_GB2312"/>
          <w:sz w:val="32"/>
          <w:szCs w:val="32"/>
          <w:lang w:val="en-US" w:eastAsia="zh-CN"/>
        </w:rPr>
        <w:t>根据绩效预算管理政策的相关要求和部门职责，按照“部门职责—工作活动绩效目标”的层级设立了绩效预算架构，具体情况见下表：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756"/>
        <w:gridCol w:w="2056"/>
        <w:gridCol w:w="1981"/>
        <w:gridCol w:w="2233"/>
      </w:tblGrid>
      <w:tr w14:paraId="0A16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9" w:type="pct"/>
            <w:noWrap w:val="0"/>
            <w:vAlign w:val="center"/>
          </w:tcPr>
          <w:p w14:paraId="17D94A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030" w:type="pct"/>
            <w:noWrap w:val="0"/>
            <w:vAlign w:val="center"/>
          </w:tcPr>
          <w:p w14:paraId="4C833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职能</w:t>
            </w:r>
          </w:p>
        </w:tc>
        <w:tc>
          <w:tcPr>
            <w:tcW w:w="1206" w:type="pct"/>
            <w:noWrap w:val="0"/>
            <w:vAlign w:val="center"/>
          </w:tcPr>
          <w:p w14:paraId="62AE5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工作活动</w:t>
            </w:r>
          </w:p>
        </w:tc>
        <w:tc>
          <w:tcPr>
            <w:tcW w:w="1162" w:type="pct"/>
            <w:noWrap w:val="0"/>
            <w:vAlign w:val="center"/>
          </w:tcPr>
          <w:p w14:paraId="134B15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年度工作目标</w:t>
            </w:r>
          </w:p>
        </w:tc>
        <w:tc>
          <w:tcPr>
            <w:tcW w:w="1310" w:type="pct"/>
            <w:noWrap w:val="0"/>
            <w:vAlign w:val="center"/>
          </w:tcPr>
          <w:p w14:paraId="36CF84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对应项目支出</w:t>
            </w:r>
          </w:p>
        </w:tc>
      </w:tr>
      <w:tr w14:paraId="48CF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9" w:type="pct"/>
            <w:noWrap w:val="0"/>
            <w:vAlign w:val="center"/>
          </w:tcPr>
          <w:p w14:paraId="540CF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30" w:type="pct"/>
            <w:noWrap w:val="0"/>
            <w:vAlign w:val="center"/>
          </w:tcPr>
          <w:p w14:paraId="3E35F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政协会议</w:t>
            </w:r>
          </w:p>
        </w:tc>
        <w:tc>
          <w:tcPr>
            <w:tcW w:w="1206" w:type="pct"/>
            <w:noWrap w:val="0"/>
            <w:vAlign w:val="center"/>
          </w:tcPr>
          <w:p w14:paraId="740C07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0"/>
                <w:szCs w:val="20"/>
                <w:vertAlign w:val="baseline"/>
                <w:lang w:val="en-US" w:eastAsia="zh-CN"/>
              </w:rPr>
              <w:t>组织政协全体会议、主席会议、</w:t>
            </w:r>
            <w:r>
              <w:rPr>
                <w:rFonts w:hint="eastAsia" w:ascii="宋体" w:hAnsi="宋体" w:cs="宋体"/>
                <w:sz w:val="21"/>
                <w:szCs w:val="21"/>
                <w:vertAlign w:val="baseline"/>
                <w:lang w:val="en-US" w:eastAsia="zh-CN"/>
              </w:rPr>
              <w:t>常委会议</w:t>
            </w:r>
          </w:p>
        </w:tc>
        <w:tc>
          <w:tcPr>
            <w:tcW w:w="1162" w:type="pct"/>
            <w:noWrap w:val="0"/>
            <w:vAlign w:val="center"/>
          </w:tcPr>
          <w:p w14:paraId="1A7BC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t>组织</w:t>
            </w:r>
            <w:r>
              <w:rPr>
                <w:rFonts w:hint="eastAsia"/>
                <w:lang w:val="en-US" w:eastAsia="zh-CN"/>
              </w:rPr>
              <w:t>会议</w:t>
            </w:r>
            <w:r>
              <w:rPr>
                <w:rFonts w:hint="default"/>
                <w:lang w:val="en-US" w:eastAsia="zh-CN"/>
              </w:rPr>
              <w:t>1</w:t>
            </w:r>
            <w:r>
              <w:rPr>
                <w:rFonts w:hint="eastAsia"/>
                <w:lang w:val="en-US" w:eastAsia="zh-CN"/>
              </w:rPr>
              <w:t>以上</w:t>
            </w:r>
          </w:p>
        </w:tc>
        <w:tc>
          <w:tcPr>
            <w:tcW w:w="1310" w:type="pct"/>
            <w:noWrap w:val="0"/>
            <w:vAlign w:val="center"/>
          </w:tcPr>
          <w:p w14:paraId="26D1F3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lang w:val="en-US" w:eastAsia="zh-CN"/>
              </w:rPr>
              <w:t>政协会议</w:t>
            </w:r>
          </w:p>
        </w:tc>
      </w:tr>
      <w:tr w14:paraId="5F9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9" w:type="pct"/>
            <w:noWrap w:val="0"/>
            <w:vAlign w:val="center"/>
          </w:tcPr>
          <w:p w14:paraId="23203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30" w:type="pct"/>
            <w:noWrap w:val="0"/>
            <w:vAlign w:val="center"/>
          </w:tcPr>
          <w:p w14:paraId="244A6B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参政议政</w:t>
            </w:r>
          </w:p>
        </w:tc>
        <w:tc>
          <w:tcPr>
            <w:tcW w:w="1206" w:type="pct"/>
            <w:noWrap w:val="0"/>
            <w:vAlign w:val="center"/>
          </w:tcPr>
          <w:p w14:paraId="62AA6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lang w:val="en-US" w:eastAsia="zh-CN"/>
              </w:rPr>
              <w:t>组织委员参政议政，视察调研</w:t>
            </w:r>
          </w:p>
        </w:tc>
        <w:tc>
          <w:tcPr>
            <w:tcW w:w="1162" w:type="pct"/>
            <w:noWrap w:val="0"/>
            <w:vAlign w:val="center"/>
          </w:tcPr>
          <w:p w14:paraId="7E553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t>组织开展</w:t>
            </w:r>
            <w:r>
              <w:rPr>
                <w:rFonts w:hint="eastAsia"/>
                <w:lang w:val="en-US" w:eastAsia="zh-CN"/>
              </w:rPr>
              <w:t>调研</w:t>
            </w:r>
            <w:r>
              <w:t>活动次数（次）</w:t>
            </w:r>
            <w:r>
              <w:rPr>
                <w:rFonts w:hint="default"/>
                <w:lang w:val="en-US"/>
              </w:rPr>
              <w:t>5</w:t>
            </w:r>
            <w:r>
              <w:t>次以上</w:t>
            </w:r>
          </w:p>
        </w:tc>
        <w:tc>
          <w:tcPr>
            <w:tcW w:w="1310" w:type="pct"/>
            <w:noWrap w:val="0"/>
            <w:vAlign w:val="center"/>
          </w:tcPr>
          <w:p w14:paraId="4D3F05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专题调研经费</w:t>
            </w:r>
          </w:p>
        </w:tc>
      </w:tr>
      <w:tr w14:paraId="5297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89" w:type="pct"/>
            <w:noWrap w:val="0"/>
            <w:vAlign w:val="center"/>
          </w:tcPr>
          <w:p w14:paraId="094B9A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30" w:type="pct"/>
            <w:noWrap w:val="0"/>
            <w:vAlign w:val="center"/>
          </w:tcPr>
          <w:p w14:paraId="7C30F1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政协事务管理</w:t>
            </w:r>
          </w:p>
        </w:tc>
        <w:tc>
          <w:tcPr>
            <w:tcW w:w="1206" w:type="pct"/>
            <w:noWrap w:val="0"/>
            <w:vAlign w:val="center"/>
          </w:tcPr>
          <w:p w14:paraId="5DF70D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eastAsia="宋体"/>
                <w:lang w:val="en-US" w:eastAsia="zh-CN"/>
              </w:rPr>
              <w:t>确保各项业务工作谋划到位、顺利开展</w:t>
            </w:r>
          </w:p>
        </w:tc>
        <w:tc>
          <w:tcPr>
            <w:tcW w:w="1162" w:type="pct"/>
            <w:noWrap w:val="0"/>
            <w:vAlign w:val="center"/>
          </w:tcPr>
          <w:p w14:paraId="1FB9B6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t>保障机关工作正常高效运转</w:t>
            </w:r>
          </w:p>
        </w:tc>
        <w:tc>
          <w:tcPr>
            <w:tcW w:w="1310" w:type="pct"/>
            <w:noWrap w:val="0"/>
            <w:vAlign w:val="center"/>
          </w:tcPr>
          <w:p w14:paraId="37EF1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保洁经费、报刊征订经费</w:t>
            </w:r>
          </w:p>
        </w:tc>
      </w:tr>
    </w:tbl>
    <w:p w14:paraId="6E786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方正黑体_GBK" w:hAnsi="方正黑体_GBK" w:eastAsia="方正黑体_GBK" w:cs="方正黑体_GBK"/>
          <w:sz w:val="32"/>
          <w:szCs w:val="32"/>
          <w:lang w:val="en-US" w:eastAsia="zh-CN"/>
        </w:rPr>
        <w:t xml:space="preserve">二、部门绩效考核自评情况 </w:t>
      </w:r>
      <w:r>
        <w:rPr>
          <w:rFonts w:hint="eastAsia" w:ascii="黑体" w:hAnsi="黑体" w:eastAsia="黑体" w:cs="黑体"/>
          <w:sz w:val="32"/>
          <w:szCs w:val="32"/>
          <w:lang w:val="en-US" w:eastAsia="zh-CN"/>
        </w:rPr>
        <w:t xml:space="preserve">  </w:t>
      </w:r>
    </w:p>
    <w:p w14:paraId="13856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2023年，我部门积极履职，强化管理，较好的完成了各项工作，通过自评，我部门管理绩效考核得分为</w:t>
      </w:r>
      <w:r>
        <w:rPr>
          <w:rFonts w:hint="default" w:ascii="仿宋_GB2312" w:hAnsi="仿宋_GB2312" w:eastAsia="仿宋_GB2312" w:cs="仿宋_GB2312"/>
          <w:sz w:val="32"/>
          <w:szCs w:val="32"/>
          <w:lang w:val="en-US" w:eastAsia="zh-CN"/>
        </w:rPr>
        <w:t>69.7</w:t>
      </w:r>
      <w:r>
        <w:rPr>
          <w:rFonts w:hint="eastAsia" w:ascii="仿宋_GB2312" w:hAnsi="仿宋_GB2312" w:eastAsia="仿宋_GB2312" w:cs="仿宋_GB2312"/>
          <w:sz w:val="32"/>
          <w:szCs w:val="32"/>
          <w:lang w:val="en-US" w:eastAsia="zh-CN"/>
        </w:rPr>
        <w:t>分，换算得分</w:t>
      </w:r>
      <w:r>
        <w:rPr>
          <w:rFonts w:hint="default" w:ascii="仿宋_GB2312" w:hAnsi="仿宋_GB2312" w:eastAsia="仿宋_GB2312" w:cs="仿宋_GB2312"/>
          <w:sz w:val="32"/>
          <w:szCs w:val="32"/>
          <w:lang w:val="en-US" w:eastAsia="zh-CN"/>
        </w:rPr>
        <w:t>95.48</w:t>
      </w:r>
      <w:r>
        <w:rPr>
          <w:rFonts w:hint="eastAsia" w:ascii="仿宋_GB2312" w:hAnsi="仿宋_GB2312" w:eastAsia="仿宋_GB2312" w:cs="仿宋_GB2312"/>
          <w:sz w:val="32"/>
          <w:szCs w:val="32"/>
          <w:lang w:val="en-US" w:eastAsia="zh-CN"/>
        </w:rPr>
        <w:t>分，具体情况如下：</w:t>
      </w:r>
    </w:p>
    <w:p w14:paraId="25EBA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（一）重大政策落实情况，得分</w:t>
      </w:r>
      <w:r>
        <w:rPr>
          <w:rFonts w:hint="default" w:ascii="楷体_GB2312" w:hAnsi="楷体_GB2312" w:eastAsia="楷体_GB2312" w:cs="楷体_GB2312"/>
          <w:sz w:val="32"/>
          <w:szCs w:val="32"/>
          <w:lang w:val="en-US" w:eastAsia="zh-CN"/>
        </w:rPr>
        <w:t>3.5</w:t>
      </w:r>
      <w:r>
        <w:rPr>
          <w:rFonts w:hint="eastAsia" w:ascii="楷体_GB2312" w:hAnsi="楷体_GB2312" w:eastAsia="楷体_GB2312" w:cs="楷体_GB2312"/>
          <w:sz w:val="32"/>
          <w:szCs w:val="32"/>
          <w:lang w:val="en-US" w:eastAsia="zh-CN"/>
        </w:rPr>
        <w:t>分</w:t>
      </w:r>
    </w:p>
    <w:p w14:paraId="42BB8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1.专项资金管理情况</w:t>
      </w:r>
    </w:p>
    <w:p w14:paraId="35530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我部门无分配分管专项资金。</w:t>
      </w:r>
    </w:p>
    <w:p w14:paraId="68C5F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2.“三保”支出保障情况。我部门2023年严格按照中央、省、市和区委区政府决策部署，足额保障“三保”政策落实。具体情况如下：</w:t>
      </w:r>
    </w:p>
    <w:p w14:paraId="02BCB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（1）我部门无保基本民生资金安排；</w:t>
      </w:r>
    </w:p>
    <w:p w14:paraId="69023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（2）保工资安排资金</w:t>
      </w:r>
      <w:r>
        <w:rPr>
          <w:rFonts w:hint="default" w:ascii="仿宋_GB2312" w:hAnsi="仿宋_GB2312" w:eastAsia="仿宋_GB2312" w:cs="仿宋_GB2312"/>
          <w:sz w:val="32"/>
          <w:szCs w:val="32"/>
          <w:lang w:val="en-US" w:eastAsia="zh-CN"/>
        </w:rPr>
        <w:t>486.17</w:t>
      </w:r>
      <w:r>
        <w:rPr>
          <w:rFonts w:hint="eastAsia" w:ascii="仿宋_GB2312" w:hAnsi="仿宋_GB2312" w:eastAsia="仿宋_GB2312" w:cs="仿宋_GB2312"/>
          <w:sz w:val="32"/>
          <w:szCs w:val="32"/>
          <w:lang w:val="en-US" w:eastAsia="zh-CN"/>
        </w:rPr>
        <w:t>万元，实际支出</w:t>
      </w:r>
      <w:r>
        <w:rPr>
          <w:rFonts w:hint="default" w:ascii="仿宋_GB2312" w:hAnsi="仿宋_GB2312" w:eastAsia="仿宋_GB2312" w:cs="仿宋_GB2312"/>
          <w:sz w:val="32"/>
          <w:szCs w:val="32"/>
          <w:lang w:val="en-US" w:eastAsia="zh-CN"/>
        </w:rPr>
        <w:t>486.17</w:t>
      </w:r>
      <w:r>
        <w:rPr>
          <w:rFonts w:hint="eastAsia" w:ascii="仿宋_GB2312" w:hAnsi="仿宋_GB2312" w:eastAsia="仿宋_GB2312" w:cs="仿宋_GB2312"/>
          <w:sz w:val="32"/>
          <w:szCs w:val="32"/>
          <w:lang w:val="en-US" w:eastAsia="zh-CN"/>
        </w:rPr>
        <w:t>万元，机关事业单位人员工资、保险已按时足额落实；</w:t>
      </w:r>
      <w:r>
        <w:rPr>
          <w:rFonts w:hint="default" w:ascii="仿宋_GB2312" w:hAnsi="仿宋_GB2312" w:eastAsia="仿宋_GB2312" w:cs="仿宋_GB2312"/>
          <w:sz w:val="32"/>
          <w:szCs w:val="32"/>
          <w:lang w:val="en-US" w:eastAsia="zh-CN"/>
        </w:rPr>
        <w:t xml:space="preserve"> </w:t>
      </w:r>
    </w:p>
    <w:p w14:paraId="516E3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（3）保运转安排资金</w:t>
      </w:r>
      <w:r>
        <w:rPr>
          <w:rFonts w:hint="default" w:ascii="仿宋_GB2312" w:hAnsi="仿宋_GB2312" w:eastAsia="仿宋_GB2312" w:cs="仿宋_GB2312"/>
          <w:sz w:val="32"/>
          <w:szCs w:val="32"/>
          <w:lang w:val="en-US" w:eastAsia="zh-CN"/>
        </w:rPr>
        <w:t>58.12</w:t>
      </w:r>
      <w:r>
        <w:rPr>
          <w:rFonts w:hint="eastAsia" w:ascii="仿宋_GB2312" w:hAnsi="仿宋_GB2312" w:eastAsia="仿宋_GB2312" w:cs="仿宋_GB2312"/>
          <w:sz w:val="32"/>
          <w:szCs w:val="32"/>
          <w:lang w:val="en-US" w:eastAsia="zh-CN"/>
        </w:rPr>
        <w:t>万元，实际支出</w:t>
      </w:r>
      <w:r>
        <w:rPr>
          <w:rFonts w:hint="default" w:ascii="仿宋_GB2312" w:hAnsi="仿宋_GB2312" w:eastAsia="仿宋_GB2312" w:cs="仿宋_GB2312"/>
          <w:sz w:val="32"/>
          <w:szCs w:val="32"/>
          <w:lang w:val="en-US" w:eastAsia="zh-CN"/>
        </w:rPr>
        <w:t>58.12</w:t>
      </w:r>
      <w:r>
        <w:rPr>
          <w:rFonts w:hint="eastAsia" w:ascii="仿宋_GB2312" w:hAnsi="仿宋_GB2312" w:eastAsia="仿宋_GB2312" w:cs="仿宋_GB2312"/>
          <w:sz w:val="32"/>
          <w:szCs w:val="32"/>
          <w:lang w:val="en-US" w:eastAsia="zh-CN"/>
        </w:rPr>
        <w:t>万元，保障单位工作正常运转。</w:t>
      </w:r>
    </w:p>
    <w:p w14:paraId="2A755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3.落实过紧日子要求情况。我部门2023年严格按照不折不扣落实政府“过紧日子”要求，厉行节约办一切事业，从紧安排项目支出，严格执行各项经费开支标准，严格控制“三公”经费支出。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2022年我部门三公经费</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3.94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万元，2023年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4.38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万元，较2022年增加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0.44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万元，主要是</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年车辆大修及公务接待增加，导致三公经费支出增加。</w:t>
      </w:r>
    </w:p>
    <w:p w14:paraId="0752F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4.减税降费等政策的落实情况。我部门高度重视减税降费工作，严格落实各项减税降费政策。</w:t>
      </w:r>
    </w:p>
    <w:p w14:paraId="7BAED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费项目信息公开情况。我部门无信息在政府网站和收费地点的显著位置公示，包括收费项目、收费标准、收费主体、计费单位、收费依据、收费范围、收费对象、征收方式、减免规定、监督举报电话等。各项卷宗（台账）齐全准确，降费退费、减免事项办理规范精准。</w:t>
      </w:r>
    </w:p>
    <w:p w14:paraId="1BB0C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税收入预算编制情况。我部门严格按照规定的收入项目、征收范围和征收标准编报国有资产出租出借非税收入预算，准确界定收入类别，参照前两年实际完成及今年预计完成情况、预测明年的增减收因素，科学准确测算编制非税收入计划，无变动幅度在30%及以上的项目。</w:t>
      </w:r>
    </w:p>
    <w:p w14:paraId="0F0C9A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2023年，我部门及时足额上缴非税收入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万元，其中：国有资产出租出借收入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0.09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p>
    <w:p w14:paraId="422A7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（3）罚没财物管理情况。我部门无罚没事项。</w:t>
      </w:r>
    </w:p>
    <w:p w14:paraId="5EAD5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（4）按规定使用、核销财政电子票据，于</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val="en-US" w:eastAsia="zh-CN"/>
        </w:rPr>
        <w:t>日前完成票据核销。</w:t>
      </w:r>
    </w:p>
    <w:p w14:paraId="2274F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（二）预算编制管理情况，得分</w:t>
      </w:r>
      <w:r>
        <w:rPr>
          <w:rFonts w:hint="default"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lang w:val="en-US" w:eastAsia="zh-CN"/>
        </w:rPr>
        <w:t>分</w:t>
      </w:r>
    </w:p>
    <w:p w14:paraId="24F98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1.制度建设情况。我部门按照“三重一大”政策要求，对申报预算的项目认真的进行前期论证，并经过党组会议专题研究，对项目预算的绩效目标指标设定和部门预算草案、分年度计划均进行研究和审议。</w:t>
      </w:r>
    </w:p>
    <w:p w14:paraId="25540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编制情况。我部门规范完整编制部门预算，在规定时间内，按照要求报送年初预算编制相关资料，将年初预算项目按财政部门要求录入一体化系统，同时生成并审核报送部门预算文本和部门绩效文本，报送文本准确无误。现将预算编制情况说明如下：</w:t>
      </w:r>
    </w:p>
    <w:p w14:paraId="043BB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（1）收支预算。2023年我部门预算收入</w:t>
      </w:r>
      <w:r>
        <w:rPr>
          <w:rFonts w:hint="default" w:ascii="仿宋_GB2312" w:hAnsi="仿宋_GB2312" w:eastAsia="仿宋_GB2312" w:cs="仿宋_GB2312"/>
          <w:sz w:val="32"/>
          <w:szCs w:val="32"/>
          <w:lang w:val="en-US" w:eastAsia="zh-CN"/>
        </w:rPr>
        <w:t>662.52</w:t>
      </w:r>
      <w:r>
        <w:rPr>
          <w:rFonts w:hint="eastAsia" w:ascii="仿宋_GB2312" w:hAnsi="仿宋_GB2312" w:eastAsia="仿宋_GB2312" w:cs="仿宋_GB2312"/>
          <w:sz w:val="32"/>
          <w:szCs w:val="32"/>
          <w:lang w:val="en-US" w:eastAsia="zh-CN"/>
        </w:rPr>
        <w:t>万元，其中：一般公共预算拨款</w:t>
      </w:r>
      <w:r>
        <w:rPr>
          <w:rFonts w:hint="default" w:ascii="仿宋_GB2312" w:hAnsi="仿宋_GB2312" w:eastAsia="仿宋_GB2312" w:cs="仿宋_GB2312"/>
          <w:sz w:val="32"/>
          <w:szCs w:val="32"/>
          <w:lang w:val="en-US" w:eastAsia="zh-CN"/>
        </w:rPr>
        <w:t>662.51</w:t>
      </w:r>
      <w:r>
        <w:rPr>
          <w:rFonts w:hint="eastAsia" w:ascii="仿宋_GB2312" w:hAnsi="仿宋_GB2312" w:eastAsia="仿宋_GB2312" w:cs="仿宋_GB2312"/>
          <w:sz w:val="32"/>
          <w:szCs w:val="32"/>
          <w:lang w:val="en-US" w:eastAsia="zh-CN"/>
        </w:rPr>
        <w:t>万元，政府性基金拨款</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万元，财政专户收入</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万元，其他收入</w:t>
      </w:r>
      <w:r>
        <w:rPr>
          <w:rFonts w:hint="default"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val="en-US" w:eastAsia="zh-CN"/>
        </w:rPr>
        <w:t>万元。预算支出按功能分类包含：一般公共服务支出</w:t>
      </w:r>
      <w:r>
        <w:rPr>
          <w:rFonts w:hint="default" w:ascii="仿宋_GB2312" w:hAnsi="仿宋_GB2312" w:eastAsia="仿宋_GB2312" w:cs="仿宋_GB2312"/>
          <w:sz w:val="32"/>
          <w:szCs w:val="32"/>
          <w:lang w:val="en-US" w:eastAsia="zh-CN"/>
        </w:rPr>
        <w:t>455.62</w:t>
      </w:r>
      <w:r>
        <w:rPr>
          <w:rFonts w:hint="eastAsia" w:ascii="仿宋_GB2312" w:hAnsi="仿宋_GB2312" w:eastAsia="仿宋_GB2312" w:cs="仿宋_GB2312"/>
          <w:sz w:val="32"/>
          <w:szCs w:val="32"/>
          <w:lang w:val="en-US" w:eastAsia="zh-CN"/>
        </w:rPr>
        <w:t>万元，公共安全支出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万元，教育支出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万元，科学技术支出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万元，文化旅游体育与传媒支出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万元，社会保障和就业支出</w:t>
      </w:r>
      <w:r>
        <w:rPr>
          <w:rFonts w:hint="default" w:ascii="仿宋_GB2312" w:hAnsi="仿宋_GB2312" w:eastAsia="仿宋_GB2312" w:cs="仿宋_GB2312"/>
          <w:sz w:val="32"/>
          <w:szCs w:val="32"/>
          <w:lang w:val="en-US" w:eastAsia="zh-CN"/>
        </w:rPr>
        <w:t>155.12</w:t>
      </w:r>
      <w:r>
        <w:rPr>
          <w:rFonts w:hint="eastAsia" w:ascii="仿宋_GB2312" w:hAnsi="仿宋_GB2312" w:eastAsia="仿宋_GB2312" w:cs="仿宋_GB2312"/>
          <w:sz w:val="32"/>
          <w:szCs w:val="32"/>
          <w:lang w:val="en-US" w:eastAsia="zh-CN"/>
        </w:rPr>
        <w:t>万元，卫生健康支出</w:t>
      </w:r>
      <w:r>
        <w:rPr>
          <w:rFonts w:hint="default" w:ascii="仿宋_GB2312" w:hAnsi="仿宋_GB2312" w:eastAsia="仿宋_GB2312" w:cs="仿宋_GB2312"/>
          <w:sz w:val="32"/>
          <w:szCs w:val="32"/>
          <w:lang w:val="en-US" w:eastAsia="zh-CN"/>
        </w:rPr>
        <w:t>22.91</w:t>
      </w:r>
      <w:r>
        <w:rPr>
          <w:rFonts w:hint="eastAsia" w:ascii="仿宋_GB2312" w:hAnsi="仿宋_GB2312" w:eastAsia="仿宋_GB2312" w:cs="仿宋_GB2312"/>
          <w:sz w:val="32"/>
          <w:szCs w:val="32"/>
          <w:lang w:val="en-US" w:eastAsia="zh-CN"/>
        </w:rPr>
        <w:t>万元，住房保障支出</w:t>
      </w:r>
      <w:r>
        <w:rPr>
          <w:rFonts w:hint="default" w:ascii="仿宋_GB2312" w:hAnsi="仿宋_GB2312" w:eastAsia="仿宋_GB2312" w:cs="仿宋_GB2312"/>
          <w:sz w:val="32"/>
          <w:szCs w:val="32"/>
          <w:lang w:val="en-US" w:eastAsia="zh-CN"/>
        </w:rPr>
        <w:t>28.87</w:t>
      </w:r>
      <w:r>
        <w:rPr>
          <w:rFonts w:hint="eastAsia" w:ascii="仿宋_GB2312" w:hAnsi="仿宋_GB2312" w:eastAsia="仿宋_GB2312" w:cs="仿宋_GB2312"/>
          <w:sz w:val="32"/>
          <w:szCs w:val="32"/>
          <w:lang w:val="en-US" w:eastAsia="zh-CN"/>
        </w:rPr>
        <w:t>万元。</w:t>
      </w:r>
    </w:p>
    <w:p w14:paraId="222D9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（2）三公经费预算。2023年我部门安排三公经费</w:t>
      </w:r>
      <w:r>
        <w:rPr>
          <w:rFonts w:hint="default" w:ascii="仿宋_GB2312" w:hAnsi="仿宋_GB2312" w:eastAsia="仿宋_GB2312" w:cs="仿宋_GB2312"/>
          <w:sz w:val="32"/>
          <w:szCs w:val="32"/>
          <w:lang w:val="en-US" w:eastAsia="zh-CN"/>
        </w:rPr>
        <w:t>55.67</w:t>
      </w:r>
      <w:r>
        <w:rPr>
          <w:rFonts w:hint="eastAsia" w:ascii="仿宋_GB2312" w:hAnsi="仿宋_GB2312" w:eastAsia="仿宋_GB2312" w:cs="仿宋_GB2312"/>
          <w:sz w:val="32"/>
          <w:szCs w:val="32"/>
          <w:lang w:val="en-US" w:eastAsia="zh-CN"/>
        </w:rPr>
        <w:t>万元，其中：公务用车运行维护费</w:t>
      </w:r>
      <w:r>
        <w:rPr>
          <w:rFonts w:hint="default" w:ascii="仿宋_GB2312" w:hAnsi="仿宋_GB2312" w:eastAsia="仿宋_GB2312" w:cs="仿宋_GB2312"/>
          <w:sz w:val="32"/>
          <w:szCs w:val="32"/>
          <w:lang w:val="en-US" w:eastAsia="zh-CN"/>
        </w:rPr>
        <w:t>9.72</w:t>
      </w:r>
      <w:r>
        <w:rPr>
          <w:rFonts w:hint="eastAsia" w:ascii="仿宋_GB2312" w:hAnsi="仿宋_GB2312" w:eastAsia="仿宋_GB2312" w:cs="仿宋_GB2312"/>
          <w:sz w:val="32"/>
          <w:szCs w:val="32"/>
          <w:lang w:val="en-US" w:eastAsia="zh-CN"/>
        </w:rPr>
        <w:t>万元，公务接待费</w:t>
      </w:r>
      <w:r>
        <w:rPr>
          <w:rFonts w:hint="default"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val="en-US" w:eastAsia="zh-CN"/>
        </w:rPr>
        <w:t>万元，会议费</w:t>
      </w:r>
      <w:r>
        <w:rPr>
          <w:rFonts w:hint="default"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val="en-US" w:eastAsia="zh-CN"/>
        </w:rPr>
        <w:t>万元，培训费</w:t>
      </w:r>
      <w:r>
        <w:rPr>
          <w:rFonts w:hint="default" w:ascii="仿宋_GB2312" w:hAnsi="仿宋_GB2312" w:eastAsia="仿宋_GB2312" w:cs="仿宋_GB2312"/>
          <w:sz w:val="32"/>
          <w:szCs w:val="32"/>
          <w:lang w:val="en-US" w:eastAsia="zh-CN"/>
        </w:rPr>
        <w:t>0.45</w:t>
      </w:r>
      <w:r>
        <w:rPr>
          <w:rFonts w:hint="eastAsia" w:ascii="仿宋_GB2312" w:hAnsi="仿宋_GB2312" w:eastAsia="仿宋_GB2312" w:cs="仿宋_GB2312"/>
          <w:sz w:val="32"/>
          <w:szCs w:val="32"/>
          <w:lang w:val="en-US" w:eastAsia="zh-CN"/>
        </w:rPr>
        <w:t>万元。</w:t>
      </w:r>
    </w:p>
    <w:p w14:paraId="6CA89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（3）非税收入计划。2023年我部门未安排非税收入。</w:t>
      </w:r>
    </w:p>
    <w:p w14:paraId="23E0F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（4）政府采购预算和新增资产预算。2023年我部门未安排新增资产预算。</w:t>
      </w:r>
    </w:p>
    <w:p w14:paraId="79D3E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3.各类资源统筹管理情况。我部门依法依规将取得的各类预算拨款收入纳入部门预算，其中：预算拨款结转</w:t>
      </w:r>
      <w:r>
        <w:rPr>
          <w:rFonts w:hint="default"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val="en-US" w:eastAsia="zh-CN"/>
        </w:rPr>
        <w:t>万元、其他收入</w:t>
      </w:r>
      <w:r>
        <w:rPr>
          <w:rFonts w:hint="default"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lang w:val="en-US" w:eastAsia="zh-CN"/>
        </w:rPr>
        <w:t>万元。年度当中，将财政拨款结转结余资金，按照政策在年度中进行盘活处理，及时交回财政</w:t>
      </w:r>
      <w:r>
        <w:rPr>
          <w:rFonts w:hint="default"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val="en-US" w:eastAsia="zh-CN"/>
        </w:rPr>
        <w:t>万元。</w:t>
      </w:r>
    </w:p>
    <w:p w14:paraId="061CB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（三）预算执行管理情况，得分</w:t>
      </w:r>
      <w:r>
        <w:rPr>
          <w:rFonts w:hint="default"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lang w:val="en-US" w:eastAsia="zh-CN"/>
        </w:rPr>
        <w:t>分</w:t>
      </w:r>
    </w:p>
    <w:p w14:paraId="638F2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1.预算执行监督情况</w:t>
      </w:r>
    </w:p>
    <w:p w14:paraId="41569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（1）预警处理情况。重点关注一体化平台预算执行监督预警提示的问题，在</w:t>
      </w:r>
      <w:r>
        <w:rPr>
          <w:rFonts w:hint="eastAsia" w:ascii="宋体" w:hAnsi="宋体" w:cs="宋体"/>
          <w:sz w:val="32"/>
          <w:szCs w:val="32"/>
          <w:lang w:val="en-US" w:eastAsia="zh-CN"/>
        </w:rPr>
        <w:t>各</w:t>
      </w:r>
      <w:r>
        <w:rPr>
          <w:rFonts w:hint="eastAsia" w:ascii="仿宋_GB2312" w:hAnsi="仿宋_GB2312" w:eastAsia="仿宋_GB2312" w:cs="仿宋_GB2312"/>
          <w:sz w:val="32"/>
          <w:szCs w:val="32"/>
          <w:lang w:val="en-US" w:eastAsia="zh-CN"/>
        </w:rPr>
        <w:t>方面无提示预警，确保全区考核不丢分。</w:t>
      </w:r>
    </w:p>
    <w:p w14:paraId="0D2FF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（2）预算执行违规情况。我部门不</w:t>
      </w:r>
      <w:r>
        <w:rPr>
          <w:rFonts w:hint="default" w:ascii="仿宋_GB2312" w:hAnsi="仿宋_GB2312" w:eastAsia="仿宋_GB2312" w:cs="仿宋_GB2312"/>
          <w:sz w:val="32"/>
          <w:szCs w:val="32"/>
          <w:lang w:val="en-US" w:eastAsia="zh-CN"/>
        </w:rPr>
        <w:t>存在无预算、超预算安排支出</w:t>
      </w:r>
      <w:r>
        <w:rPr>
          <w:rFonts w:hint="eastAsia" w:ascii="仿宋_GB2312" w:hAnsi="仿宋_GB2312" w:eastAsia="仿宋_GB2312" w:cs="仿宋_GB2312"/>
          <w:sz w:val="32"/>
          <w:szCs w:val="32"/>
          <w:lang w:val="en-US" w:eastAsia="zh-CN"/>
        </w:rPr>
        <w:t>的情况，不存在</w:t>
      </w:r>
      <w:r>
        <w:rPr>
          <w:rFonts w:hint="default" w:ascii="仿宋_GB2312" w:hAnsi="仿宋_GB2312" w:eastAsia="仿宋_GB2312" w:cs="仿宋_GB2312"/>
          <w:sz w:val="32"/>
          <w:szCs w:val="32"/>
          <w:lang w:val="en-US" w:eastAsia="zh-CN"/>
        </w:rPr>
        <w:t>开展政府采购、将基本户资金违规拨入专户，被督查、审计、日常监管、专项检查指出或发现问题的</w:t>
      </w:r>
      <w:r>
        <w:rPr>
          <w:rFonts w:hint="eastAsia" w:ascii="仿宋_GB2312" w:hAnsi="仿宋_GB2312" w:eastAsia="仿宋_GB2312" w:cs="仿宋_GB2312"/>
          <w:sz w:val="32"/>
          <w:szCs w:val="32"/>
          <w:lang w:val="en-US" w:eastAsia="zh-CN"/>
        </w:rPr>
        <w:t>行为。</w:t>
      </w:r>
    </w:p>
    <w:p w14:paraId="04B75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2.预算执行分析情况。2023年，我部门及时规范填报财务报表、“三公”经费报表和专户报表，报表准确无退回。</w:t>
      </w:r>
    </w:p>
    <w:p w14:paraId="0DCA2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3.暂付款项管理情况。我部门严格控制暂付款的规模，无新增暂付款。</w:t>
      </w:r>
    </w:p>
    <w:p w14:paraId="02067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4.部门决算管理情况。我部门决算编报收支真实、数据准确、内容完整、报送及时，符合法律、行政法规规定。2022年我部门决算收入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741.13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万元，其中：财政拨款收入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741.12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万元，其他收入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万元（为利息收入）。决算支出按功能分类包含：一般公共服务支出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599.50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万元，占比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80.89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%；社会保障和就业支出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108.97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万元，占比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14.70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%；卫生健康支出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11.59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万元，占比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1.56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%；住房保障支出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21.08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万元，占比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2.84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2A6EC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5.政府财务报告管理情况。</w:t>
      </w:r>
      <w:r>
        <w:rPr>
          <w:rFonts w:hint="eastAsia" w:ascii="仿宋_GB2312" w:hAnsi="仿宋_GB2312" w:eastAsia="仿宋_GB2312" w:cs="仿宋_GB2312"/>
          <w:sz w:val="32"/>
          <w:szCs w:val="32"/>
          <w:highlight w:val="none"/>
          <w:lang w:val="en-US" w:eastAsia="zh-CN"/>
        </w:rPr>
        <w:t>202</w:t>
      </w: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年我部门认真分析，真实准确编报部门财务报告，确保数据精准无误，编报完整、报送及时。202</w:t>
      </w: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我部门资产总额</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万元，其中货币资金</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0.16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万元，其他应收款净额</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1.71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万元，固定资产净值</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18.38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万元。202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年底，我单位负债总额</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1.87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万元，其中其他应付款</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1.87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万元，占比</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%,不存在其他的短期和长期负债。我部门资产流动性较好，偿债能力强，资产负债率</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9.23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%、现金比率为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8.71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流动比率为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%、固定资产成新率为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%，故不存在当期财务风险和中长期财务风险，财务风险在可控范围内。</w:t>
      </w:r>
    </w:p>
    <w:p w14:paraId="27D6E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6.政府采购管理情况。</w:t>
      </w:r>
      <w:r>
        <w:rPr>
          <w:rFonts w:hint="eastAsia" w:ascii="仿宋_GB2312" w:hAnsi="仿宋_GB2312" w:eastAsia="仿宋_GB2312" w:cs="仿宋_GB2312"/>
          <w:sz w:val="32"/>
          <w:szCs w:val="32"/>
          <w:highlight w:val="none"/>
          <w:lang w:val="en-US" w:eastAsia="zh-CN"/>
        </w:rPr>
        <w:t>我部门</w:t>
      </w:r>
      <w:r>
        <w:rPr>
          <w:rFonts w:hint="default"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年度无项目列入政府采购预算。</w:t>
      </w:r>
    </w:p>
    <w:p w14:paraId="4F677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我部门无脱贫地区农副产品采购平台预留份额。</w:t>
      </w:r>
    </w:p>
    <w:p w14:paraId="6A875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部门在政府采购过程中公开透明，不存在政府采购质疑和投诉；完善内控制度明确综合办公室具体负责政府采购管理工作，并指定专人作为采购管理员;建立了采购需求制定与内部审核、采购文件编制与复审、采购评审与结果确定、采购组织与履约验收、合同签订与验收评价等关联岗位互相分离规则。</w:t>
      </w:r>
    </w:p>
    <w:p w14:paraId="3C6B58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7.直达资金管理等工作情况。我部门无直达资金。</w:t>
      </w:r>
    </w:p>
    <w:p w14:paraId="4F291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（四）预算绩效管理情况，得分</w:t>
      </w:r>
      <w:r>
        <w:rPr>
          <w:rFonts w:hint="default" w:ascii="楷体_GB2312" w:hAnsi="楷体_GB2312" w:eastAsia="楷体_GB2312" w:cs="楷体_GB2312"/>
          <w:sz w:val="32"/>
          <w:szCs w:val="32"/>
          <w:lang w:val="en-US" w:eastAsia="zh-CN"/>
        </w:rPr>
        <w:t>20.2</w:t>
      </w:r>
      <w:r>
        <w:rPr>
          <w:rFonts w:hint="eastAsia" w:ascii="楷体_GB2312" w:hAnsi="楷体_GB2312" w:eastAsia="楷体_GB2312" w:cs="楷体_GB2312"/>
          <w:sz w:val="32"/>
          <w:szCs w:val="32"/>
          <w:lang w:val="en-US" w:eastAsia="zh-CN"/>
        </w:rPr>
        <w:t>分</w:t>
      </w:r>
    </w:p>
    <w:p w14:paraId="1E499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1.日常工作保障落实情况</w:t>
      </w:r>
    </w:p>
    <w:p w14:paraId="0AFA8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（1）通知落实情况。我部门各岗位及时查看钉钉群发布的各项通知信息和OA系统中发送的文件通知，认真阅读并及时回复落实。</w:t>
      </w:r>
    </w:p>
    <w:p w14:paraId="4EA33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（2）日常手续报送规范性情况。在人员经费指标调整、三公限额调整等日常工作中，严格按照测算表计算，认真审核，确保数据填报准确，内容填报规范，2023年未退回重新修改。</w:t>
      </w:r>
    </w:p>
    <w:p w14:paraId="1EC52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（3）重点工作落实情况。我部门</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年没有财政部门安排的重点任务。</w:t>
      </w:r>
    </w:p>
    <w:p w14:paraId="0B055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2.事前绩效评估情况。在申报2024年预算项目时，认真按照绩效管理要求进行事前评估，并在EXCEL服务器中填报</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个预算项目事前绩效评估表，对每个项目的项目概况、政策依据、迫切需求、实施可行性、投入经济性、目标合理性进行认真填写，并对申报的所有项目进行分项成本测算，确保预算金额准确合理。2023年共完成</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个项目的事前绩效评估（含追加）。</w:t>
      </w:r>
    </w:p>
    <w:p w14:paraId="1187B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管理情况。我部门财务人员与项目管理人员共同设立绩效目标，确保绩效目标设立依据充分，符合客观实际，与部门职责、工作规划和重点工作相关；绩效指标和评价标准清晰、细化、可评价、可衡量；对2023年绩效目标进行重新梳理，设立了科学合理、细化量化、可比可测的绩效目标指标体系。</w:t>
      </w:r>
    </w:p>
    <w:p w14:paraId="0A87D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4.绩效监控管理情况</w:t>
      </w:r>
    </w:p>
    <w:p w14:paraId="0EEB3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注重日常监控。我部门按时在数字财政系统中填报《项目分月支出进度表》和《预算绩效运行监控表》，每月对所有项目逐条监控，对实际支出进度与分月支出计划差异率大的项目逐项分析说明。2023年，项目整体支出进度是</w:t>
      </w:r>
      <w:r>
        <w:rPr>
          <w:rFonts w:hint="default" w:ascii="仿宋_GB2312" w:hAnsi="仿宋_GB2312" w:eastAsia="仿宋_GB2312" w:cs="仿宋_GB2312"/>
          <w:sz w:val="32"/>
          <w:szCs w:val="32"/>
          <w:lang w:val="en-US" w:eastAsia="zh-CN"/>
        </w:rPr>
        <w:t>68.65</w:t>
      </w:r>
      <w:r>
        <w:rPr>
          <w:rFonts w:hint="eastAsia" w:ascii="仿宋_GB2312" w:hAnsi="仿宋_GB2312" w:eastAsia="仿宋_GB2312" w:cs="仿宋_GB2312"/>
          <w:sz w:val="32"/>
          <w:szCs w:val="32"/>
          <w:lang w:val="en-US" w:eastAsia="zh-CN"/>
        </w:rPr>
        <w:t>%,其中“报刊征订”项目、“专题调研经费”项目差异率较大，差异原因是:</w:t>
      </w:r>
    </w:p>
    <w:p w14:paraId="3E18008E">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28"/>
          <w:szCs w:val="28"/>
          <w:shd w:val="clear" w:color="auto" w:fill="auto"/>
          <w:lang w:val="en-US" w:eastAsia="zh-CN"/>
        </w:rPr>
        <w:t>①</w:t>
      </w:r>
      <w:r>
        <w:rPr>
          <w:rFonts w:hint="eastAsia" w:ascii="仿宋_GB2312" w:hAnsi="仿宋_GB2312" w:eastAsia="仿宋_GB2312" w:cs="仿宋_GB2312"/>
          <w:sz w:val="32"/>
          <w:szCs w:val="32"/>
          <w:lang w:val="en-US" w:eastAsia="zh-CN"/>
        </w:rPr>
        <w:t>“报刊征订经费”项目，因财政资金紧张，未拨付。</w:t>
      </w:r>
    </w:p>
    <w:p w14:paraId="7E501F06">
      <w:pPr>
        <w:pStyle w:val="2"/>
        <w:ind w:firstLine="840" w:firstLineChars="300"/>
        <w:rPr>
          <w:rFonts w:hint="default" w:ascii="仿宋_GB2312" w:hAnsi="仿宋_GB2312" w:eastAsia="仿宋_GB2312" w:cs="仿宋_GB2312"/>
          <w:kern w:val="2"/>
          <w:sz w:val="32"/>
          <w:szCs w:val="32"/>
          <w:lang w:val="en-US" w:eastAsia="zh-CN" w:bidi="ar-SA"/>
        </w:rPr>
      </w:pPr>
      <w:r>
        <w:rPr>
          <w:rFonts w:hint="default" w:ascii="Calibri" w:hAnsi="Calibri" w:eastAsia="仿宋_GB2312" w:cs="Calibri"/>
          <w:sz w:val="28"/>
          <w:szCs w:val="28"/>
          <w:lang w:val="en-US" w:eastAsia="zh-CN"/>
        </w:rPr>
        <w:t>②</w:t>
      </w:r>
      <w:r>
        <w:rPr>
          <w:rFonts w:hint="eastAsia" w:ascii="仿宋_GB2312" w:hAnsi="仿宋_GB2312" w:eastAsia="仿宋_GB2312" w:cs="仿宋_GB2312"/>
          <w:sz w:val="32"/>
          <w:szCs w:val="32"/>
          <w:lang w:val="en-US" w:eastAsia="zh-CN"/>
        </w:rPr>
        <w:t>“专题调研经费”项目，因工作安排未开展调研活动，支出进度慢。</w:t>
      </w:r>
    </w:p>
    <w:p w14:paraId="2A43F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（2）做好监控分析。我部门开展2023年1-6月份预算绩效运行监控分析工作，对整体绩效目标、预算项目绩效目标进行全面分析，绩效目标实现程度达到50%的项目有</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个，绩效目标实现程度在30%以下的项目有</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个，工作未开展的项目有</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个。截至12月份，实现绩效目标的项目有</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个，涉及资金</w:t>
      </w:r>
      <w:r>
        <w:rPr>
          <w:rFonts w:hint="default" w:ascii="仿宋_GB2312" w:hAnsi="仿宋_GB2312" w:eastAsia="仿宋_GB2312" w:cs="仿宋_GB2312"/>
          <w:sz w:val="32"/>
          <w:szCs w:val="32"/>
          <w:lang w:val="en-US" w:eastAsia="zh-CN"/>
        </w:rPr>
        <w:t>47.42</w:t>
      </w:r>
      <w:r>
        <w:rPr>
          <w:rFonts w:hint="eastAsia" w:ascii="仿宋_GB2312" w:hAnsi="仿宋_GB2312" w:eastAsia="仿宋_GB2312" w:cs="仿宋_GB2312"/>
          <w:sz w:val="32"/>
          <w:szCs w:val="32"/>
          <w:lang w:val="en-US" w:eastAsia="zh-CN"/>
        </w:rPr>
        <w:t>万元；未完成绩效目标的项目有</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个，涉及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13.60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万元，主要原因是：</w:t>
      </w:r>
    </w:p>
    <w:p w14:paraId="272B3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仿宋_GB2312" w:hAnsi="仿宋_GB2312" w:eastAsia="仿宋_GB2312" w:cs="仿宋_GB2312"/>
          <w:sz w:val="32"/>
          <w:szCs w:val="32"/>
          <w:lang w:val="en-US" w:eastAsia="zh-CN"/>
        </w:rPr>
        <w:t>“报刊征订经费”项目，因财政资金紧张，未拨付</w:t>
      </w:r>
      <w:r>
        <w:rPr>
          <w:rFonts w:hint="eastAsia" w:ascii="Times New Roman" w:hAnsi="Times New Roman" w:eastAsia="仿宋_GB2312" w:cs="Times New Roman"/>
          <w:sz w:val="32"/>
          <w:szCs w:val="32"/>
          <w:lang w:val="en-US" w:eastAsia="zh-CN"/>
        </w:rPr>
        <w:t>。</w:t>
      </w:r>
    </w:p>
    <w:p w14:paraId="786776E5">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lang w:val="en-US" w:eastAsia="zh-CN"/>
        </w:rPr>
        <w:t>②</w:t>
      </w:r>
      <w:r>
        <w:rPr>
          <w:rFonts w:hint="eastAsia" w:ascii="仿宋_GB2312" w:hAnsi="仿宋_GB2312" w:eastAsia="仿宋_GB2312" w:cs="仿宋_GB2312"/>
          <w:sz w:val="32"/>
          <w:szCs w:val="32"/>
          <w:lang w:val="en-US" w:eastAsia="zh-CN"/>
        </w:rPr>
        <w:t>“专题调研经费”项目，因工作安排未开展调研活动，支出进度慢。</w:t>
      </w:r>
    </w:p>
    <w:p w14:paraId="50CA4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5.绩效评价管理情况</w:t>
      </w:r>
    </w:p>
    <w:p w14:paraId="17ECE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1）自评情况。按照财政部门要求，开展2022年度财政资金部门绩效自评工作，通过一体化系统填报预算项目绩效目标的完成信息，确认各项绩效指标实际完成值和实现程度，并与年初设定的预期值相比较，逐项评定每项指标得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我部门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2022年共自评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个项目，其中，满分的项目有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个，95分以上的项目有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个，90分-95分的项目有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个，90分以下的项目有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w:t>
      </w:r>
    </w:p>
    <w:p w14:paraId="70C45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（2）重点评价情况。按照财政部门通知要求，我部门无项目进行了</w:t>
      </w:r>
      <w:r>
        <w:rPr>
          <w:rFonts w:hint="default" w:ascii="仿宋_GB2312" w:hAnsi="仿宋_GB2312" w:eastAsia="仿宋_GB2312" w:cs="仿宋_GB2312"/>
          <w:sz w:val="32"/>
          <w:szCs w:val="32"/>
          <w:lang w:val="en-US" w:eastAsia="zh-CN"/>
        </w:rPr>
        <w:t>重点评价</w:t>
      </w:r>
      <w:r>
        <w:rPr>
          <w:rFonts w:hint="eastAsia" w:ascii="仿宋_GB2312" w:hAnsi="仿宋_GB2312" w:eastAsia="仿宋_GB2312" w:cs="仿宋_GB2312"/>
          <w:sz w:val="32"/>
          <w:szCs w:val="32"/>
          <w:lang w:val="en-US" w:eastAsia="zh-CN"/>
        </w:rPr>
        <w:t>。</w:t>
      </w:r>
    </w:p>
    <w:p w14:paraId="5DF6B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6.投资评审工作情况。我部门2023年无政府投资项目，无需向财政投资评审送审资料。</w:t>
      </w:r>
    </w:p>
    <w:p w14:paraId="52CCC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（五）资产管理情况，得分</w:t>
      </w:r>
      <w:r>
        <w:rPr>
          <w:rFonts w:hint="default" w:ascii="楷体_GB2312" w:hAnsi="楷体_GB2312" w:eastAsia="楷体_GB2312" w:cs="楷体_GB2312"/>
          <w:sz w:val="32"/>
          <w:szCs w:val="32"/>
          <w:lang w:val="en-US" w:eastAsia="zh-CN"/>
        </w:rPr>
        <w:t>3.5</w:t>
      </w:r>
      <w:r>
        <w:rPr>
          <w:rFonts w:hint="eastAsia" w:ascii="楷体_GB2312" w:hAnsi="楷体_GB2312" w:eastAsia="楷体_GB2312" w:cs="楷体_GB2312"/>
          <w:sz w:val="32"/>
          <w:szCs w:val="32"/>
          <w:lang w:val="en-US" w:eastAsia="zh-CN"/>
        </w:rPr>
        <w:t>分</w:t>
      </w:r>
    </w:p>
    <w:p w14:paraId="2D68E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1.国有资产报表管理。</w:t>
      </w:r>
      <w:r>
        <w:rPr>
          <w:rFonts w:hint="eastAsia" w:ascii="仿宋_GB2312" w:hAnsi="仿宋_GB2312" w:eastAsia="仿宋_GB2312" w:cs="仿宋_GB2312"/>
          <w:sz w:val="32"/>
          <w:szCs w:val="32"/>
          <w:highlight w:val="none"/>
          <w:lang w:val="en-US" w:eastAsia="zh-CN"/>
        </w:rPr>
        <w:t>我部门每月及时报送国有资产月报，按要求报送了国有资产年报。2023年，国有资产情况如下：</w:t>
      </w:r>
    </w:p>
    <w:p w14:paraId="5B43A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（1）资产负债情况。</w:t>
      </w:r>
    </w:p>
    <w:p w14:paraId="775E3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全部资产无负债情况。</w:t>
      </w:r>
    </w:p>
    <w:p w14:paraId="33F030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固定和无形资产存量情况。</w:t>
      </w:r>
    </w:p>
    <w:p w14:paraId="1C3B6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固定资产各类数量为：通用设备</w:t>
      </w:r>
      <w:r>
        <w:rPr>
          <w:rFonts w:hint="default" w:ascii="仿宋_GB2312" w:hAnsi="仿宋_GB2312" w:eastAsia="仿宋_GB2312" w:cs="仿宋_GB2312"/>
          <w:sz w:val="32"/>
          <w:szCs w:val="32"/>
          <w:highlight w:val="none"/>
          <w:lang w:val="en-US" w:eastAsia="zh-CN"/>
        </w:rPr>
        <w:t>74</w:t>
      </w:r>
      <w:r>
        <w:rPr>
          <w:rFonts w:hint="eastAsia" w:ascii="仿宋_GB2312" w:hAnsi="仿宋_GB2312" w:eastAsia="仿宋_GB2312" w:cs="仿宋_GB2312"/>
          <w:sz w:val="32"/>
          <w:szCs w:val="32"/>
          <w:highlight w:val="none"/>
          <w:lang w:val="en-US" w:eastAsia="zh-CN"/>
        </w:rPr>
        <w:t>台件，家具用具</w:t>
      </w:r>
      <w:r>
        <w:rPr>
          <w:rFonts w:hint="default" w:ascii="仿宋_GB2312" w:hAnsi="仿宋_GB2312" w:eastAsia="仿宋_GB2312" w:cs="仿宋_GB2312"/>
          <w:sz w:val="32"/>
          <w:szCs w:val="32"/>
          <w:highlight w:val="none"/>
          <w:lang w:val="en-US" w:eastAsia="zh-CN"/>
        </w:rPr>
        <w:t>88</w:t>
      </w:r>
      <w:r>
        <w:rPr>
          <w:rFonts w:hint="eastAsia" w:ascii="仿宋_GB2312" w:hAnsi="仿宋_GB2312" w:eastAsia="仿宋_GB2312" w:cs="仿宋_GB2312"/>
          <w:sz w:val="32"/>
          <w:szCs w:val="32"/>
          <w:highlight w:val="none"/>
          <w:lang w:val="en-US" w:eastAsia="zh-CN"/>
        </w:rPr>
        <w:t>台件，车辆</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辆。</w:t>
      </w:r>
    </w:p>
    <w:p w14:paraId="685C2D7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土地情况。</w:t>
      </w:r>
    </w:p>
    <w:p w14:paraId="7E081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我部门无土地资产。</w:t>
      </w:r>
    </w:p>
    <w:p w14:paraId="380F2DD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房屋情况。</w:t>
      </w:r>
    </w:p>
    <w:p w14:paraId="0B7EDB4F">
      <w:pPr>
        <w:pStyle w:val="2"/>
        <w:numPr>
          <w:ilvl w:val="0"/>
          <w:numId w:val="0"/>
        </w:numPr>
        <w:ind w:leftChars="200"/>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我部门无房屋</w:t>
      </w:r>
      <w:r>
        <w:rPr>
          <w:rFonts w:hint="eastAsia" w:ascii="仿宋_GB2312" w:hAnsi="仿宋_GB2312" w:eastAsia="仿宋_GB2312" w:cs="仿宋_GB2312"/>
          <w:sz w:val="32"/>
          <w:szCs w:val="32"/>
          <w:highlight w:val="none"/>
          <w:lang w:val="en-US" w:eastAsia="zh-CN"/>
        </w:rPr>
        <w:t>资产</w:t>
      </w:r>
      <w:r>
        <w:rPr>
          <w:rFonts w:hint="eastAsia" w:ascii="仿宋_GB2312" w:hAnsi="仿宋_GB2312" w:eastAsia="仿宋_GB2312" w:cs="仿宋_GB2312"/>
          <w:kern w:val="2"/>
          <w:sz w:val="32"/>
          <w:szCs w:val="32"/>
          <w:highlight w:val="none"/>
          <w:lang w:val="en-US" w:eastAsia="zh-CN" w:bidi="ar-SA"/>
        </w:rPr>
        <w:t>。</w:t>
      </w:r>
    </w:p>
    <w:p w14:paraId="2D5217C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车辆情况。</w:t>
      </w:r>
    </w:p>
    <w:p w14:paraId="1867A267">
      <w:pPr>
        <w:pStyle w:val="2"/>
        <w:numPr>
          <w:ilvl w:val="0"/>
          <w:numId w:val="0"/>
        </w:numPr>
        <w:ind w:leftChars="200"/>
        <w:rPr>
          <w:rFonts w:hint="default" w:ascii="仿宋_GB2312" w:hAnsi="仿宋_GB2312" w:eastAsia="仿宋_GB2312" w:cs="仿宋_GB2312"/>
          <w:kern w:val="2"/>
          <w:sz w:val="32"/>
          <w:szCs w:val="32"/>
          <w:highlight w:val="none"/>
          <w:lang w:val="en-US" w:eastAsia="zh-CN" w:bidi="ar-SA"/>
        </w:rPr>
      </w:pPr>
      <w:r>
        <w:rPr>
          <w:rFonts w:hint="default"/>
          <w:lang w:val="en-US" w:eastAsia="zh-CN"/>
        </w:rPr>
        <w:t xml:space="preserve">  </w:t>
      </w:r>
      <w:r>
        <w:rPr>
          <w:rFonts w:hint="eastAsia" w:ascii="仿宋_GB2312" w:hAnsi="仿宋_GB2312" w:eastAsia="仿宋_GB2312" w:cs="仿宋_GB2312"/>
          <w:kern w:val="2"/>
          <w:sz w:val="32"/>
          <w:szCs w:val="32"/>
          <w:highlight w:val="none"/>
          <w:lang w:val="en-US" w:eastAsia="zh-CN" w:bidi="ar-SA"/>
        </w:rPr>
        <w:t>我部门资产系统现有车辆</w:t>
      </w:r>
      <w:r>
        <w:rPr>
          <w:rFonts w:hint="default"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辆。</w:t>
      </w:r>
    </w:p>
    <w:p w14:paraId="2ECCF7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在建工程情况。</w:t>
      </w:r>
    </w:p>
    <w:p w14:paraId="171A68C1">
      <w:pPr>
        <w:pStyle w:val="2"/>
        <w:numPr>
          <w:ilvl w:val="0"/>
          <w:numId w:val="0"/>
        </w:numPr>
        <w:ind w:leftChars="200" w:firstLine="320" w:firstLineChars="1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我部门无在建工程。</w:t>
      </w:r>
    </w:p>
    <w:p w14:paraId="64AFB18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固定和无形资产配置情况。</w:t>
      </w:r>
    </w:p>
    <w:p w14:paraId="0C4A8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none"/>
          <w:lang w:val="en-US" w:eastAsia="zh-CN"/>
        </w:rPr>
        <w:t>固定和无形资产中</w:t>
      </w:r>
      <w:r>
        <w:rPr>
          <w:rFonts w:hint="eastAsia" w:ascii="仿宋_GB2312" w:hAnsi="仿宋_GB2312" w:eastAsia="仿宋_GB2312" w:cs="仿宋_GB2312"/>
          <w:sz w:val="32"/>
          <w:szCs w:val="32"/>
          <w:lang w:val="en-US" w:eastAsia="zh-CN"/>
        </w:rPr>
        <w:t>新增通用设备价值</w:t>
      </w:r>
      <w:r>
        <w:rPr>
          <w:rFonts w:hint="default"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lang w:val="en-US" w:eastAsia="zh-CN"/>
        </w:rPr>
        <w:t>万元。</w:t>
      </w:r>
    </w:p>
    <w:p w14:paraId="7A47FA4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行政事业性国有资产管理。</w:t>
      </w:r>
    </w:p>
    <w:p w14:paraId="0D109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部门按照要求加强资产基础管理工作，建立内控制度、由综合办公室负责设置专门的资产管理岗、资产系统卡片信息完整规范并通过系统检测；资产购置纳入年度部门预算，并按照规定程序报批；按规定报批国有资产出租出借、对外投资事项、收入足额上缴；按规定报批国有资产处置事项、及时足额缴纳国有资产处置收入。</w:t>
      </w:r>
      <w:r>
        <w:rPr>
          <w:rFonts w:hint="eastAsia" w:ascii="仿宋_GB2312" w:hAnsi="仿宋_GB2312" w:eastAsia="仿宋_GB2312" w:cs="仿宋_GB2312"/>
          <w:sz w:val="32"/>
          <w:szCs w:val="32"/>
          <w:highlight w:val="none"/>
          <w:lang w:val="en-US" w:eastAsia="zh-CN"/>
        </w:rPr>
        <w:t>2023年我部门按照财政部门要求，开展资产标识化工作，完成情况如下：</w:t>
      </w:r>
    </w:p>
    <w:p w14:paraId="25CD8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（1）资产核对无误，账实相符。</w:t>
      </w:r>
    </w:p>
    <w:p w14:paraId="24F9C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（2）完成了标识化资产工作。</w:t>
      </w:r>
    </w:p>
    <w:p w14:paraId="06F24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（六）债务管理情况，得分</w:t>
      </w:r>
      <w:r>
        <w:rPr>
          <w:rFonts w:hint="default"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val="en-US" w:eastAsia="zh-CN"/>
        </w:rPr>
        <w:t>分</w:t>
      </w:r>
    </w:p>
    <w:p w14:paraId="418C8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债券资金支出情况。我部门</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年未申报债券项目。不涉及债券管理情况。</w:t>
      </w:r>
    </w:p>
    <w:p w14:paraId="19FAC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（七）预算透明度情况，得分</w:t>
      </w:r>
      <w:r>
        <w:rPr>
          <w:rFonts w:hint="default"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val="en-US" w:eastAsia="zh-CN"/>
        </w:rPr>
        <w:t>分</w:t>
      </w:r>
    </w:p>
    <w:p w14:paraId="0FE4A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我部门将预决算信息、绩效信息、债券信息等，按照财政部门的要求，完整、准确、规范、真实地在徐水区政府门户网站公开专栏进行了公开。</w:t>
      </w:r>
    </w:p>
    <w:p w14:paraId="7A29F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（八）预算信息化情况，得分</w:t>
      </w:r>
      <w:r>
        <w:rPr>
          <w:rFonts w:hint="default" w:ascii="楷体_GB2312" w:hAnsi="楷体_GB2312" w:eastAsia="楷体_GB2312" w:cs="楷体_GB2312"/>
          <w:sz w:val="32"/>
          <w:szCs w:val="32"/>
          <w:lang w:val="en-US" w:eastAsia="zh-CN"/>
        </w:rPr>
        <w:t>11.5</w:t>
      </w:r>
      <w:r>
        <w:rPr>
          <w:rFonts w:hint="eastAsia" w:ascii="楷体_GB2312" w:hAnsi="楷体_GB2312" w:eastAsia="楷体_GB2312" w:cs="楷体_GB2312"/>
          <w:sz w:val="32"/>
          <w:szCs w:val="32"/>
          <w:lang w:val="en-US" w:eastAsia="zh-CN"/>
        </w:rPr>
        <w:t>分</w:t>
      </w:r>
    </w:p>
    <w:p w14:paraId="387FC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我部门在日常工作中及时、规范的操作一体化系统。在内部</w:t>
      </w:r>
      <w:r>
        <w:rPr>
          <w:rFonts w:hint="default" w:ascii="仿宋_GB2312" w:hAnsi="仿宋_GB2312" w:eastAsia="仿宋_GB2312" w:cs="仿宋_GB2312"/>
          <w:sz w:val="32"/>
          <w:szCs w:val="32"/>
          <w:lang w:val="en-US" w:eastAsia="zh-CN"/>
        </w:rPr>
        <w:t>财政业务网络与信息安全建设管理</w:t>
      </w:r>
      <w:r>
        <w:rPr>
          <w:rFonts w:hint="eastAsia" w:ascii="仿宋_GB2312" w:hAnsi="仿宋_GB2312" w:eastAsia="仿宋_GB2312" w:cs="仿宋_GB2312"/>
          <w:sz w:val="32"/>
          <w:szCs w:val="32"/>
          <w:lang w:val="en-US" w:eastAsia="zh-CN"/>
        </w:rPr>
        <w:t>方面，财政内网终端全年未发生网络安全事件。</w:t>
      </w:r>
    </w:p>
    <w:p w14:paraId="3F319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（九）参与财政改革创新情况，得分</w:t>
      </w:r>
      <w:r>
        <w:rPr>
          <w:rFonts w:hint="default"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lang w:val="en-US" w:eastAsia="zh-CN"/>
        </w:rPr>
        <w:t>分</w:t>
      </w:r>
    </w:p>
    <w:p w14:paraId="63004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我部门在推动财政改革工作中，积极配合业务股室工作，无特殊参与财政改革创新情况。</w:t>
      </w:r>
    </w:p>
    <w:p w14:paraId="5A2A07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（十）存在问题，扣分</w:t>
      </w:r>
      <w:r>
        <w:rPr>
          <w:rFonts w:hint="default"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lang w:val="en-US" w:eastAsia="zh-CN"/>
        </w:rPr>
        <w:t>分</w:t>
      </w:r>
    </w:p>
    <w:p w14:paraId="2540B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配合财政工作未出现严重问题；没有违反财政预算法律法规和制度规定的行为，没有违规（征收）税费、违规发放津贴补贴、以拨作支、违规列支暂付款、违规出借财政资金、收支分类科目混用、财政收支不实、超范围超用途支出、应支不支等问题，不存在被督查、审计、财政监督、日常监管等指出或发现问题。</w:t>
      </w:r>
    </w:p>
    <w:p w14:paraId="41754D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三、部门整体绩效目标实现情况</w:t>
      </w:r>
    </w:p>
    <w:p w14:paraId="3469FCD6">
      <w:pPr>
        <w:widowControl/>
        <w:shd w:val="clear" w:color="auto" w:fill="FFFFFF"/>
        <w:spacing w:line="240" w:lineRule="atLeast"/>
        <w:ind w:firstLine="640" w:firstLineChars="20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202</w:t>
      </w:r>
      <w:r>
        <w:rPr>
          <w:rFonts w:hint="default" w:ascii="仿宋" w:hAnsi="仿宋" w:eastAsia="仿宋" w:cs="Times New Roman"/>
          <w:color w:val="000000"/>
          <w:kern w:val="0"/>
          <w:sz w:val="32"/>
          <w:szCs w:val="32"/>
          <w:lang w:val="en-US"/>
        </w:rPr>
        <w:t>3</w:t>
      </w:r>
      <w:r>
        <w:rPr>
          <w:rFonts w:hint="eastAsia" w:ascii="仿宋" w:hAnsi="仿宋" w:eastAsia="仿宋" w:cs="Times New Roman"/>
          <w:color w:val="000000"/>
          <w:kern w:val="0"/>
          <w:sz w:val="32"/>
          <w:szCs w:val="32"/>
        </w:rPr>
        <w:t>年，在区委、区政府正确领导下，坚持以习近平</w:t>
      </w:r>
      <w:bookmarkStart w:id="0" w:name="_GoBack"/>
      <w:bookmarkEnd w:id="0"/>
      <w:r>
        <w:rPr>
          <w:rFonts w:hint="eastAsia" w:ascii="仿宋" w:hAnsi="仿宋" w:eastAsia="仿宋" w:cs="Times New Roman"/>
          <w:color w:val="000000"/>
          <w:kern w:val="0"/>
          <w:sz w:val="32"/>
          <w:szCs w:val="32"/>
        </w:rPr>
        <w:t>新时代中国特色社会主义思想为指导，全面落实中央和省市区委关于政协工作的要求部署，为维护全区和谐稳定，推动经济更好更快发展做出了应有贡献。</w:t>
      </w:r>
    </w:p>
    <w:p w14:paraId="0D041089">
      <w:pPr>
        <w:widowControl/>
        <w:shd w:val="clear" w:color="auto" w:fill="FFFFFF"/>
        <w:spacing w:line="240" w:lineRule="atLeast"/>
        <w:ind w:firstLine="800" w:firstLineChars="25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（一）政协会议项目：</w:t>
      </w:r>
      <w:r>
        <w:rPr>
          <w:rFonts w:hint="eastAsia" w:ascii="仿宋" w:hAnsi="仿宋" w:eastAsia="仿宋" w:cs="宋体"/>
          <w:kern w:val="0"/>
          <w:sz w:val="32"/>
          <w:szCs w:val="24"/>
        </w:rPr>
        <w:t>202</w:t>
      </w:r>
      <w:r>
        <w:rPr>
          <w:rFonts w:hint="default" w:ascii="仿宋" w:hAnsi="仿宋" w:eastAsia="仿宋" w:cs="宋体"/>
          <w:kern w:val="0"/>
          <w:sz w:val="32"/>
          <w:szCs w:val="24"/>
          <w:lang w:val="en-US"/>
        </w:rPr>
        <w:t>3</w:t>
      </w:r>
      <w:r>
        <w:rPr>
          <w:rFonts w:hint="eastAsia" w:ascii="仿宋" w:hAnsi="仿宋" w:eastAsia="仿宋" w:cs="宋体"/>
          <w:kern w:val="0"/>
          <w:sz w:val="32"/>
          <w:szCs w:val="24"/>
        </w:rPr>
        <w:t>年结合我区实际，依据区委常委会研究批准的政协党组关于召开区政协</w:t>
      </w:r>
      <w:r>
        <w:rPr>
          <w:rFonts w:hint="eastAsia" w:ascii="仿宋" w:hAnsi="仿宋" w:eastAsia="仿宋" w:cs="宋体"/>
          <w:kern w:val="0"/>
          <w:sz w:val="32"/>
          <w:szCs w:val="24"/>
          <w:lang w:val="en-US" w:eastAsia="zh-CN"/>
        </w:rPr>
        <w:t>全体</w:t>
      </w:r>
      <w:r>
        <w:rPr>
          <w:rFonts w:hint="eastAsia" w:ascii="仿宋" w:hAnsi="仿宋" w:eastAsia="仿宋" w:cs="宋体"/>
          <w:kern w:val="0"/>
          <w:sz w:val="32"/>
          <w:szCs w:val="24"/>
        </w:rPr>
        <w:t>会议有关事项的请示，择时召开政协全会。保障会议顺利召开，完成会议议程。实现政治任务实现率和会务工作完成率达到100%。</w:t>
      </w:r>
    </w:p>
    <w:p w14:paraId="38BF11BD">
      <w:pPr>
        <w:widowControl/>
        <w:shd w:val="clear" w:color="auto" w:fill="FFFFFF"/>
        <w:spacing w:line="240" w:lineRule="atLeast"/>
        <w:ind w:firstLine="640" w:firstLineChars="200"/>
        <w:rPr>
          <w:rFonts w:hint="eastAsia" w:ascii="仿宋" w:hAnsi="仿宋" w:eastAsia="仿宋" w:cs="Times New Roman"/>
          <w:kern w:val="0"/>
          <w:sz w:val="32"/>
          <w:szCs w:val="20"/>
          <w:lang w:val="en-US" w:eastAsia="zh-CN"/>
        </w:rPr>
      </w:pPr>
      <w:r>
        <w:rPr>
          <w:rFonts w:hint="eastAsia" w:ascii="仿宋" w:hAnsi="仿宋" w:eastAsia="仿宋" w:cs="Times New Roman"/>
          <w:color w:val="000000"/>
          <w:kern w:val="0"/>
          <w:sz w:val="32"/>
          <w:szCs w:val="32"/>
        </w:rPr>
        <w:t>（二）专题调研活动经费：</w:t>
      </w:r>
      <w:r>
        <w:rPr>
          <w:rFonts w:hint="eastAsia" w:ascii="仿宋" w:hAnsi="仿宋" w:eastAsia="仿宋" w:cs="Times New Roman"/>
          <w:kern w:val="0"/>
          <w:sz w:val="32"/>
          <w:szCs w:val="20"/>
        </w:rPr>
        <w:t>202</w:t>
      </w:r>
      <w:r>
        <w:rPr>
          <w:rFonts w:hint="default" w:ascii="仿宋" w:hAnsi="仿宋" w:eastAsia="仿宋" w:cs="Times New Roman"/>
          <w:kern w:val="0"/>
          <w:sz w:val="32"/>
          <w:szCs w:val="20"/>
          <w:lang w:val="en-US"/>
        </w:rPr>
        <w:t>3</w:t>
      </w:r>
      <w:r>
        <w:rPr>
          <w:rFonts w:hint="eastAsia" w:ascii="仿宋" w:hAnsi="仿宋" w:eastAsia="仿宋" w:cs="Times New Roman"/>
          <w:kern w:val="0"/>
          <w:sz w:val="32"/>
          <w:szCs w:val="20"/>
        </w:rPr>
        <w:t>年</w:t>
      </w:r>
      <w:r>
        <w:rPr>
          <w:rFonts w:hint="eastAsia" w:ascii="仿宋" w:hAnsi="仿宋" w:eastAsia="仿宋" w:cs="Times New Roman"/>
          <w:kern w:val="0"/>
          <w:sz w:val="32"/>
          <w:szCs w:val="20"/>
          <w:lang w:val="en-US" w:eastAsia="zh-CN"/>
        </w:rPr>
        <w:t>结合工作安排，为方便委员参政议政、民主协商、建设了委员工作室，使委员学习、协商提供了便利条件。</w:t>
      </w:r>
    </w:p>
    <w:p w14:paraId="7E20F5FB">
      <w:pPr>
        <w:widowControl/>
        <w:shd w:val="clear" w:color="auto" w:fill="FFFFFF"/>
        <w:spacing w:line="240" w:lineRule="atLeast"/>
        <w:ind w:firstLine="640" w:firstLineChars="200"/>
        <w:rPr>
          <w:rFonts w:hint="eastAsia" w:ascii="黑体" w:hAnsi="黑体" w:eastAsia="黑体" w:cs="黑体"/>
          <w:sz w:val="32"/>
          <w:szCs w:val="32"/>
          <w:lang w:val="en-US" w:eastAsia="zh-CN"/>
        </w:rPr>
      </w:pPr>
      <w:r>
        <w:rPr>
          <w:rFonts w:hint="eastAsia" w:ascii="仿宋" w:hAnsi="仿宋" w:eastAsia="仿宋" w:cs="Times New Roman"/>
          <w:color w:val="000000"/>
          <w:kern w:val="0"/>
          <w:sz w:val="32"/>
          <w:szCs w:val="32"/>
        </w:rPr>
        <w:t>（三）</w:t>
      </w:r>
      <w:r>
        <w:rPr>
          <w:rFonts w:hint="eastAsia" w:ascii="仿宋" w:hAnsi="仿宋" w:eastAsia="仿宋" w:cs="Times New Roman"/>
          <w:color w:val="000000"/>
          <w:kern w:val="0"/>
          <w:sz w:val="32"/>
          <w:szCs w:val="32"/>
          <w:lang w:val="en-US" w:eastAsia="zh-CN"/>
        </w:rPr>
        <w:t>保洁</w:t>
      </w:r>
      <w:r>
        <w:rPr>
          <w:rFonts w:hint="eastAsia" w:ascii="仿宋" w:hAnsi="仿宋" w:eastAsia="仿宋" w:cs="Times New Roman"/>
          <w:color w:val="000000"/>
          <w:kern w:val="0"/>
          <w:sz w:val="32"/>
          <w:szCs w:val="32"/>
        </w:rPr>
        <w:t>经费</w:t>
      </w:r>
      <w:r>
        <w:rPr>
          <w:rFonts w:hint="eastAsia" w:ascii="仿宋" w:hAnsi="仿宋" w:eastAsia="仿宋" w:cs="Times New Roman"/>
          <w:kern w:val="0"/>
          <w:sz w:val="32"/>
          <w:szCs w:val="32"/>
        </w:rPr>
        <w:t>：</w:t>
      </w:r>
      <w:r>
        <w:rPr>
          <w:rFonts w:hint="eastAsia" w:ascii="仿宋" w:hAnsi="仿宋" w:eastAsia="仿宋" w:cs="仿宋"/>
          <w:sz w:val="32"/>
          <w:szCs w:val="32"/>
          <w:lang w:val="en-US" w:eastAsia="zh-CN"/>
        </w:rPr>
        <w:t>为保障机关自身建设、服务保障能力进一步提升，提供干净整洁的办公条件。</w:t>
      </w:r>
      <w:r>
        <w:rPr>
          <w:rFonts w:hint="eastAsia" w:ascii="仿宋" w:hAnsi="仿宋" w:eastAsia="仿宋" w:cs="Times New Roman"/>
          <w:kern w:val="0"/>
          <w:sz w:val="32"/>
          <w:szCs w:val="32"/>
          <w:lang w:val="en-US" w:eastAsia="zh-CN"/>
        </w:rPr>
        <w:t>完成率</w:t>
      </w:r>
      <w:r>
        <w:rPr>
          <w:rFonts w:hint="default" w:ascii="仿宋" w:hAnsi="仿宋" w:eastAsia="仿宋" w:cs="Times New Roman"/>
          <w:kern w:val="0"/>
          <w:sz w:val="32"/>
          <w:szCs w:val="32"/>
          <w:lang w:val="en-US" w:eastAsia="zh-CN"/>
        </w:rPr>
        <w:t>100%</w:t>
      </w:r>
      <w:r>
        <w:rPr>
          <w:rFonts w:hint="eastAsia" w:ascii="仿宋" w:hAnsi="仿宋" w:eastAsia="仿宋" w:cs="Times New Roman"/>
          <w:kern w:val="0"/>
          <w:sz w:val="32"/>
          <w:szCs w:val="32"/>
          <w:lang w:val="en-US" w:eastAsia="zh-CN"/>
        </w:rPr>
        <w:t>。</w:t>
      </w:r>
    </w:p>
    <w:p w14:paraId="4BA823B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绩效自评发现的问题</w:t>
      </w:r>
    </w:p>
    <w:p w14:paraId="76ACD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通过对各指标得分及扣分原因的分析，徐水区政协202</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年部门整体支出基本按相关要求执行预算、决算，完成了绩效目标，资金使用效益良好。通过评价，也发现一些不足之处，具体情况如下：</w:t>
      </w:r>
    </w:p>
    <w:p w14:paraId="0FAEE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1.部分绩效指标方面：部分绩效指标未完成，资金使用率不高。</w:t>
      </w:r>
    </w:p>
    <w:p w14:paraId="61F9B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2.预算决算比较：决算收入和支出较预算出入较大，预算较年初追加较多。</w:t>
      </w:r>
    </w:p>
    <w:p w14:paraId="4C326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3.政府采购方面：政府采购较年初预算增加较多。</w:t>
      </w:r>
    </w:p>
    <w:p w14:paraId="2CF0C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4.项目资金使用率方面：部分项目资金没有及时支出，影响了资金使用率。</w:t>
      </w:r>
    </w:p>
    <w:p w14:paraId="645D6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五、改进措施及相关建议</w:t>
      </w:r>
    </w:p>
    <w:p w14:paraId="05E98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390825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3048E"/>
    <w:multiLevelType w:val="singleLevel"/>
    <w:tmpl w:val="4F23048E"/>
    <w:lvl w:ilvl="0" w:tentative="0">
      <w:start w:val="2"/>
      <w:numFmt w:val="decimal"/>
      <w:suff w:val="nothing"/>
      <w:lvlText w:val="（%1）"/>
      <w:lvlJc w:val="left"/>
    </w:lvl>
  </w:abstractNum>
  <w:abstractNum w:abstractNumId="1">
    <w:nsid w:val="6CD8FF5E"/>
    <w:multiLevelType w:val="singleLevel"/>
    <w:tmpl w:val="6CD8FF5E"/>
    <w:lvl w:ilvl="0" w:tentative="0">
      <w:start w:val="4"/>
      <w:numFmt w:val="chineseCounting"/>
      <w:suff w:val="nothing"/>
      <w:lvlText w:val="%1、"/>
      <w:lvlJc w:val="left"/>
      <w:rPr>
        <w:rFonts w:hint="eastAsia"/>
      </w:rPr>
    </w:lvl>
  </w:abstractNum>
  <w:abstractNum w:abstractNumId="2">
    <w:nsid w:val="7333B84C"/>
    <w:multiLevelType w:val="singleLevel"/>
    <w:tmpl w:val="7333B84C"/>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D4877"/>
    <w:rsid w:val="06677365"/>
    <w:rsid w:val="18F515F6"/>
    <w:rsid w:val="1EED0192"/>
    <w:rsid w:val="2A1E0B72"/>
    <w:rsid w:val="313D4877"/>
    <w:rsid w:val="478D0701"/>
    <w:rsid w:val="642862DC"/>
    <w:rsid w:val="6D032AEA"/>
    <w:rsid w:val="6DF604BC"/>
    <w:rsid w:val="77B3306F"/>
    <w:rsid w:val="788F4C0F"/>
    <w:rsid w:val="7F1D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99"/>
    <w:rPr>
      <w:rFonts w:ascii="宋体" w:hAnsi="Courier New" w:cs="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5447</Words>
  <Characters>5826</Characters>
  <Lines>0</Lines>
  <Paragraphs>0</Paragraphs>
  <TotalTime>37</TotalTime>
  <ScaleCrop>false</ScaleCrop>
  <LinksUpToDate>false</LinksUpToDate>
  <CharactersWithSpaces>5845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2024-01-09T06:26:00Z</dcterms:created>
  <dc:creator>Lenovo</dc:creator>
  <cp:lastModifiedBy>杰子</cp:lastModifiedBy>
  <cp:lastPrinted>2024-01-10T03:19:00Z</cp:lastPrinted>
  <dcterms:modified xsi:type="dcterms:W3CDTF">2024-11-26T08:54:08Z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55B67EC743834F56AD6DB61B2C2665C1</vt:lpwstr>
  </property>
</Properties>
</file>