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kern w:val="2"/>
          <w:sz w:val="32"/>
          <w:szCs w:val="3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480" w:lineRule="auto"/>
        <w:jc w:val="center"/>
        <w:rPr>
          <w:rFonts w:ascii="黑体" w:hAnsi="黑体" w:eastAsia="黑体"/>
          <w:kern w:val="2"/>
          <w:sz w:val="48"/>
          <w:szCs w:val="48"/>
        </w:rPr>
      </w:pPr>
      <w:r>
        <w:rPr>
          <w:rFonts w:hint="eastAsia" w:ascii="黑体" w:hAnsi="黑体" w:eastAsia="黑体" w:cs="黑体"/>
          <w:kern w:val="2"/>
          <w:sz w:val="48"/>
          <w:szCs w:val="48"/>
        </w:rPr>
        <w:t>保定市徐水区总工会</w:t>
      </w:r>
      <w:r>
        <w:rPr>
          <w:rFonts w:ascii="黑体" w:hAnsi="黑体" w:eastAsia="黑体" w:cs="黑体"/>
          <w:kern w:val="2"/>
          <w:sz w:val="48"/>
          <w:szCs w:val="48"/>
        </w:rPr>
        <w:t>202</w:t>
      </w:r>
      <w:r>
        <w:rPr>
          <w:rFonts w:hint="default" w:ascii="黑体" w:hAnsi="黑体" w:eastAsia="黑体" w:cs="黑体"/>
          <w:kern w:val="2"/>
          <w:sz w:val="48"/>
          <w:szCs w:val="48"/>
          <w:lang w:val="en-US"/>
        </w:rPr>
        <w:t>3</w:t>
      </w:r>
      <w:r>
        <w:rPr>
          <w:rFonts w:hint="eastAsia" w:ascii="黑体" w:hAnsi="黑体" w:eastAsia="黑体" w:cs="黑体"/>
          <w:kern w:val="2"/>
          <w:sz w:val="48"/>
          <w:szCs w:val="48"/>
        </w:rPr>
        <w:t>年部门</w:t>
      </w:r>
    </w:p>
    <w:p>
      <w:pPr>
        <w:widowControl w:val="0"/>
        <w:adjustRightInd/>
        <w:snapToGrid/>
        <w:spacing w:after="0" w:line="480" w:lineRule="auto"/>
        <w:jc w:val="center"/>
        <w:rPr>
          <w:rFonts w:ascii="黑体" w:hAnsi="黑体" w:eastAsia="黑体"/>
          <w:kern w:val="2"/>
          <w:sz w:val="48"/>
          <w:szCs w:val="48"/>
        </w:rPr>
      </w:pPr>
      <w:r>
        <w:rPr>
          <w:rFonts w:hint="eastAsia" w:ascii="黑体" w:hAnsi="黑体" w:eastAsia="黑体" w:cs="黑体"/>
          <w:kern w:val="2"/>
          <w:sz w:val="48"/>
          <w:szCs w:val="48"/>
        </w:rPr>
        <w:t>整体绩效</w:t>
      </w:r>
      <w:r>
        <w:rPr>
          <w:rFonts w:hint="eastAsia" w:ascii="黑体" w:hAnsi="黑体" w:eastAsia="黑体" w:cs="黑体"/>
          <w:kern w:val="2"/>
          <w:sz w:val="48"/>
          <w:szCs w:val="48"/>
          <w:lang w:val="en-US" w:eastAsia="zh-CN"/>
        </w:rPr>
        <w:t>管理</w:t>
      </w:r>
      <w:r>
        <w:rPr>
          <w:rFonts w:hint="eastAsia" w:ascii="黑体" w:hAnsi="黑体" w:eastAsia="黑体" w:cs="黑体"/>
          <w:kern w:val="2"/>
          <w:sz w:val="48"/>
          <w:szCs w:val="48"/>
        </w:rPr>
        <w:t>自评报告</w:t>
      </w:r>
    </w:p>
    <w:p>
      <w:pPr>
        <w:widowControl w:val="0"/>
        <w:adjustRightInd/>
        <w:snapToGrid/>
        <w:spacing w:after="0" w:line="480" w:lineRule="auto"/>
        <w:jc w:val="center"/>
        <w:rPr>
          <w:rFonts w:ascii="黑体" w:hAnsi="黑体" w:eastAsia="黑体"/>
          <w:kern w:val="2"/>
          <w:sz w:val="32"/>
          <w:szCs w:val="3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widowControl w:val="0"/>
        <w:adjustRightInd/>
        <w:snapToGrid/>
        <w:spacing w:after="0" w:line="540" w:lineRule="exact"/>
        <w:ind w:firstLine="1440" w:firstLineChars="200"/>
        <w:jc w:val="both"/>
        <w:rPr>
          <w:rFonts w:ascii="Times New Roman" w:hAnsi="Times New Roman" w:eastAsia="宋体"/>
          <w:kern w:val="2"/>
          <w:sz w:val="72"/>
          <w:szCs w:val="72"/>
        </w:rPr>
      </w:pPr>
    </w:p>
    <w:p>
      <w:pPr>
        <w:pStyle w:val="71"/>
        <w:ind w:firstLine="883" w:firstLineChars="200"/>
        <w:jc w:val="center"/>
        <w:rPr>
          <w:rFonts w:cs="Tahoma"/>
          <w:color w:val="auto"/>
          <w:sz w:val="44"/>
          <w:szCs w:val="44"/>
          <w:lang w:val="zh-CN"/>
        </w:rPr>
      </w:pPr>
      <w:r>
        <w:rPr>
          <w:rFonts w:hint="eastAsia" w:cs="宋体"/>
          <w:color w:val="auto"/>
          <w:sz w:val="44"/>
          <w:szCs w:val="44"/>
          <w:lang w:val="zh-CN"/>
        </w:rPr>
        <w:t>目</w:t>
      </w:r>
      <w:r>
        <w:rPr>
          <w:color w:val="auto"/>
          <w:sz w:val="44"/>
          <w:szCs w:val="44"/>
          <w:lang w:val="zh-CN"/>
        </w:rPr>
        <w:t xml:space="preserve">    </w:t>
      </w:r>
      <w:r>
        <w:rPr>
          <w:rFonts w:hint="eastAsia" w:cs="宋体"/>
          <w:color w:val="auto"/>
          <w:sz w:val="44"/>
          <w:szCs w:val="44"/>
          <w:lang w:val="zh-CN"/>
        </w:rPr>
        <w:t>录</w:t>
      </w:r>
    </w:p>
    <w:p>
      <w:pPr>
        <w:pStyle w:val="18"/>
        <w:tabs>
          <w:tab w:val="right" w:leader="dot" w:pos="8312"/>
        </w:tabs>
        <w:spacing w:line="312" w:lineRule="auto"/>
        <w:ind w:left="0" w:leftChars="0"/>
        <w:rPr>
          <w:rFonts w:ascii="宋体" w:cs="Tahoma"/>
          <w:b/>
          <w:bCs/>
          <w:sz w:val="24"/>
          <w:szCs w:val="24"/>
        </w:rPr>
      </w:pPr>
      <w:r>
        <w:rPr>
          <w:rFonts w:ascii="宋体" w:hAnsi="宋体" w:cs="宋体"/>
          <w:sz w:val="24"/>
          <w:szCs w:val="24"/>
        </w:rPr>
        <w:fldChar w:fldCharType="begin"/>
      </w:r>
      <w:r>
        <w:rPr>
          <w:rFonts w:ascii="宋体" w:hAnsi="宋体" w:cs="宋体"/>
          <w:sz w:val="24"/>
          <w:szCs w:val="24"/>
        </w:rPr>
        <w:instrText xml:space="preserve"> TOC \o "1-3" \h \z \u </w:instrText>
      </w:r>
      <w:r>
        <w:rPr>
          <w:rFonts w:ascii="宋体" w:hAnsi="宋体" w:cs="宋体"/>
          <w:sz w:val="24"/>
          <w:szCs w:val="24"/>
        </w:rPr>
        <w:fldChar w:fldCharType="separate"/>
      </w:r>
      <w:r>
        <w:fldChar w:fldCharType="begin"/>
      </w:r>
      <w:r>
        <w:instrText xml:space="preserve"> HYPERLINK \l "_Toc25184" </w:instrText>
      </w:r>
      <w:r>
        <w:fldChar w:fldCharType="separate"/>
      </w:r>
      <w:r>
        <w:rPr>
          <w:rFonts w:hint="eastAsia" w:ascii="宋体" w:hAnsi="宋体" w:cs="宋体"/>
          <w:b/>
          <w:bCs/>
          <w:sz w:val="24"/>
          <w:szCs w:val="24"/>
        </w:rPr>
        <w:t>第一部分</w:t>
      </w:r>
      <w:r>
        <w:rPr>
          <w:rFonts w:ascii="宋体" w:hAnsi="宋体" w:cs="宋体"/>
          <w:b/>
          <w:bCs/>
          <w:sz w:val="24"/>
          <w:szCs w:val="24"/>
        </w:rPr>
        <w:t xml:space="preserve">   </w:t>
      </w:r>
      <w:r>
        <w:rPr>
          <w:rFonts w:hint="eastAsia" w:ascii="宋体" w:hAnsi="宋体" w:cs="宋体"/>
          <w:b/>
          <w:bCs/>
          <w:sz w:val="24"/>
          <w:szCs w:val="24"/>
        </w:rPr>
        <w:t>摘</w:t>
      </w:r>
      <w:r>
        <w:rPr>
          <w:rFonts w:ascii="宋体" w:hAnsi="宋体" w:cs="宋体"/>
          <w:b/>
          <w:bCs/>
          <w:sz w:val="24"/>
          <w:szCs w:val="24"/>
        </w:rPr>
        <w:t xml:space="preserve">  </w:t>
      </w:r>
      <w:r>
        <w:rPr>
          <w:rFonts w:hint="eastAsia" w:ascii="宋体" w:hAnsi="宋体" w:cs="宋体"/>
          <w:b/>
          <w:bCs/>
          <w:sz w:val="24"/>
          <w:szCs w:val="24"/>
        </w:rPr>
        <w:t>要</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_Toc25184 </w:instrText>
      </w:r>
      <w:r>
        <w:rPr>
          <w:rFonts w:ascii="宋体" w:hAnsi="宋体" w:cs="宋体"/>
          <w:b/>
          <w:bCs/>
          <w:sz w:val="24"/>
          <w:szCs w:val="24"/>
        </w:rPr>
        <w:fldChar w:fldCharType="separate"/>
      </w:r>
      <w:r>
        <w:rPr>
          <w:rFonts w:ascii="宋体" w:hAnsi="宋体" w:cs="宋体"/>
          <w:b/>
          <w:bCs/>
          <w:sz w:val="24"/>
          <w:szCs w:val="24"/>
        </w:rPr>
        <w:t>1</w:t>
      </w:r>
      <w:r>
        <w:rPr>
          <w:rFonts w:ascii="宋体" w:hAnsi="宋体" w:cs="宋体"/>
          <w:b/>
          <w:bCs/>
          <w:sz w:val="24"/>
          <w:szCs w:val="24"/>
        </w:rPr>
        <w:fldChar w:fldCharType="end"/>
      </w:r>
      <w:r>
        <w:rPr>
          <w:rFonts w:ascii="宋体" w:hAnsi="宋体" w:cs="宋体"/>
          <w:b/>
          <w:bCs/>
          <w:sz w:val="24"/>
          <w:szCs w:val="24"/>
        </w:rPr>
        <w:fldChar w:fldCharType="end"/>
      </w:r>
    </w:p>
    <w:p>
      <w:pPr>
        <w:pStyle w:val="18"/>
        <w:tabs>
          <w:tab w:val="right" w:leader="dot" w:pos="8312"/>
        </w:tabs>
        <w:spacing w:line="312" w:lineRule="auto"/>
        <w:ind w:left="0" w:leftChars="0"/>
        <w:rPr>
          <w:rFonts w:ascii="宋体" w:cs="Tahoma"/>
          <w:sz w:val="24"/>
          <w:szCs w:val="24"/>
        </w:rPr>
      </w:pPr>
      <w:r>
        <w:fldChar w:fldCharType="begin"/>
      </w:r>
      <w:r>
        <w:instrText xml:space="preserve"> HYPERLINK \l "_Toc4346" </w:instrText>
      </w:r>
      <w:r>
        <w:fldChar w:fldCharType="separate"/>
      </w:r>
      <w:r>
        <w:rPr>
          <w:rFonts w:hint="eastAsia" w:ascii="宋体" w:hAnsi="宋体" w:cs="宋体"/>
          <w:b/>
          <w:bCs/>
          <w:sz w:val="24"/>
          <w:szCs w:val="24"/>
        </w:rPr>
        <w:t>第二部分</w:t>
      </w:r>
      <w:r>
        <w:rPr>
          <w:rFonts w:ascii="宋体" w:hAnsi="宋体" w:cs="宋体"/>
          <w:b/>
          <w:bCs/>
          <w:sz w:val="24"/>
          <w:szCs w:val="24"/>
        </w:rPr>
        <w:t xml:space="preserve">   </w:t>
      </w:r>
      <w:r>
        <w:rPr>
          <w:rFonts w:hint="eastAsia" w:ascii="宋体" w:hAnsi="宋体" w:cs="宋体"/>
          <w:b/>
          <w:bCs/>
          <w:sz w:val="24"/>
          <w:szCs w:val="24"/>
        </w:rPr>
        <w:t>绩效评价报告</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_Toc4346 </w:instrText>
      </w:r>
      <w:r>
        <w:rPr>
          <w:rFonts w:ascii="宋体" w:hAnsi="宋体" w:cs="宋体"/>
          <w:b/>
          <w:bCs/>
          <w:sz w:val="24"/>
          <w:szCs w:val="24"/>
        </w:rPr>
        <w:fldChar w:fldCharType="separate"/>
      </w:r>
      <w:r>
        <w:rPr>
          <w:rFonts w:ascii="宋体" w:hAnsi="宋体" w:cs="宋体"/>
          <w:b/>
          <w:bCs/>
          <w:sz w:val="24"/>
          <w:szCs w:val="24"/>
        </w:rPr>
        <w:t>3</w:t>
      </w:r>
      <w:r>
        <w:rPr>
          <w:rFonts w:ascii="宋体" w:hAnsi="宋体" w:cs="宋体"/>
          <w:b/>
          <w:bCs/>
          <w:sz w:val="24"/>
          <w:szCs w:val="24"/>
        </w:rPr>
        <w:fldChar w:fldCharType="end"/>
      </w:r>
      <w:r>
        <w:rPr>
          <w:rFonts w:ascii="宋体" w:hAnsi="宋体" w:cs="宋体"/>
          <w:b/>
          <w:bCs/>
          <w:sz w:val="24"/>
          <w:szCs w:val="24"/>
        </w:rPr>
        <w:fldChar w:fldCharType="end"/>
      </w:r>
    </w:p>
    <w:p>
      <w:pPr>
        <w:pStyle w:val="18"/>
        <w:tabs>
          <w:tab w:val="right" w:leader="dot" w:pos="8312"/>
        </w:tabs>
        <w:spacing w:line="312" w:lineRule="auto"/>
        <w:ind w:left="0" w:leftChars="0"/>
        <w:rPr>
          <w:rFonts w:ascii="宋体" w:cs="Tahoma"/>
          <w:b/>
          <w:bCs/>
          <w:sz w:val="24"/>
          <w:szCs w:val="24"/>
        </w:rPr>
      </w:pPr>
      <w:r>
        <w:fldChar w:fldCharType="begin"/>
      </w:r>
      <w:r>
        <w:instrText xml:space="preserve"> HYPERLINK \l "_Toc427" </w:instrText>
      </w:r>
      <w:r>
        <w:fldChar w:fldCharType="separate"/>
      </w:r>
      <w:r>
        <w:rPr>
          <w:rFonts w:hint="eastAsia" w:ascii="宋体" w:hAnsi="宋体" w:cs="宋体"/>
          <w:b/>
          <w:bCs/>
          <w:sz w:val="24"/>
          <w:szCs w:val="24"/>
        </w:rPr>
        <w:t>一、保定市徐水区总工会基本情况</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_Toc427 </w:instrText>
      </w:r>
      <w:r>
        <w:rPr>
          <w:rFonts w:ascii="宋体" w:hAnsi="宋体" w:cs="宋体"/>
          <w:b/>
          <w:bCs/>
          <w:sz w:val="24"/>
          <w:szCs w:val="24"/>
        </w:rPr>
        <w:fldChar w:fldCharType="separate"/>
      </w:r>
      <w:r>
        <w:rPr>
          <w:rFonts w:ascii="宋体" w:hAnsi="宋体" w:cs="宋体"/>
          <w:b/>
          <w:bCs/>
          <w:sz w:val="24"/>
          <w:szCs w:val="24"/>
        </w:rPr>
        <w:t>4</w:t>
      </w:r>
      <w:r>
        <w:rPr>
          <w:rFonts w:ascii="宋体" w:hAnsi="宋体" w:cs="宋体"/>
          <w:b/>
          <w:bCs/>
          <w:sz w:val="24"/>
          <w:szCs w:val="24"/>
        </w:rPr>
        <w:fldChar w:fldCharType="end"/>
      </w:r>
      <w:r>
        <w:rPr>
          <w:rFonts w:ascii="宋体" w:hAnsi="宋体" w:cs="宋体"/>
          <w:b/>
          <w:bCs/>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"_Toc11473" </w:instrText>
      </w:r>
      <w:r>
        <w:fldChar w:fldCharType="separate"/>
      </w:r>
      <w:r>
        <w:rPr>
          <w:rFonts w:hint="eastAsia" w:ascii="宋体" w:hAnsi="宋体" w:cs="宋体"/>
          <w:sz w:val="24"/>
          <w:szCs w:val="24"/>
        </w:rPr>
        <w:t>（一）部门职责和工作活动</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_Toc11473 </w:instrText>
      </w:r>
      <w:r>
        <w:rPr>
          <w:rFonts w:ascii="宋体" w:hAnsi="宋体" w:cs="宋体"/>
          <w:sz w:val="24"/>
          <w:szCs w:val="24"/>
        </w:rPr>
        <w:fldChar w:fldCharType="separate"/>
      </w:r>
      <w:r>
        <w:rPr>
          <w:rFonts w:ascii="宋体" w:hAnsi="宋体" w:cs="宋体"/>
          <w:sz w:val="24"/>
          <w:szCs w:val="24"/>
        </w:rPr>
        <w:t>4</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"_Toc7075" </w:instrText>
      </w:r>
      <w:r>
        <w:fldChar w:fldCharType="separate"/>
      </w:r>
      <w:r>
        <w:rPr>
          <w:rFonts w:hint="eastAsia" w:ascii="宋体" w:hAnsi="宋体" w:cs="宋体"/>
          <w:sz w:val="24"/>
          <w:szCs w:val="24"/>
        </w:rPr>
        <w:t>（二）部门年度发展规划总体目标和职责分类绩效目标</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_Toc7075 </w:instrText>
      </w:r>
      <w:r>
        <w:rPr>
          <w:rFonts w:ascii="宋体" w:hAnsi="宋体" w:cs="宋体"/>
          <w:sz w:val="24"/>
          <w:szCs w:val="24"/>
        </w:rPr>
        <w:fldChar w:fldCharType="separate"/>
      </w:r>
      <w:r>
        <w:rPr>
          <w:rFonts w:ascii="宋体" w:hAnsi="宋体" w:cs="宋体"/>
          <w:sz w:val="24"/>
          <w:szCs w:val="24"/>
        </w:rPr>
        <w:t>6</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"_Toc1678" </w:instrText>
      </w:r>
      <w:r>
        <w:fldChar w:fldCharType="separate"/>
      </w:r>
      <w:r>
        <w:rPr>
          <w:rFonts w:hint="eastAsia" w:ascii="宋体" w:hAnsi="宋体" w:cs="宋体"/>
          <w:sz w:val="24"/>
          <w:szCs w:val="24"/>
        </w:rPr>
        <w:t>（三）部门预算收入及决算收入</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_Toc1678 </w:instrText>
      </w:r>
      <w:r>
        <w:rPr>
          <w:rFonts w:ascii="宋体" w:hAnsi="宋体" w:cs="宋体"/>
          <w:sz w:val="24"/>
          <w:szCs w:val="24"/>
        </w:rPr>
        <w:fldChar w:fldCharType="separate"/>
      </w:r>
      <w:r>
        <w:rPr>
          <w:rFonts w:ascii="宋体" w:hAnsi="宋体" w:cs="宋体"/>
          <w:sz w:val="24"/>
          <w:szCs w:val="24"/>
        </w:rPr>
        <w:t>7</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"_Toc18197" </w:instrText>
      </w:r>
      <w:r>
        <w:fldChar w:fldCharType="separate"/>
      </w:r>
      <w:r>
        <w:rPr>
          <w:rFonts w:hint="eastAsia" w:ascii="宋体" w:hAnsi="宋体" w:cs="宋体"/>
          <w:sz w:val="24"/>
          <w:szCs w:val="24"/>
        </w:rPr>
        <w:t>（四）预算支出及决算支出</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_Toc18197 </w:instrText>
      </w:r>
      <w:r>
        <w:rPr>
          <w:rFonts w:ascii="宋体" w:hAnsi="宋体" w:cs="宋体"/>
          <w:sz w:val="24"/>
          <w:szCs w:val="24"/>
        </w:rPr>
        <w:fldChar w:fldCharType="separate"/>
      </w:r>
      <w:r>
        <w:rPr>
          <w:rFonts w:ascii="宋体" w:hAnsi="宋体" w:cs="宋体"/>
          <w:sz w:val="24"/>
          <w:szCs w:val="24"/>
        </w:rPr>
        <w:t>8</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"_Toc19291" </w:instrText>
      </w:r>
      <w:r>
        <w:fldChar w:fldCharType="separate"/>
      </w:r>
      <w:r>
        <w:rPr>
          <w:rFonts w:hint="eastAsia" w:ascii="宋体" w:hAnsi="宋体" w:cs="宋体"/>
          <w:sz w:val="24"/>
          <w:szCs w:val="24"/>
        </w:rPr>
        <w:t>（五）“三公”经费预算安排及支出情况</w:t>
      </w:r>
      <w:r>
        <w:rPr>
          <w:rFonts w:ascii="宋体" w:cs="Tahoma"/>
          <w:sz w:val="24"/>
          <w:szCs w:val="24"/>
        </w:rPr>
        <w:tab/>
      </w:r>
      <w:r>
        <w:rPr>
          <w:rFonts w:ascii="宋体" w:cs="Tahoma"/>
          <w:sz w:val="24"/>
          <w:szCs w:val="24"/>
        </w:rPr>
        <w:fldChar w:fldCharType="end"/>
      </w:r>
    </w:p>
    <w:p>
      <w:pPr>
        <w:pStyle w:val="18"/>
        <w:tabs>
          <w:tab w:val="right" w:leader="dot" w:pos="8312"/>
        </w:tabs>
        <w:spacing w:line="312" w:lineRule="auto"/>
        <w:ind w:left="0" w:leftChars="0"/>
        <w:rPr>
          <w:rFonts w:ascii="宋体" w:cs="Tahoma"/>
          <w:b/>
          <w:bCs/>
          <w:sz w:val="24"/>
          <w:szCs w:val="24"/>
        </w:rPr>
      </w:pPr>
      <w:r>
        <w:fldChar w:fldCharType="begin"/>
      </w:r>
      <w:r>
        <w:instrText xml:space="preserve"> HYPERLINK \l "_Toc20454" </w:instrText>
      </w:r>
      <w:r>
        <w:fldChar w:fldCharType="separate"/>
      </w:r>
      <w:r>
        <w:rPr>
          <w:rFonts w:hint="eastAsia" w:ascii="宋体" w:hAnsi="宋体" w:cs="宋体"/>
          <w:b/>
          <w:bCs/>
          <w:sz w:val="24"/>
          <w:szCs w:val="24"/>
        </w:rPr>
        <w:t>二、部门整体支出绩效评价指标体系设定情况</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_Toc20454 </w:instrText>
      </w:r>
      <w:r>
        <w:rPr>
          <w:rFonts w:ascii="宋体" w:hAnsi="宋体" w:cs="宋体"/>
          <w:b/>
          <w:bCs/>
          <w:sz w:val="24"/>
          <w:szCs w:val="24"/>
        </w:rPr>
        <w:fldChar w:fldCharType="separate"/>
      </w:r>
      <w:r>
        <w:rPr>
          <w:rFonts w:ascii="宋体" w:hAnsi="宋体" w:cs="宋体"/>
          <w:b/>
          <w:bCs/>
          <w:sz w:val="24"/>
          <w:szCs w:val="24"/>
        </w:rPr>
        <w:t>10</w:t>
      </w:r>
      <w:r>
        <w:rPr>
          <w:rFonts w:ascii="宋体" w:hAnsi="宋体" w:cs="宋体"/>
          <w:b/>
          <w:bCs/>
          <w:sz w:val="24"/>
          <w:szCs w:val="24"/>
        </w:rPr>
        <w:fldChar w:fldCharType="end"/>
      </w:r>
      <w:r>
        <w:rPr>
          <w:rFonts w:ascii="宋体" w:hAnsi="宋体" w:cs="宋体"/>
          <w:b/>
          <w:bCs/>
          <w:sz w:val="24"/>
          <w:szCs w:val="24"/>
        </w:rPr>
        <w:fldChar w:fldCharType="end"/>
      </w:r>
    </w:p>
    <w:p>
      <w:pPr>
        <w:pStyle w:val="18"/>
        <w:tabs>
          <w:tab w:val="right" w:leader="dot" w:pos="8312"/>
        </w:tabs>
        <w:spacing w:line="312" w:lineRule="auto"/>
        <w:ind w:left="0" w:leftChars="0" w:firstLine="300" w:firstLineChars="100"/>
        <w:rPr>
          <w:rFonts w:ascii="宋体" w:cs="Tahoma"/>
          <w:sz w:val="24"/>
          <w:szCs w:val="24"/>
        </w:rPr>
      </w:pPr>
      <w:r>
        <w:fldChar w:fldCharType="begin"/>
      </w:r>
      <w:r>
        <w:instrText xml:space="preserve"> HYPERLINK \l "_Toc9569" </w:instrText>
      </w:r>
      <w:r>
        <w:fldChar w:fldCharType="separate"/>
      </w:r>
      <w:r>
        <w:rPr>
          <w:rFonts w:hint="eastAsia" w:ascii="宋体" w:hAnsi="宋体" w:cs="宋体"/>
          <w:sz w:val="24"/>
          <w:szCs w:val="24"/>
        </w:rPr>
        <w:t>（一）投入</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_Toc9569 </w:instrText>
      </w:r>
      <w:r>
        <w:rPr>
          <w:rFonts w:ascii="宋体" w:hAnsi="宋体" w:cs="宋体"/>
          <w:sz w:val="24"/>
          <w:szCs w:val="24"/>
        </w:rPr>
        <w:fldChar w:fldCharType="separate"/>
      </w:r>
      <w:r>
        <w:rPr>
          <w:rFonts w:ascii="宋体" w:hAnsi="宋体" w:cs="宋体"/>
          <w:sz w:val="24"/>
          <w:szCs w:val="24"/>
        </w:rPr>
        <w:t>10</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"_Toc30221" </w:instrText>
      </w:r>
      <w:r>
        <w:fldChar w:fldCharType="separate"/>
      </w:r>
      <w:r>
        <w:rPr>
          <w:rFonts w:hint="eastAsia" w:ascii="宋体" w:hAnsi="宋体" w:cs="宋体"/>
          <w:sz w:val="24"/>
          <w:szCs w:val="24"/>
        </w:rPr>
        <w:t>（二）过程</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_Toc30221 </w:instrText>
      </w:r>
      <w:r>
        <w:rPr>
          <w:rFonts w:ascii="宋体" w:hAnsi="宋体" w:cs="宋体"/>
          <w:sz w:val="24"/>
          <w:szCs w:val="24"/>
        </w:rPr>
        <w:fldChar w:fldCharType="separate"/>
      </w:r>
      <w:r>
        <w:rPr>
          <w:rFonts w:ascii="宋体" w:hAnsi="宋体" w:cs="宋体"/>
          <w:sz w:val="24"/>
          <w:szCs w:val="24"/>
        </w:rPr>
        <w:t>11</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"_Toc24932" </w:instrText>
      </w:r>
      <w:r>
        <w:fldChar w:fldCharType="separate"/>
      </w:r>
      <w:r>
        <w:rPr>
          <w:rFonts w:hint="eastAsia" w:ascii="宋体" w:hAnsi="宋体" w:cs="宋体"/>
          <w:sz w:val="24"/>
          <w:szCs w:val="24"/>
        </w:rPr>
        <w:t>（三）产出</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_Toc24932 </w:instrText>
      </w:r>
      <w:r>
        <w:rPr>
          <w:rFonts w:ascii="宋体" w:hAnsi="宋体" w:cs="宋体"/>
          <w:sz w:val="24"/>
          <w:szCs w:val="24"/>
        </w:rPr>
        <w:fldChar w:fldCharType="separate"/>
      </w:r>
      <w:r>
        <w:rPr>
          <w:rFonts w:ascii="宋体" w:hAnsi="宋体" w:cs="宋体"/>
          <w:sz w:val="24"/>
          <w:szCs w:val="24"/>
        </w:rPr>
        <w:t>11</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"_Toc21821" </w:instrText>
      </w:r>
      <w:r>
        <w:fldChar w:fldCharType="separate"/>
      </w:r>
      <w:r>
        <w:rPr>
          <w:rFonts w:hint="eastAsia" w:ascii="宋体" w:hAnsi="宋体" w:cs="宋体"/>
          <w:sz w:val="24"/>
          <w:szCs w:val="24"/>
        </w:rPr>
        <w:t>（四）效果</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_Toc21821 </w:instrText>
      </w:r>
      <w:r>
        <w:rPr>
          <w:rFonts w:ascii="宋体" w:hAnsi="宋体" w:cs="宋体"/>
          <w:sz w:val="24"/>
          <w:szCs w:val="24"/>
        </w:rPr>
        <w:fldChar w:fldCharType="separate"/>
      </w:r>
      <w:r>
        <w:rPr>
          <w:rFonts w:ascii="宋体" w:hAnsi="宋体" w:cs="宋体"/>
          <w:sz w:val="24"/>
          <w:szCs w:val="24"/>
        </w:rPr>
        <w:t>12</w:t>
      </w:r>
      <w:r>
        <w:rPr>
          <w:rFonts w:ascii="宋体" w:hAnsi="宋体" w:cs="宋体"/>
          <w:sz w:val="24"/>
          <w:szCs w:val="24"/>
        </w:rPr>
        <w:fldChar w:fldCharType="end"/>
      </w:r>
      <w:r>
        <w:rPr>
          <w:rFonts w:ascii="宋体" w:hAnsi="宋体" w:cs="宋体"/>
          <w:sz w:val="24"/>
          <w:szCs w:val="24"/>
        </w:rPr>
        <w:fldChar w:fldCharType="end"/>
      </w:r>
    </w:p>
    <w:p>
      <w:pPr>
        <w:pStyle w:val="18"/>
        <w:tabs>
          <w:tab w:val="right" w:leader="dot" w:pos="8312"/>
        </w:tabs>
        <w:spacing w:line="312" w:lineRule="auto"/>
        <w:ind w:left="0" w:leftChars="0"/>
        <w:rPr>
          <w:rFonts w:ascii="宋体" w:cs="Tahoma"/>
          <w:b/>
          <w:bCs/>
          <w:sz w:val="24"/>
          <w:szCs w:val="24"/>
        </w:rPr>
      </w:pPr>
      <w:r>
        <w:fldChar w:fldCharType="begin"/>
      </w:r>
      <w:r>
        <w:instrText xml:space="preserve"> HYPERLINK \l "_Toc11842" </w:instrText>
      </w:r>
      <w:r>
        <w:fldChar w:fldCharType="separate"/>
      </w:r>
      <w:r>
        <w:rPr>
          <w:rFonts w:hint="eastAsia" w:ascii="宋体" w:hAnsi="宋体" w:cs="宋体"/>
          <w:b/>
          <w:bCs/>
          <w:sz w:val="24"/>
          <w:szCs w:val="24"/>
        </w:rPr>
        <w:t>三、综合绩效评价工作情况</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_Toc11842 </w:instrText>
      </w:r>
      <w:r>
        <w:rPr>
          <w:rFonts w:ascii="宋体" w:hAnsi="宋体" w:cs="宋体"/>
          <w:b/>
          <w:bCs/>
          <w:sz w:val="24"/>
          <w:szCs w:val="24"/>
        </w:rPr>
        <w:fldChar w:fldCharType="separate"/>
      </w:r>
      <w:r>
        <w:rPr>
          <w:rFonts w:ascii="宋体" w:hAnsi="宋体" w:cs="宋体"/>
          <w:b/>
          <w:bCs/>
          <w:sz w:val="24"/>
          <w:szCs w:val="24"/>
        </w:rPr>
        <w:t>12</w:t>
      </w:r>
      <w:r>
        <w:rPr>
          <w:rFonts w:ascii="宋体" w:hAnsi="宋体" w:cs="宋体"/>
          <w:b/>
          <w:bCs/>
          <w:sz w:val="24"/>
          <w:szCs w:val="24"/>
        </w:rPr>
        <w:fldChar w:fldCharType="end"/>
      </w:r>
      <w:r>
        <w:rPr>
          <w:rFonts w:ascii="宋体" w:hAnsi="宋体" w:cs="宋体"/>
          <w:b/>
          <w:bCs/>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"_Toc17138" </w:instrText>
      </w:r>
      <w:r>
        <w:fldChar w:fldCharType="separate"/>
      </w:r>
      <w:r>
        <w:rPr>
          <w:rFonts w:hint="eastAsia" w:ascii="宋体" w:hAnsi="宋体" w:cs="宋体"/>
          <w:sz w:val="24"/>
          <w:szCs w:val="24"/>
        </w:rPr>
        <w:t>（一）绩效评价目的</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_Toc17138 </w:instrText>
      </w:r>
      <w:r>
        <w:rPr>
          <w:rFonts w:ascii="宋体" w:hAnsi="宋体" w:cs="宋体"/>
          <w:sz w:val="24"/>
          <w:szCs w:val="24"/>
        </w:rPr>
        <w:fldChar w:fldCharType="separate"/>
      </w:r>
      <w:r>
        <w:rPr>
          <w:rFonts w:ascii="宋体" w:hAnsi="宋体" w:cs="宋体"/>
          <w:sz w:val="24"/>
          <w:szCs w:val="24"/>
        </w:rPr>
        <w:t>12</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"_Toc11607" </w:instrText>
      </w:r>
      <w:r>
        <w:fldChar w:fldCharType="separate"/>
      </w:r>
      <w:r>
        <w:rPr>
          <w:rFonts w:hint="eastAsia" w:ascii="宋体" w:hAnsi="宋体" w:cs="宋体"/>
          <w:sz w:val="24"/>
          <w:szCs w:val="24"/>
        </w:rPr>
        <w:t>（二）绩效评价依据</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_Toc11607 </w:instrText>
      </w:r>
      <w:r>
        <w:rPr>
          <w:rFonts w:ascii="宋体" w:hAnsi="宋体" w:cs="宋体"/>
          <w:sz w:val="24"/>
          <w:szCs w:val="24"/>
        </w:rPr>
        <w:fldChar w:fldCharType="separate"/>
      </w:r>
      <w:r>
        <w:rPr>
          <w:rFonts w:ascii="宋体" w:hAnsi="宋体" w:cs="宋体"/>
          <w:sz w:val="24"/>
          <w:szCs w:val="24"/>
        </w:rPr>
        <w:t>12</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"_Toc7609" </w:instrText>
      </w:r>
      <w:r>
        <w:fldChar w:fldCharType="separate"/>
      </w:r>
      <w:r>
        <w:rPr>
          <w:rFonts w:hint="eastAsia" w:ascii="宋体" w:hAnsi="宋体" w:cs="宋体"/>
          <w:sz w:val="24"/>
          <w:szCs w:val="24"/>
        </w:rPr>
        <w:t>（三）绩效评价内容</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_Toc7609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"_Toc789" </w:instrText>
      </w:r>
      <w:r>
        <w:fldChar w:fldCharType="separate"/>
      </w:r>
      <w:r>
        <w:rPr>
          <w:rFonts w:hint="eastAsia" w:ascii="宋体" w:hAnsi="宋体" w:cs="宋体"/>
          <w:sz w:val="24"/>
          <w:szCs w:val="24"/>
        </w:rPr>
        <w:t>（四）绩效评价原则</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_Toc789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"_Toc8171" </w:instrText>
      </w:r>
      <w:r>
        <w:fldChar w:fldCharType="separate"/>
      </w:r>
      <w:r>
        <w:rPr>
          <w:rFonts w:hint="eastAsia" w:ascii="宋体" w:hAnsi="宋体" w:cs="宋体"/>
          <w:sz w:val="24"/>
          <w:szCs w:val="24"/>
        </w:rPr>
        <w:t>（五）绩效评价方法</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_Toc8171 </w:instrText>
      </w:r>
      <w:r>
        <w:rPr>
          <w:rFonts w:ascii="宋体" w:hAnsi="宋体" w:cs="宋体"/>
          <w:sz w:val="24"/>
          <w:szCs w:val="24"/>
        </w:rPr>
        <w:fldChar w:fldCharType="separate"/>
      </w:r>
      <w:r>
        <w:rPr>
          <w:rFonts w:ascii="宋体" w:hAnsi="宋体" w:cs="宋体"/>
          <w:sz w:val="24"/>
          <w:szCs w:val="24"/>
        </w:rPr>
        <w:t>14</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"_Toc20821" </w:instrText>
      </w:r>
      <w:r>
        <w:fldChar w:fldCharType="separate"/>
      </w:r>
      <w:r>
        <w:rPr>
          <w:rFonts w:hint="eastAsia" w:ascii="宋体" w:hAnsi="宋体" w:cs="宋体"/>
          <w:sz w:val="24"/>
          <w:szCs w:val="24"/>
        </w:rPr>
        <w:t>（六）绩效评价工作过程</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_Toc20821 </w:instrText>
      </w:r>
      <w:r>
        <w:rPr>
          <w:rFonts w:ascii="宋体" w:hAnsi="宋体" w:cs="宋体"/>
          <w:sz w:val="24"/>
          <w:szCs w:val="24"/>
        </w:rPr>
        <w:fldChar w:fldCharType="separate"/>
      </w:r>
      <w:r>
        <w:rPr>
          <w:rFonts w:ascii="宋体" w:hAnsi="宋体" w:cs="宋体"/>
          <w:sz w:val="24"/>
          <w:szCs w:val="24"/>
        </w:rPr>
        <w:t>15</w:t>
      </w:r>
      <w:r>
        <w:rPr>
          <w:rFonts w:ascii="宋体" w:hAnsi="宋体" w:cs="宋体"/>
          <w:sz w:val="24"/>
          <w:szCs w:val="24"/>
        </w:rPr>
        <w:fldChar w:fldCharType="end"/>
      </w:r>
      <w:r>
        <w:rPr>
          <w:rFonts w:ascii="宋体" w:hAnsi="宋体" w:cs="宋体"/>
          <w:sz w:val="24"/>
          <w:szCs w:val="24"/>
        </w:rPr>
        <w:fldChar w:fldCharType="end"/>
      </w:r>
    </w:p>
    <w:p>
      <w:pPr>
        <w:pStyle w:val="18"/>
        <w:tabs>
          <w:tab w:val="right" w:leader="dot" w:pos="8312"/>
        </w:tabs>
        <w:spacing w:line="312" w:lineRule="auto"/>
        <w:ind w:left="0" w:leftChars="0"/>
        <w:rPr>
          <w:rFonts w:ascii="宋体" w:cs="Tahoma"/>
          <w:b/>
          <w:bCs/>
          <w:sz w:val="24"/>
          <w:szCs w:val="24"/>
        </w:rPr>
      </w:pPr>
      <w:r>
        <w:fldChar w:fldCharType="begin"/>
      </w:r>
      <w:r>
        <w:instrText xml:space="preserve"> HYPERLINK \l "_Toc6467" </w:instrText>
      </w:r>
      <w:r>
        <w:fldChar w:fldCharType="separate"/>
      </w:r>
      <w:r>
        <w:rPr>
          <w:rFonts w:hint="eastAsia" w:ascii="宋体" w:hAnsi="宋体" w:cs="宋体"/>
          <w:b/>
          <w:bCs/>
          <w:sz w:val="24"/>
          <w:szCs w:val="24"/>
        </w:rPr>
        <w:t>四、绩效评价评分情况</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_Toc6467 </w:instrText>
      </w:r>
      <w:r>
        <w:rPr>
          <w:rFonts w:ascii="宋体" w:hAnsi="宋体" w:cs="宋体"/>
          <w:b/>
          <w:bCs/>
          <w:sz w:val="24"/>
          <w:szCs w:val="24"/>
        </w:rPr>
        <w:fldChar w:fldCharType="separate"/>
      </w:r>
      <w:r>
        <w:rPr>
          <w:rFonts w:ascii="宋体" w:hAnsi="宋体" w:cs="宋体"/>
          <w:b/>
          <w:bCs/>
          <w:sz w:val="24"/>
          <w:szCs w:val="24"/>
        </w:rPr>
        <w:t>16</w:t>
      </w:r>
      <w:r>
        <w:rPr>
          <w:rFonts w:ascii="宋体" w:hAnsi="宋体" w:cs="宋体"/>
          <w:b/>
          <w:bCs/>
          <w:sz w:val="24"/>
          <w:szCs w:val="24"/>
        </w:rPr>
        <w:fldChar w:fldCharType="end"/>
      </w:r>
      <w:r>
        <w:rPr>
          <w:rFonts w:ascii="宋体" w:hAnsi="宋体" w:cs="宋体"/>
          <w:b/>
          <w:bCs/>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"_Toc4390" </w:instrText>
      </w:r>
      <w:r>
        <w:fldChar w:fldCharType="separate"/>
      </w:r>
      <w:r>
        <w:rPr>
          <w:rFonts w:hint="eastAsia" w:ascii="宋体" w:hAnsi="宋体" w:cs="宋体"/>
          <w:sz w:val="24"/>
          <w:szCs w:val="24"/>
        </w:rPr>
        <w:t>（一）投入</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_Toc4390 </w:instrText>
      </w:r>
      <w:r>
        <w:rPr>
          <w:rFonts w:ascii="宋体" w:hAnsi="宋体" w:cs="宋体"/>
          <w:sz w:val="24"/>
          <w:szCs w:val="24"/>
        </w:rPr>
        <w:fldChar w:fldCharType="separate"/>
      </w:r>
      <w:r>
        <w:rPr>
          <w:rFonts w:ascii="宋体" w:hAnsi="宋体" w:cs="宋体"/>
          <w:sz w:val="24"/>
          <w:szCs w:val="24"/>
        </w:rPr>
        <w:t>16</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"_Toc19940" </w:instrText>
      </w:r>
      <w:r>
        <w:fldChar w:fldCharType="separate"/>
      </w:r>
      <w:r>
        <w:rPr>
          <w:rFonts w:hint="eastAsia" w:ascii="宋体" w:hAnsi="宋体" w:cs="宋体"/>
          <w:sz w:val="24"/>
          <w:szCs w:val="24"/>
        </w:rPr>
        <w:t>（二）过程</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_Toc19940 </w:instrText>
      </w:r>
      <w:r>
        <w:rPr>
          <w:rFonts w:ascii="宋体" w:hAnsi="宋体" w:cs="宋体"/>
          <w:sz w:val="24"/>
          <w:szCs w:val="24"/>
        </w:rPr>
        <w:fldChar w:fldCharType="separate"/>
      </w:r>
      <w:r>
        <w:rPr>
          <w:rFonts w:ascii="宋体" w:hAnsi="宋体" w:cs="宋体"/>
          <w:sz w:val="24"/>
          <w:szCs w:val="24"/>
        </w:rPr>
        <w:t>20</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"_Toc12330" </w:instrText>
      </w:r>
      <w:r>
        <w:fldChar w:fldCharType="separate"/>
      </w:r>
      <w:r>
        <w:rPr>
          <w:rFonts w:hint="eastAsia" w:ascii="宋体" w:hAnsi="宋体" w:cs="宋体"/>
          <w:sz w:val="24"/>
          <w:szCs w:val="24"/>
        </w:rPr>
        <w:t>（三）产出</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_Toc12330 </w:instrText>
      </w:r>
      <w:r>
        <w:rPr>
          <w:rFonts w:ascii="宋体" w:hAnsi="宋体" w:cs="宋体"/>
          <w:sz w:val="24"/>
          <w:szCs w:val="24"/>
        </w:rPr>
        <w:fldChar w:fldCharType="separate"/>
      </w:r>
      <w:r>
        <w:rPr>
          <w:rFonts w:ascii="宋体" w:hAnsi="宋体" w:cs="宋体"/>
          <w:sz w:val="24"/>
          <w:szCs w:val="24"/>
        </w:rPr>
        <w:t>25</w:t>
      </w:r>
      <w:r>
        <w:rPr>
          <w:rFonts w:ascii="宋体" w:hAnsi="宋体" w:cs="宋体"/>
          <w:sz w:val="24"/>
          <w:szCs w:val="24"/>
        </w:rPr>
        <w:fldChar w:fldCharType="end"/>
      </w:r>
      <w:r>
        <w:rPr>
          <w:rFonts w:ascii="宋体" w:hAnsi="宋体" w:cs="宋体"/>
          <w:sz w:val="24"/>
          <w:szCs w:val="24"/>
        </w:rPr>
        <w:fldChar w:fldCharType="end"/>
      </w:r>
    </w:p>
    <w:p>
      <w:pPr>
        <w:pStyle w:val="11"/>
        <w:tabs>
          <w:tab w:val="right" w:leader="dot" w:pos="8312"/>
        </w:tabs>
        <w:spacing w:line="312" w:lineRule="auto"/>
        <w:ind w:left="0" w:leftChars="0" w:firstLine="280" w:firstLineChars="100"/>
        <w:rPr>
          <w:rFonts w:ascii="宋体" w:cs="Tahoma"/>
          <w:sz w:val="24"/>
          <w:szCs w:val="24"/>
        </w:rPr>
      </w:pPr>
      <w:r>
        <w:fldChar w:fldCharType="begin"/>
      </w:r>
      <w:r>
        <w:instrText xml:space="preserve"> HYPERLINK \l "_Toc28363" </w:instrText>
      </w:r>
      <w:r>
        <w:fldChar w:fldCharType="separate"/>
      </w:r>
      <w:r>
        <w:rPr>
          <w:rFonts w:hint="eastAsia" w:ascii="宋体" w:hAnsi="宋体" w:cs="宋体"/>
          <w:sz w:val="24"/>
          <w:szCs w:val="24"/>
        </w:rPr>
        <w:t>（四）效果</w:t>
      </w:r>
      <w:r>
        <w:rPr>
          <w:rFonts w:ascii="宋体" w:cs="Tahoma"/>
          <w:sz w:val="24"/>
          <w:szCs w:val="24"/>
        </w:rPr>
        <w:tab/>
      </w:r>
      <w:r>
        <w:rPr>
          <w:rFonts w:ascii="宋体" w:hAnsi="宋体" w:cs="宋体"/>
          <w:sz w:val="24"/>
          <w:szCs w:val="24"/>
        </w:rPr>
        <w:fldChar w:fldCharType="begin"/>
      </w:r>
      <w:r>
        <w:rPr>
          <w:rFonts w:ascii="宋体" w:hAnsi="宋体" w:cs="宋体"/>
          <w:sz w:val="24"/>
          <w:szCs w:val="24"/>
        </w:rPr>
        <w:instrText xml:space="preserve"> PAGEREF _Toc28363 </w:instrText>
      </w:r>
      <w:r>
        <w:rPr>
          <w:rFonts w:ascii="宋体" w:hAnsi="宋体" w:cs="宋体"/>
          <w:sz w:val="24"/>
          <w:szCs w:val="24"/>
        </w:rPr>
        <w:fldChar w:fldCharType="separate"/>
      </w:r>
      <w:r>
        <w:rPr>
          <w:rFonts w:ascii="宋体" w:hAnsi="宋体" w:cs="宋体"/>
          <w:sz w:val="24"/>
          <w:szCs w:val="24"/>
        </w:rPr>
        <w:t>27</w:t>
      </w:r>
      <w:r>
        <w:rPr>
          <w:rFonts w:ascii="宋体" w:hAnsi="宋体" w:cs="宋体"/>
          <w:sz w:val="24"/>
          <w:szCs w:val="24"/>
        </w:rPr>
        <w:fldChar w:fldCharType="end"/>
      </w:r>
      <w:r>
        <w:rPr>
          <w:rFonts w:ascii="宋体" w:hAnsi="宋体" w:cs="宋体"/>
          <w:sz w:val="24"/>
          <w:szCs w:val="24"/>
        </w:rPr>
        <w:fldChar w:fldCharType="end"/>
      </w:r>
    </w:p>
    <w:p>
      <w:pPr>
        <w:pStyle w:val="18"/>
        <w:tabs>
          <w:tab w:val="right" w:leader="dot" w:pos="8312"/>
        </w:tabs>
        <w:spacing w:line="312" w:lineRule="auto"/>
        <w:ind w:left="0" w:leftChars="0"/>
        <w:rPr>
          <w:rFonts w:ascii="宋体" w:cs="Tahoma"/>
          <w:sz w:val="24"/>
          <w:szCs w:val="24"/>
        </w:rPr>
      </w:pPr>
      <w:r>
        <w:fldChar w:fldCharType="begin"/>
      </w:r>
      <w:r>
        <w:instrText xml:space="preserve"> HYPERLINK \l "_Toc13757" </w:instrText>
      </w:r>
      <w:r>
        <w:fldChar w:fldCharType="separate"/>
      </w:r>
      <w:r>
        <w:rPr>
          <w:rFonts w:hint="eastAsia" w:ascii="宋体" w:hAnsi="宋体" w:cs="宋体"/>
          <w:b/>
          <w:bCs/>
          <w:sz w:val="24"/>
          <w:szCs w:val="24"/>
        </w:rPr>
        <w:t>五、绩效评价发现的问题</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_Toc13757 </w:instrText>
      </w:r>
      <w:r>
        <w:rPr>
          <w:rFonts w:ascii="宋体" w:hAnsi="宋体" w:cs="宋体"/>
          <w:b/>
          <w:bCs/>
          <w:sz w:val="24"/>
          <w:szCs w:val="24"/>
        </w:rPr>
        <w:fldChar w:fldCharType="separate"/>
      </w:r>
      <w:r>
        <w:rPr>
          <w:rFonts w:ascii="宋体" w:hAnsi="宋体" w:cs="宋体"/>
          <w:b/>
          <w:bCs/>
          <w:sz w:val="24"/>
          <w:szCs w:val="24"/>
        </w:rPr>
        <w:t>28</w:t>
      </w:r>
      <w:r>
        <w:rPr>
          <w:rFonts w:ascii="宋体" w:hAnsi="宋体" w:cs="宋体"/>
          <w:b/>
          <w:bCs/>
          <w:sz w:val="24"/>
          <w:szCs w:val="24"/>
        </w:rPr>
        <w:fldChar w:fldCharType="end"/>
      </w:r>
      <w:r>
        <w:rPr>
          <w:rFonts w:ascii="宋体" w:hAnsi="宋体" w:cs="宋体"/>
          <w:b/>
          <w:bCs/>
          <w:sz w:val="24"/>
          <w:szCs w:val="24"/>
        </w:rPr>
        <w:fldChar w:fldCharType="end"/>
      </w:r>
    </w:p>
    <w:p>
      <w:pPr>
        <w:pStyle w:val="18"/>
        <w:tabs>
          <w:tab w:val="right" w:leader="dot" w:pos="8312"/>
        </w:tabs>
        <w:spacing w:line="312" w:lineRule="auto"/>
        <w:ind w:left="0" w:leftChars="0"/>
        <w:rPr>
          <w:rFonts w:cs="Tahoma"/>
          <w:b/>
          <w:bCs/>
        </w:rPr>
      </w:pPr>
      <w:r>
        <w:fldChar w:fldCharType="begin"/>
      </w:r>
      <w:r>
        <w:instrText xml:space="preserve"> HYPERLINK \l "_Toc20723" </w:instrText>
      </w:r>
      <w:r>
        <w:fldChar w:fldCharType="separate"/>
      </w:r>
      <w:r>
        <w:rPr>
          <w:rFonts w:hint="eastAsia" w:ascii="宋体" w:hAnsi="宋体" w:cs="宋体"/>
          <w:b/>
          <w:bCs/>
          <w:sz w:val="24"/>
          <w:szCs w:val="24"/>
        </w:rPr>
        <w:t>六、绩效评价意见及建议</w:t>
      </w:r>
      <w:r>
        <w:rPr>
          <w:rFonts w:ascii="宋体" w:cs="Tahoma"/>
          <w:b/>
          <w:bCs/>
          <w:sz w:val="24"/>
          <w:szCs w:val="24"/>
        </w:rPr>
        <w:tab/>
      </w:r>
      <w:r>
        <w:rPr>
          <w:rFonts w:ascii="宋体" w:hAnsi="宋体" w:cs="宋体"/>
          <w:b/>
          <w:bCs/>
          <w:sz w:val="24"/>
          <w:szCs w:val="24"/>
        </w:rPr>
        <w:fldChar w:fldCharType="begin"/>
      </w:r>
      <w:r>
        <w:rPr>
          <w:rFonts w:ascii="宋体" w:hAnsi="宋体" w:cs="宋体"/>
          <w:b/>
          <w:bCs/>
          <w:sz w:val="24"/>
          <w:szCs w:val="24"/>
        </w:rPr>
        <w:instrText xml:space="preserve"> PAGEREF _Toc20723 </w:instrText>
      </w:r>
      <w:r>
        <w:rPr>
          <w:rFonts w:ascii="宋体" w:hAnsi="宋体" w:cs="宋体"/>
          <w:b/>
          <w:bCs/>
          <w:sz w:val="24"/>
          <w:szCs w:val="24"/>
        </w:rPr>
        <w:fldChar w:fldCharType="separate"/>
      </w:r>
      <w:r>
        <w:rPr>
          <w:rFonts w:ascii="宋体" w:hAnsi="宋体" w:cs="宋体"/>
          <w:b/>
          <w:bCs/>
          <w:sz w:val="24"/>
          <w:szCs w:val="24"/>
        </w:rPr>
        <w:t>28</w:t>
      </w:r>
      <w:r>
        <w:rPr>
          <w:rFonts w:ascii="宋体" w:hAnsi="宋体" w:cs="宋体"/>
          <w:b/>
          <w:bCs/>
          <w:sz w:val="24"/>
          <w:szCs w:val="24"/>
        </w:rPr>
        <w:fldChar w:fldCharType="end"/>
      </w:r>
      <w:r>
        <w:rPr>
          <w:rFonts w:ascii="宋体" w:hAnsi="宋体" w:cs="宋体"/>
          <w:b/>
          <w:bCs/>
          <w:sz w:val="24"/>
          <w:szCs w:val="24"/>
        </w:rPr>
        <w:fldChar w:fldCharType="end"/>
      </w:r>
    </w:p>
    <w:p>
      <w:pPr>
        <w:spacing w:line="312" w:lineRule="auto"/>
        <w:ind w:firstLine="48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宋体" w:hAnsi="宋体" w:cs="宋体"/>
          <w:sz w:val="24"/>
          <w:szCs w:val="24"/>
        </w:rPr>
        <w:fldChar w:fldCharType="end"/>
      </w:r>
    </w:p>
    <w:p>
      <w:pPr>
        <w:pStyle w:val="3"/>
        <w:spacing w:line="540" w:lineRule="exact"/>
        <w:jc w:val="center"/>
        <w:rPr>
          <w:rFonts w:ascii="黑体" w:cs="Tahoma"/>
          <w:b w:val="0"/>
          <w:bCs w:val="0"/>
        </w:rPr>
      </w:pPr>
      <w:bookmarkStart w:id="0" w:name="_Toc25184"/>
      <w:r>
        <w:rPr>
          <w:rFonts w:hint="eastAsia" w:ascii="黑体" w:hAnsi="黑体" w:cs="黑体"/>
          <w:b w:val="0"/>
          <w:bCs w:val="0"/>
        </w:rPr>
        <w:t>第一部分</w:t>
      </w:r>
      <w:r>
        <w:rPr>
          <w:rFonts w:ascii="黑体" w:hAnsi="黑体" w:cs="黑体"/>
          <w:b w:val="0"/>
          <w:bCs w:val="0"/>
        </w:rPr>
        <w:t xml:space="preserve">   </w:t>
      </w:r>
      <w:r>
        <w:rPr>
          <w:rFonts w:hint="eastAsia" w:ascii="黑体" w:hAnsi="黑体" w:cs="黑体"/>
          <w:b w:val="0"/>
          <w:bCs w:val="0"/>
        </w:rPr>
        <w:t>摘</w:t>
      </w:r>
      <w:r>
        <w:rPr>
          <w:rFonts w:ascii="黑体" w:hAnsi="黑体" w:cs="黑体"/>
          <w:b w:val="0"/>
          <w:bCs w:val="0"/>
        </w:rPr>
        <w:t xml:space="preserve">  </w:t>
      </w:r>
      <w:r>
        <w:rPr>
          <w:rFonts w:hint="eastAsia" w:ascii="黑体" w:hAnsi="黑体" w:cs="黑体"/>
          <w:b w:val="0"/>
          <w:bCs w:val="0"/>
        </w:rPr>
        <w:t>要</w:t>
      </w:r>
      <w:bookmarkEnd w:id="0"/>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保定市徐水区总工会为正科级行政单位，经费保障形式部分为财政拨款，下设</w:t>
      </w:r>
      <w:r>
        <w:rPr>
          <w:rFonts w:ascii="仿宋_GB2312" w:eastAsia="仿宋_GB2312" w:cs="仿宋_GB2312"/>
          <w:sz w:val="32"/>
          <w:szCs w:val="32"/>
        </w:rPr>
        <w:t>1</w:t>
      </w:r>
      <w:r>
        <w:rPr>
          <w:rFonts w:hint="eastAsia" w:ascii="仿宋_GB2312" w:eastAsia="仿宋_GB2312" w:cs="仿宋_GB2312"/>
          <w:sz w:val="32"/>
          <w:szCs w:val="32"/>
        </w:rPr>
        <w:t>个综合股室，主要职责进一步突出和履行维护职工合法权益；指导各级工会组织开展以职工代表大会为基本制度的民主选举、民主决策、民主管理和民主监督等工作。负责全区工会工作。</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年部门整体支出绩效评价工作。</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区总工会单位</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年部门整体支出绩效评价指标体系共设置</w:t>
      </w:r>
      <w:r>
        <w:rPr>
          <w:rFonts w:ascii="仿宋_GB2312" w:eastAsia="仿宋_GB2312" w:cs="仿宋_GB2312"/>
          <w:sz w:val="32"/>
          <w:szCs w:val="32"/>
        </w:rPr>
        <w:t>4</w:t>
      </w:r>
      <w:r>
        <w:rPr>
          <w:rFonts w:hint="eastAsia" w:ascii="仿宋_GB2312" w:eastAsia="仿宋_GB2312" w:cs="仿宋_GB2312"/>
          <w:sz w:val="32"/>
          <w:szCs w:val="32"/>
        </w:rPr>
        <w:t>个一级指标、</w:t>
      </w:r>
      <w:r>
        <w:rPr>
          <w:rFonts w:ascii="仿宋_GB2312" w:eastAsia="仿宋_GB2312" w:cs="仿宋_GB2312"/>
          <w:sz w:val="32"/>
          <w:szCs w:val="32"/>
        </w:rPr>
        <w:t>7</w:t>
      </w:r>
      <w:r>
        <w:rPr>
          <w:rFonts w:hint="eastAsia" w:ascii="仿宋_GB2312" w:eastAsia="仿宋_GB2312" w:cs="仿宋_GB2312"/>
          <w:sz w:val="32"/>
          <w:szCs w:val="32"/>
        </w:rPr>
        <w:t>个二级指标、</w:t>
      </w:r>
      <w:r>
        <w:rPr>
          <w:rFonts w:ascii="仿宋_GB2312" w:eastAsia="仿宋_GB2312" w:cs="仿宋_GB2312"/>
          <w:sz w:val="32"/>
          <w:szCs w:val="32"/>
        </w:rPr>
        <w:t>27</w:t>
      </w:r>
      <w:r>
        <w:rPr>
          <w:rFonts w:hint="eastAsia" w:ascii="仿宋_GB2312" w:eastAsia="仿宋_GB2312" w:cs="仿宋_GB2312"/>
          <w:sz w:val="32"/>
          <w:szCs w:val="32"/>
        </w:rPr>
        <w:t>个三级指标，从投入、过程、产出、效果四个方面对区总工会单位部门整体支出情况评分定级。指标体系设定满分为</w:t>
      </w:r>
      <w:r>
        <w:rPr>
          <w:rFonts w:ascii="仿宋_GB2312" w:eastAsia="仿宋_GB2312" w:cs="仿宋_GB2312"/>
          <w:sz w:val="32"/>
          <w:szCs w:val="32"/>
        </w:rPr>
        <w:t>100</w:t>
      </w:r>
      <w:r>
        <w:rPr>
          <w:rFonts w:hint="eastAsia" w:ascii="仿宋_GB2312" w:eastAsia="仿宋_GB2312" w:cs="仿宋_GB2312"/>
          <w:sz w:val="32"/>
          <w:szCs w:val="32"/>
        </w:rPr>
        <w:t>分，绩效评价分值≥</w:t>
      </w:r>
      <w:r>
        <w:rPr>
          <w:rFonts w:ascii="仿宋_GB2312" w:eastAsia="仿宋_GB2312" w:cs="仿宋_GB2312"/>
          <w:sz w:val="32"/>
          <w:szCs w:val="32"/>
        </w:rPr>
        <w:t>90</w:t>
      </w:r>
      <w:r>
        <w:rPr>
          <w:rFonts w:hint="eastAsia" w:ascii="仿宋_GB2312" w:eastAsia="仿宋_GB2312" w:cs="仿宋_GB2312"/>
          <w:sz w:val="32"/>
          <w:szCs w:val="32"/>
        </w:rPr>
        <w:t>为“优”；</w:t>
      </w:r>
      <w:r>
        <w:rPr>
          <w:rFonts w:ascii="仿宋_GB2312" w:eastAsia="仿宋_GB2312" w:cs="仿宋_GB2312"/>
          <w:sz w:val="32"/>
          <w:szCs w:val="32"/>
        </w:rPr>
        <w:t>80</w:t>
      </w:r>
      <w:r>
        <w:rPr>
          <w:rFonts w:hint="eastAsia" w:ascii="仿宋_GB2312" w:eastAsia="仿宋_GB2312" w:cs="仿宋_GB2312"/>
          <w:sz w:val="32"/>
          <w:szCs w:val="32"/>
        </w:rPr>
        <w:t>≤分值＜</w:t>
      </w:r>
      <w:r>
        <w:rPr>
          <w:rFonts w:ascii="仿宋_GB2312" w:eastAsia="仿宋_GB2312" w:cs="仿宋_GB2312"/>
          <w:sz w:val="32"/>
          <w:szCs w:val="32"/>
        </w:rPr>
        <w:t>90</w:t>
      </w:r>
      <w:r>
        <w:rPr>
          <w:rFonts w:hint="eastAsia" w:ascii="仿宋_GB2312" w:eastAsia="仿宋_GB2312" w:cs="仿宋_GB2312"/>
          <w:sz w:val="32"/>
          <w:szCs w:val="32"/>
        </w:rPr>
        <w:t>为“良”；</w:t>
      </w:r>
      <w:r>
        <w:rPr>
          <w:rFonts w:ascii="仿宋_GB2312" w:eastAsia="仿宋_GB2312" w:cs="仿宋_GB2312"/>
          <w:sz w:val="32"/>
          <w:szCs w:val="32"/>
        </w:rPr>
        <w:t>60</w:t>
      </w:r>
      <w:r>
        <w:rPr>
          <w:rFonts w:hint="eastAsia" w:ascii="仿宋_GB2312" w:eastAsia="仿宋_GB2312" w:cs="仿宋_GB2312"/>
          <w:sz w:val="32"/>
          <w:szCs w:val="32"/>
        </w:rPr>
        <w:t>≤分值＜</w:t>
      </w:r>
      <w:r>
        <w:rPr>
          <w:rFonts w:ascii="仿宋_GB2312" w:eastAsia="仿宋_GB2312" w:cs="仿宋_GB2312"/>
          <w:sz w:val="32"/>
          <w:szCs w:val="32"/>
        </w:rPr>
        <w:t>80</w:t>
      </w:r>
      <w:r>
        <w:rPr>
          <w:rFonts w:hint="eastAsia" w:ascii="仿宋_GB2312" w:eastAsia="仿宋_GB2312" w:cs="仿宋_GB2312"/>
          <w:sz w:val="32"/>
          <w:szCs w:val="32"/>
        </w:rPr>
        <w:t>为“合格”；</w:t>
      </w:r>
      <w:r>
        <w:rPr>
          <w:rFonts w:ascii="仿宋_GB2312" w:eastAsia="仿宋_GB2312" w:cs="仿宋_GB2312"/>
          <w:sz w:val="32"/>
          <w:szCs w:val="32"/>
        </w:rPr>
        <w:t>60</w:t>
      </w:r>
      <w:r>
        <w:rPr>
          <w:rFonts w:hint="eastAsia" w:ascii="仿宋_GB2312" w:eastAsia="仿宋_GB2312" w:cs="仿宋_GB2312"/>
          <w:sz w:val="32"/>
          <w:szCs w:val="32"/>
        </w:rPr>
        <w:t>分以下为“差”。</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区总工会单位</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年部门整体支出综合评价得分为96分，评价等级为“优”。</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经评价，区总工会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部门预算编制完整性、项目预算细化率、在职人员控制率、收入完成率、财政拨款支出完成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绩效指标方面</w:t>
      </w:r>
      <w:r>
        <w:rPr>
          <w:rFonts w:ascii="仿宋_GB2312" w:eastAsia="仿宋_GB2312" w:cs="仿宋_GB2312"/>
          <w:sz w:val="32"/>
          <w:szCs w:val="32"/>
        </w:rPr>
        <w:t>:</w:t>
      </w:r>
      <w:r>
        <w:rPr>
          <w:rFonts w:hint="eastAsia" w:ascii="仿宋_GB2312" w:eastAsia="仿宋_GB2312" w:cs="仿宋_GB2312"/>
          <w:sz w:val="32"/>
          <w:szCs w:val="32"/>
        </w:rPr>
        <w:t>绩效指标有待细化，时效性有待提高。</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预算决算比较：预算决算比较决算小于预算，有待提高执行预算率。</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项目资金使用率：</w:t>
      </w:r>
      <w:r>
        <w:rPr>
          <w:rFonts w:hint="eastAsia" w:ascii="仿宋_GB2312" w:eastAsia="仿宋_GB2312" w:cs="仿宋_GB2312"/>
          <w:sz w:val="32"/>
          <w:szCs w:val="32"/>
          <w:lang w:val="en-US" w:eastAsia="zh-CN"/>
        </w:rPr>
        <w:t>由于劳模人数减少，</w:t>
      </w:r>
      <w:r>
        <w:rPr>
          <w:rFonts w:hint="eastAsia" w:ascii="仿宋_GB2312" w:eastAsia="仿宋_GB2312" w:cs="仿宋_GB2312"/>
          <w:sz w:val="32"/>
          <w:szCs w:val="32"/>
        </w:rPr>
        <w:t>有待提高使用率。</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部分基础数据信息方面</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增强绩效指标设置的明确性</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提高预算编制质量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sz w:val="32"/>
          <w:szCs w:val="32"/>
        </w:rPr>
      </w:pPr>
      <w:bookmarkStart w:id="1" w:name="_Toc4346"/>
      <w:r>
        <w:rPr>
          <w:rFonts w:ascii="仿宋_GB2312" w:eastAsia="仿宋_GB2312" w:cs="仿宋_GB2312"/>
          <w:sz w:val="32"/>
          <w:szCs w:val="32"/>
        </w:rPr>
        <w:t>3.</w:t>
      </w:r>
      <w:r>
        <w:rPr>
          <w:rFonts w:hint="eastAsia" w:ascii="仿宋_GB2312" w:eastAsia="仿宋_GB2312" w:cs="仿宋_GB2312"/>
          <w:sz w:val="32"/>
          <w:szCs w:val="32"/>
        </w:rPr>
        <w:t>提高项目资金使用率</w:t>
      </w:r>
    </w:p>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建议区总工会对项目资金进行梳理，督促项目进度和资金拨付进度，应拨付的资金及时拨付，不具备条件的资金及时收回</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完善基础信息管理。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建议严格按照档案管理的相关规定对基础数据信息档案资料及时归档保存，保证项目资料的完整性和可查阅性。</w:t>
      </w:r>
    </w:p>
    <w:p>
      <w:pPr>
        <w:pStyle w:val="3"/>
        <w:spacing w:line="540" w:lineRule="exact"/>
        <w:jc w:val="center"/>
        <w:rPr>
          <w:rFonts w:ascii="黑体" w:cs="Tahoma"/>
          <w:b w:val="0"/>
          <w:bCs w:val="0"/>
        </w:rPr>
      </w:pPr>
      <w:r>
        <w:rPr>
          <w:rFonts w:hint="eastAsia" w:ascii="黑体" w:hAnsi="黑体" w:cs="黑体"/>
          <w:b w:val="0"/>
          <w:bCs w:val="0"/>
        </w:rPr>
        <w:t>第二部分</w:t>
      </w:r>
      <w:r>
        <w:rPr>
          <w:rFonts w:ascii="黑体" w:hAnsi="黑体" w:cs="黑体"/>
          <w:b w:val="0"/>
          <w:bCs w:val="0"/>
        </w:rPr>
        <w:t xml:space="preserve">   </w:t>
      </w:r>
      <w:r>
        <w:rPr>
          <w:rFonts w:hint="eastAsia" w:ascii="黑体" w:hAnsi="黑体" w:cs="黑体"/>
          <w:b w:val="0"/>
          <w:bCs w:val="0"/>
        </w:rPr>
        <w:t>绩效评价报告</w:t>
      </w:r>
      <w:bookmarkEnd w:id="1"/>
    </w:p>
    <w:p>
      <w:pPr>
        <w:pStyle w:val="3"/>
        <w:spacing w:before="0" w:after="0" w:line="360" w:lineRule="auto"/>
        <w:ind w:firstLine="602" w:firstLineChars="200"/>
        <w:rPr>
          <w:rFonts w:ascii="黑体" w:cs="Tahoma"/>
          <w:sz w:val="30"/>
          <w:szCs w:val="30"/>
        </w:rPr>
      </w:pPr>
      <w:bookmarkStart w:id="2" w:name="_Toc492652763"/>
      <w:bookmarkStart w:id="3" w:name="_Toc427"/>
      <w:r>
        <w:rPr>
          <w:rFonts w:hint="eastAsia" w:ascii="黑体" w:hAnsi="黑体" w:cs="黑体"/>
          <w:sz w:val="30"/>
          <w:szCs w:val="30"/>
        </w:rPr>
        <w:t>一、保定市徐水区总工会单位基本情况</w:t>
      </w:r>
      <w:bookmarkEnd w:id="2"/>
      <w:bookmarkEnd w:id="3"/>
      <w:bookmarkStart w:id="4" w:name="_Toc492652764"/>
    </w:p>
    <w:p>
      <w:pPr>
        <w:pStyle w:val="4"/>
        <w:spacing w:before="0" w:after="0"/>
        <w:ind w:firstLine="643" w:firstLineChars="200"/>
        <w:jc w:val="both"/>
        <w:rPr>
          <w:rFonts w:ascii="仿宋_GB2312" w:hAnsi="Tahoma" w:cs="Tahoma"/>
          <w:sz w:val="32"/>
          <w:szCs w:val="32"/>
        </w:rPr>
      </w:pPr>
      <w:bookmarkStart w:id="5" w:name="_Toc11473"/>
      <w:r>
        <w:rPr>
          <w:rFonts w:hint="eastAsia" w:ascii="仿宋_GB2312" w:hAnsi="Tahoma" w:cs="仿宋_GB2312"/>
          <w:sz w:val="32"/>
          <w:szCs w:val="32"/>
        </w:rPr>
        <w:t>（一）部门职责和工作活动</w:t>
      </w:r>
      <w:bookmarkEnd w:id="4"/>
      <w:bookmarkEnd w:id="5"/>
    </w:p>
    <w:p>
      <w:pPr>
        <w:spacing w:after="0" w:line="360" w:lineRule="auto"/>
        <w:ind w:firstLine="480" w:firstLineChars="200"/>
        <w:jc w:val="both"/>
        <w:textAlignment w:val="baseline"/>
        <w:rPr>
          <w:rFonts w:ascii="仿宋_GB2312" w:eastAsia="仿宋_GB2312"/>
          <w:sz w:val="32"/>
          <w:szCs w:val="32"/>
        </w:rPr>
      </w:pPr>
      <w:r>
        <w:rPr>
          <w:rFonts w:ascii="宋体" w:hAnsi="宋体" w:cs="宋体"/>
          <w:sz w:val="24"/>
          <w:szCs w:val="24"/>
          <w:shd w:val="clear" w:color="auto" w:fill="FFFFFF"/>
        </w:rPr>
        <w:t>1</w:t>
      </w:r>
      <w:r>
        <w:rPr>
          <w:rFonts w:ascii="仿宋_GB2312" w:eastAsia="仿宋_GB2312" w:cs="仿宋_GB2312"/>
          <w:sz w:val="32"/>
          <w:szCs w:val="32"/>
        </w:rPr>
        <w:t>.</w:t>
      </w:r>
      <w:r>
        <w:rPr>
          <w:rFonts w:hint="eastAsia" w:ascii="仿宋_GB2312" w:eastAsia="仿宋_GB2312" w:cs="仿宋_GB2312"/>
          <w:sz w:val="32"/>
          <w:szCs w:val="32"/>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依据《工会法》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管理使用工会经费和工会资产，开展审查审计监督。广泛发展本区工会与各工会、产业工会的友好关系。</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承担区委、区政府及省、市总工会交办的其他工作。</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职责活动负责指导全县基层工会的组织建设，指导基层工会组织开展社会主义劳动竞赛、合理化建设、技术比赛、技术创新等群众性经济技术活动等，共</w:t>
      </w:r>
      <w:r>
        <w:rPr>
          <w:rFonts w:ascii="仿宋_GB2312" w:eastAsia="仿宋_GB2312" w:cs="仿宋_GB2312"/>
          <w:sz w:val="32"/>
          <w:szCs w:val="32"/>
        </w:rPr>
        <w:t>11</w:t>
      </w:r>
      <w:r>
        <w:rPr>
          <w:rFonts w:hint="eastAsia" w:ascii="仿宋_GB2312" w:eastAsia="仿宋_GB2312" w:cs="仿宋_GB2312"/>
          <w:sz w:val="32"/>
          <w:szCs w:val="32"/>
        </w:rPr>
        <w:t>部分。</w:t>
      </w:r>
    </w:p>
    <w:p>
      <w:pPr>
        <w:spacing w:after="0" w:line="360" w:lineRule="auto"/>
        <w:ind w:firstLine="380" w:firstLineChars="200"/>
        <w:jc w:val="both"/>
        <w:textAlignment w:val="baseline"/>
        <w:rPr>
          <w:rFonts w:ascii="Arial" w:hAnsi="Arial" w:cs="Arial"/>
          <w:sz w:val="19"/>
          <w:szCs w:val="19"/>
        </w:rPr>
      </w:pPr>
    </w:p>
    <w:p>
      <w:pPr>
        <w:pStyle w:val="4"/>
        <w:spacing w:before="0" w:after="0"/>
        <w:ind w:firstLine="643" w:firstLineChars="200"/>
        <w:jc w:val="both"/>
        <w:rPr>
          <w:rFonts w:ascii="仿宋_GB2312" w:hAnsi="Tahoma" w:cs="Tahoma"/>
          <w:sz w:val="32"/>
          <w:szCs w:val="32"/>
        </w:rPr>
      </w:pPr>
      <w:bookmarkStart w:id="6" w:name="_Toc465149499"/>
      <w:bookmarkStart w:id="7" w:name="_Toc492652765"/>
      <w:bookmarkStart w:id="8" w:name="_Toc7075"/>
      <w:r>
        <w:rPr>
          <w:rFonts w:hint="eastAsia" w:ascii="仿宋_GB2312" w:hAnsi="Tahoma" w:cs="仿宋_GB2312"/>
          <w:sz w:val="32"/>
          <w:szCs w:val="32"/>
        </w:rPr>
        <w:t>（二）</w:t>
      </w:r>
      <w:bookmarkEnd w:id="6"/>
      <w:r>
        <w:rPr>
          <w:rFonts w:hint="eastAsia" w:ascii="仿宋_GB2312" w:hAnsi="Tahoma" w:cs="仿宋_GB2312"/>
          <w:sz w:val="32"/>
          <w:szCs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按照</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年绩效预算编制要求，区总工会设置的年度发展规划总体目标为：</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负责贯彻执行党和国家关于制定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度工作要点，并监督实施。指导全区工会工作。制定全区工会工作总体规划并组织实施，指导检查全区建会、集体协商签订等工作。负责全区困难职工帮扶工作，负责全区劳动技能大赛女职工权益保护工作等工作。</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职责分类绩效目标为：</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开展做好职工互助“一日捐”活动工作。</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开展劳动技能大赛工作。</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开展困难帮扶工作、劳模体检工作。</w:t>
      </w:r>
      <w:bookmarkStart w:id="9" w:name="_Toc1678"/>
      <w:bookmarkStart w:id="10" w:name="_Toc465149500"/>
      <w:bookmarkStart w:id="11" w:name="_Toc492652766"/>
    </w:p>
    <w:p>
      <w:pPr>
        <w:pStyle w:val="4"/>
        <w:spacing w:before="0" w:after="0"/>
        <w:ind w:firstLine="643" w:firstLineChars="200"/>
        <w:jc w:val="both"/>
        <w:rPr>
          <w:rFonts w:ascii="仿宋_GB2312" w:hAnsi="Tahoma" w:cs="Tahoma"/>
          <w:sz w:val="32"/>
          <w:szCs w:val="32"/>
        </w:rPr>
      </w:pPr>
      <w:r>
        <w:rPr>
          <w:rFonts w:hint="eastAsia" w:ascii="仿宋_GB2312" w:hAnsi="Tahoma" w:cs="仿宋_GB2312"/>
          <w:sz w:val="32"/>
          <w:szCs w:val="32"/>
        </w:rPr>
        <w:t>（三）部门预算收入及决算收入</w:t>
      </w:r>
      <w:bookmarkEnd w:id="9"/>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年区总工会单位预算收入</w:t>
      </w:r>
      <w:r>
        <w:rPr>
          <w:rFonts w:hint="default" w:ascii="仿宋_GB2312" w:eastAsia="仿宋_GB2312" w:cs="仿宋_GB2312"/>
          <w:sz w:val="32"/>
          <w:szCs w:val="32"/>
          <w:lang w:val="en-US"/>
        </w:rPr>
        <w:t>64.14</w:t>
      </w:r>
      <w:r>
        <w:rPr>
          <w:rFonts w:hint="eastAsia" w:ascii="仿宋_GB2312" w:eastAsia="仿宋_GB2312" w:cs="仿宋_GB2312"/>
          <w:sz w:val="32"/>
          <w:szCs w:val="32"/>
        </w:rPr>
        <w:t>万元，均为一般公共预算拨款，其中：财政拨款</w:t>
      </w:r>
      <w:r>
        <w:rPr>
          <w:rFonts w:hint="default" w:ascii="仿宋_GB2312" w:eastAsia="仿宋_GB2312" w:cs="仿宋_GB2312"/>
          <w:sz w:val="32"/>
          <w:szCs w:val="32"/>
          <w:lang w:val="en-US"/>
        </w:rPr>
        <w:t>64.14</w:t>
      </w:r>
      <w:r>
        <w:rPr>
          <w:rFonts w:hint="eastAsia" w:ascii="仿宋_GB2312" w:eastAsia="仿宋_GB2312" w:cs="仿宋_GB2312"/>
          <w:sz w:val="32"/>
          <w:szCs w:val="32"/>
        </w:rPr>
        <w:t>万元。预算收入按功能分类包含：一般公共服务支出</w:t>
      </w:r>
      <w:r>
        <w:rPr>
          <w:rFonts w:hint="default" w:ascii="仿宋_GB2312" w:eastAsia="仿宋_GB2312" w:cs="仿宋_GB2312"/>
          <w:sz w:val="32"/>
          <w:szCs w:val="32"/>
          <w:lang w:val="en-US"/>
        </w:rPr>
        <w:t>15.66</w:t>
      </w:r>
      <w:r>
        <w:rPr>
          <w:rFonts w:hint="eastAsia" w:ascii="仿宋_GB2312" w:eastAsia="仿宋_GB2312" w:cs="仿宋_GB2312"/>
          <w:sz w:val="32"/>
          <w:szCs w:val="32"/>
        </w:rPr>
        <w:t>万元，社会保障和就业支出</w:t>
      </w:r>
      <w:r>
        <w:rPr>
          <w:rFonts w:hint="default" w:ascii="仿宋_GB2312" w:eastAsia="仿宋_GB2312" w:cs="仿宋_GB2312"/>
          <w:sz w:val="32"/>
          <w:szCs w:val="32"/>
          <w:lang w:val="en-US"/>
        </w:rPr>
        <w:t>41.17</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卫生健康</w:t>
      </w:r>
      <w:r>
        <w:rPr>
          <w:rFonts w:hint="eastAsia" w:ascii="仿宋_GB2312" w:eastAsia="仿宋_GB2312" w:cs="仿宋_GB2312"/>
          <w:sz w:val="32"/>
          <w:szCs w:val="32"/>
        </w:rPr>
        <w:t>支出</w:t>
      </w:r>
      <w:r>
        <w:rPr>
          <w:rFonts w:hint="default" w:ascii="仿宋_GB2312" w:eastAsia="仿宋_GB2312" w:cs="仿宋_GB2312"/>
          <w:sz w:val="32"/>
          <w:szCs w:val="32"/>
          <w:lang w:val="en-US"/>
        </w:rPr>
        <w:t>2.24</w:t>
      </w:r>
      <w:r>
        <w:rPr>
          <w:rFonts w:hint="eastAsia" w:ascii="仿宋_GB2312" w:eastAsia="仿宋_GB2312" w:cs="仿宋_GB2312"/>
          <w:sz w:val="32"/>
          <w:szCs w:val="32"/>
        </w:rPr>
        <w:t>万元，住房保障支出</w:t>
      </w:r>
      <w:r>
        <w:rPr>
          <w:rFonts w:hint="default" w:ascii="仿宋_GB2312" w:eastAsia="仿宋_GB2312" w:cs="仿宋_GB2312"/>
          <w:sz w:val="32"/>
          <w:szCs w:val="32"/>
          <w:lang w:val="en-US"/>
        </w:rPr>
        <w:t>5.07</w:t>
      </w:r>
      <w:r>
        <w:rPr>
          <w:rFonts w:hint="eastAsia" w:ascii="仿宋_GB2312" w:eastAsia="仿宋_GB2312" w:cs="仿宋_GB2312"/>
          <w:sz w:val="32"/>
          <w:szCs w:val="32"/>
        </w:rPr>
        <w:t>万元。</w:t>
      </w:r>
    </w:p>
    <w:p>
      <w:pPr>
        <w:spacing w:after="0" w:line="360" w:lineRule="auto"/>
        <w:ind w:firstLine="640" w:firstLineChars="200"/>
        <w:jc w:val="both"/>
        <w:textAlignment w:val="baseline"/>
        <w:rPr>
          <w:rFonts w:hint="eastAsia" w:ascii="仿宋_GB2312" w:eastAsia="仿宋_GB2312" w:cs="仿宋_GB2312"/>
          <w:sz w:val="32"/>
          <w:szCs w:val="32"/>
        </w:rPr>
      </w:pP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年区总工会决算收入</w:t>
      </w:r>
      <w:r>
        <w:rPr>
          <w:rFonts w:hint="default" w:ascii="仿宋_GB2312" w:eastAsia="仿宋_GB2312" w:cs="仿宋_GB2312"/>
          <w:sz w:val="32"/>
          <w:szCs w:val="32"/>
          <w:lang w:val="en-US"/>
        </w:rPr>
        <w:t>158.39</w:t>
      </w:r>
      <w:r>
        <w:rPr>
          <w:rFonts w:hint="eastAsia" w:ascii="仿宋_GB2312" w:eastAsia="仿宋_GB2312" w:cs="仿宋_GB2312"/>
          <w:sz w:val="32"/>
          <w:szCs w:val="32"/>
        </w:rPr>
        <w:t>万元，全部为财政拨款收入。决算收入按功能分类包含：一般公共服务支出</w:t>
      </w:r>
      <w:r>
        <w:rPr>
          <w:rFonts w:hint="default" w:ascii="仿宋_GB2312" w:eastAsia="仿宋_GB2312" w:cs="仿宋_GB2312"/>
          <w:sz w:val="32"/>
          <w:szCs w:val="32"/>
          <w:lang w:val="en-US"/>
        </w:rPr>
        <w:t>99.46</w:t>
      </w:r>
      <w:r>
        <w:rPr>
          <w:rFonts w:hint="eastAsia" w:ascii="仿宋_GB2312" w:eastAsia="仿宋_GB2312" w:cs="仿宋_GB2312"/>
          <w:sz w:val="32"/>
          <w:szCs w:val="32"/>
        </w:rPr>
        <w:t>万元，占比</w:t>
      </w:r>
      <w:r>
        <w:rPr>
          <w:rFonts w:hint="default" w:ascii="仿宋_GB2312" w:eastAsia="仿宋_GB2312" w:cs="仿宋_GB2312"/>
          <w:sz w:val="32"/>
          <w:szCs w:val="32"/>
          <w:lang w:val="en-US"/>
        </w:rPr>
        <w:t>62.8</w:t>
      </w:r>
      <w:r>
        <w:rPr>
          <w:rFonts w:ascii="仿宋_GB2312" w:eastAsia="仿宋_GB2312" w:cs="仿宋_GB2312"/>
          <w:sz w:val="32"/>
          <w:szCs w:val="32"/>
        </w:rPr>
        <w:t>%</w:t>
      </w:r>
      <w:r>
        <w:rPr>
          <w:rFonts w:hint="eastAsia" w:ascii="仿宋_GB2312" w:eastAsia="仿宋_GB2312" w:cs="仿宋_GB2312"/>
          <w:sz w:val="32"/>
          <w:szCs w:val="32"/>
        </w:rPr>
        <w:t>；社会保障和就业支出</w:t>
      </w:r>
      <w:r>
        <w:rPr>
          <w:rFonts w:hint="default" w:ascii="仿宋_GB2312" w:eastAsia="仿宋_GB2312" w:cs="仿宋_GB2312"/>
          <w:sz w:val="32"/>
          <w:szCs w:val="32"/>
          <w:lang w:val="en-US"/>
        </w:rPr>
        <w:t>51.62</w:t>
      </w:r>
      <w:r>
        <w:rPr>
          <w:rFonts w:hint="eastAsia" w:ascii="仿宋_GB2312" w:eastAsia="仿宋_GB2312" w:cs="仿宋_GB2312"/>
          <w:sz w:val="32"/>
          <w:szCs w:val="32"/>
        </w:rPr>
        <w:t>万元，占比</w:t>
      </w:r>
      <w:r>
        <w:rPr>
          <w:rFonts w:hint="default" w:ascii="仿宋_GB2312" w:eastAsia="仿宋_GB2312" w:cs="仿宋_GB2312"/>
          <w:sz w:val="32"/>
          <w:szCs w:val="32"/>
          <w:lang w:val="en-US"/>
        </w:rPr>
        <w:t>32.6</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卫生健康</w:t>
      </w:r>
      <w:r>
        <w:rPr>
          <w:rFonts w:hint="eastAsia" w:ascii="仿宋_GB2312" w:eastAsia="仿宋_GB2312" w:cs="仿宋_GB2312"/>
          <w:sz w:val="32"/>
          <w:szCs w:val="32"/>
        </w:rPr>
        <w:t>支出</w:t>
      </w:r>
      <w:r>
        <w:rPr>
          <w:rFonts w:hint="default" w:ascii="仿宋_GB2312" w:eastAsia="仿宋_GB2312" w:cs="仿宋_GB2312"/>
          <w:sz w:val="32"/>
          <w:szCs w:val="32"/>
          <w:lang w:val="en-US"/>
        </w:rPr>
        <w:t>2.24</w:t>
      </w:r>
      <w:r>
        <w:rPr>
          <w:rFonts w:hint="eastAsia" w:ascii="仿宋_GB2312" w:eastAsia="仿宋_GB2312" w:cs="仿宋_GB2312"/>
          <w:sz w:val="32"/>
          <w:szCs w:val="32"/>
        </w:rPr>
        <w:t>万元，占</w:t>
      </w:r>
      <w:r>
        <w:rPr>
          <w:rFonts w:hint="default" w:ascii="仿宋_GB2312" w:eastAsia="仿宋_GB2312" w:cs="仿宋_GB2312"/>
          <w:sz w:val="32"/>
          <w:szCs w:val="32"/>
          <w:lang w:val="en-US"/>
        </w:rPr>
        <w:t>1.4</w:t>
      </w:r>
      <w:r>
        <w:rPr>
          <w:rFonts w:ascii="仿宋_GB2312" w:eastAsia="仿宋_GB2312" w:cs="仿宋_GB2312"/>
          <w:sz w:val="32"/>
          <w:szCs w:val="32"/>
        </w:rPr>
        <w:t>%</w:t>
      </w:r>
      <w:r>
        <w:rPr>
          <w:rFonts w:hint="eastAsia" w:ascii="仿宋_GB2312" w:eastAsia="仿宋_GB2312" w:cs="仿宋_GB2312"/>
          <w:sz w:val="32"/>
          <w:szCs w:val="32"/>
        </w:rPr>
        <w:t>；住房保障支出</w:t>
      </w:r>
      <w:r>
        <w:rPr>
          <w:rFonts w:hint="default" w:ascii="仿宋_GB2312" w:eastAsia="仿宋_GB2312" w:cs="仿宋_GB2312"/>
          <w:sz w:val="32"/>
          <w:szCs w:val="32"/>
          <w:lang w:val="en-US"/>
        </w:rPr>
        <w:t>5.07</w:t>
      </w:r>
      <w:r>
        <w:rPr>
          <w:rFonts w:hint="eastAsia" w:ascii="仿宋_GB2312" w:eastAsia="仿宋_GB2312" w:cs="仿宋_GB2312"/>
          <w:sz w:val="32"/>
          <w:szCs w:val="32"/>
        </w:rPr>
        <w:t>万元，占比</w:t>
      </w:r>
      <w:r>
        <w:rPr>
          <w:rFonts w:hint="default" w:ascii="仿宋_GB2312" w:eastAsia="仿宋_GB2312" w:cs="仿宋_GB2312"/>
          <w:sz w:val="32"/>
          <w:szCs w:val="32"/>
          <w:lang w:val="en-US"/>
        </w:rPr>
        <w:t>3.2</w:t>
      </w:r>
      <w:r>
        <w:rPr>
          <w:rFonts w:ascii="仿宋_GB2312" w:eastAsia="仿宋_GB2312" w:cs="仿宋_GB2312"/>
          <w:sz w:val="32"/>
          <w:szCs w:val="32"/>
        </w:rPr>
        <w:t>%</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.决算收入结构如图</w:t>
      </w:r>
      <w:r>
        <w:rPr>
          <w:rFonts w:ascii="仿宋_GB2312" w:eastAsia="仿宋_GB2312" w:cs="仿宋_GB2312"/>
          <w:sz w:val="32"/>
          <w:szCs w:val="32"/>
        </w:rPr>
        <w:t>1</w:t>
      </w:r>
      <w:r>
        <w:rPr>
          <w:rFonts w:hint="eastAsia" w:ascii="仿宋_GB2312" w:eastAsia="仿宋_GB2312" w:cs="仿宋_GB2312"/>
          <w:sz w:val="32"/>
          <w:szCs w:val="32"/>
        </w:rPr>
        <w:t>。</w:t>
      </w:r>
    </w:p>
    <w:p>
      <w:pPr>
        <w:spacing w:after="0" w:line="360" w:lineRule="auto"/>
        <w:ind w:firstLine="964" w:firstLineChars="300"/>
        <w:jc w:val="both"/>
        <w:textAlignment w:val="baseline"/>
        <w:rPr>
          <w:rFonts w:hint="eastAsia" w:ascii="宋体" w:hAnsi="宋体" w:eastAsia="宋体" w:cs="宋体"/>
          <w:b/>
          <w:bCs/>
          <w:sz w:val="32"/>
          <w:szCs w:val="32"/>
        </w:rPr>
      </w:pPr>
      <w:r>
        <w:rPr>
          <w:rFonts w:hint="eastAsia" w:ascii="宋体" w:hAnsi="宋体" w:eastAsia="宋体" w:cs="宋体"/>
          <w:b/>
          <w:bCs/>
          <w:sz w:val="32"/>
          <w:szCs w:val="32"/>
        </w:rPr>
        <w:t>图</w:t>
      </w:r>
      <w:r>
        <w:rPr>
          <w:rFonts w:ascii="宋体" w:hAnsi="宋体" w:eastAsia="宋体" w:cs="宋体"/>
          <w:b/>
          <w:bCs/>
          <w:sz w:val="32"/>
          <w:szCs w:val="32"/>
        </w:rPr>
        <w:t>1  202</w:t>
      </w:r>
      <w:r>
        <w:rPr>
          <w:rFonts w:hint="default" w:ascii="宋体" w:hAnsi="宋体" w:eastAsia="宋体" w:cs="宋体"/>
          <w:b/>
          <w:bCs/>
          <w:sz w:val="32"/>
          <w:szCs w:val="32"/>
          <w:lang w:val="en-US"/>
        </w:rPr>
        <w:t>3</w:t>
      </w:r>
      <w:r>
        <w:rPr>
          <w:rFonts w:hint="eastAsia" w:ascii="宋体" w:hAnsi="宋体" w:eastAsia="宋体" w:cs="宋体"/>
          <w:b/>
          <w:bCs/>
          <w:sz w:val="32"/>
          <w:szCs w:val="32"/>
        </w:rPr>
        <w:t>年度区总工会单位决算收入结构图</w:t>
      </w:r>
    </w:p>
    <w:p>
      <w:pPr>
        <w:spacing w:after="0" w:line="360" w:lineRule="auto"/>
        <w:jc w:val="both"/>
        <w:textAlignment w:val="baseline"/>
        <w:rPr>
          <w:rFonts w:ascii="仿宋_GB2312" w:eastAsia="仿宋_GB2312"/>
          <w:sz w:val="32"/>
          <w:szCs w:val="32"/>
        </w:rPr>
      </w:pPr>
      <w:r>
        <w:rPr>
          <w:rFonts w:hint="eastAsia" w:ascii="宋体" w:hAnsi="宋体" w:eastAsia="宋体" w:cs="宋体"/>
          <w:b/>
          <w:bCs/>
          <w:sz w:val="32"/>
          <w:szCs w:val="32"/>
        </w:rPr>
        <w:drawing>
          <wp:inline distT="0" distB="0" distL="114300" distR="114300">
            <wp:extent cx="5095875" cy="2839085"/>
            <wp:effectExtent l="0" t="0" r="9525" b="1841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095875" cy="2839085"/>
                    </a:xfrm>
                    <a:prstGeom prst="rect">
                      <a:avLst/>
                    </a:prstGeom>
                  </pic:spPr>
                </pic:pic>
              </a:graphicData>
            </a:graphic>
          </wp:inline>
        </w:drawing>
      </w:r>
    </w:p>
    <w:p>
      <w:pPr>
        <w:spacing w:after="0" w:line="540" w:lineRule="exact"/>
        <w:jc w:val="both"/>
        <w:rPr>
          <w:rFonts w:ascii="仿宋_GB2312" w:hAnsi="宋体" w:eastAsia="仿宋_GB2312"/>
          <w:sz w:val="32"/>
          <w:szCs w:val="32"/>
          <w:u w:color="000000"/>
        </w:rPr>
      </w:pPr>
    </w:p>
    <w:p>
      <w:pPr>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区总工会单位一般公共预算财政拨款决算收入比年初预算增加</w:t>
      </w:r>
      <w:r>
        <w:rPr>
          <w:rFonts w:hint="default" w:ascii="仿宋_GB2312" w:eastAsia="仿宋_GB2312" w:cs="仿宋_GB2312"/>
          <w:sz w:val="32"/>
          <w:szCs w:val="32"/>
          <w:lang w:val="en-US"/>
        </w:rPr>
        <w:t>94.25</w:t>
      </w:r>
      <w:r>
        <w:rPr>
          <w:rFonts w:hint="eastAsia" w:ascii="仿宋_GB2312" w:eastAsia="仿宋_GB2312" w:cs="仿宋_GB2312"/>
          <w:sz w:val="32"/>
          <w:szCs w:val="32"/>
        </w:rPr>
        <w:t>万元，完成年初预算的</w:t>
      </w:r>
      <w:r>
        <w:rPr>
          <w:rFonts w:hint="default" w:ascii="仿宋_GB2312" w:eastAsia="仿宋_GB2312" w:cs="仿宋_GB2312"/>
          <w:sz w:val="32"/>
          <w:szCs w:val="32"/>
          <w:lang w:val="en-US"/>
        </w:rPr>
        <w:t>246.9</w:t>
      </w:r>
      <w:r>
        <w:rPr>
          <w:rFonts w:ascii="仿宋_GB2312" w:eastAsia="仿宋_GB2312" w:cs="仿宋_GB2312"/>
          <w:sz w:val="32"/>
          <w:szCs w:val="32"/>
        </w:rPr>
        <w:t>%</w:t>
      </w:r>
      <w:r>
        <w:rPr>
          <w:rFonts w:hint="eastAsia" w:ascii="仿宋_GB2312" w:eastAsia="仿宋_GB2312" w:cs="仿宋_GB2312"/>
          <w:sz w:val="32"/>
          <w:szCs w:val="32"/>
        </w:rPr>
        <w:t>。预算收入与决算收入对比情况见图</w:t>
      </w:r>
      <w:r>
        <w:rPr>
          <w:rFonts w:ascii="仿宋_GB2312" w:eastAsia="仿宋_GB2312" w:cs="仿宋_GB2312"/>
          <w:sz w:val="32"/>
          <w:szCs w:val="32"/>
        </w:rPr>
        <w:t>2</w:t>
      </w:r>
      <w:r>
        <w:rPr>
          <w:rFonts w:hint="eastAsia" w:ascii="仿宋_GB2312" w:eastAsia="仿宋_GB2312" w:cs="仿宋_GB2312"/>
          <w:sz w:val="32"/>
          <w:szCs w:val="32"/>
        </w:rPr>
        <w:t>。</w:t>
      </w:r>
    </w:p>
    <w:p>
      <w:pPr>
        <w:spacing w:after="0" w:line="360" w:lineRule="auto"/>
        <w:jc w:val="both"/>
        <w:rPr>
          <w:rFonts w:ascii="宋体" w:hAnsi="宋体" w:eastAsia="宋体"/>
          <w:b/>
          <w:bCs/>
          <w:sz w:val="32"/>
          <w:szCs w:val="32"/>
          <w:u w:color="000000"/>
        </w:rPr>
      </w:pPr>
      <w:r>
        <w:rPr>
          <w:rFonts w:hint="eastAsia" w:ascii="宋体" w:hAnsi="宋体" w:eastAsia="宋体" w:cs="宋体"/>
          <w:b/>
          <w:bCs/>
          <w:sz w:val="32"/>
          <w:szCs w:val="32"/>
          <w:u w:color="000000"/>
        </w:rPr>
        <w:t>图</w:t>
      </w:r>
      <w:r>
        <w:rPr>
          <w:rFonts w:ascii="宋体" w:hAnsi="宋体" w:eastAsia="宋体" w:cs="宋体"/>
          <w:b/>
          <w:bCs/>
          <w:sz w:val="32"/>
          <w:szCs w:val="32"/>
          <w:u w:color="000000"/>
        </w:rPr>
        <w:t>2  202</w:t>
      </w:r>
      <w:r>
        <w:rPr>
          <w:rFonts w:hint="default" w:ascii="宋体" w:hAnsi="宋体" w:eastAsia="宋体" w:cs="宋体"/>
          <w:b/>
          <w:bCs/>
          <w:sz w:val="32"/>
          <w:szCs w:val="32"/>
          <w:u w:color="000000"/>
          <w:lang w:val="en-US"/>
        </w:rPr>
        <w:t>3</w:t>
      </w:r>
      <w:r>
        <w:rPr>
          <w:rFonts w:hint="eastAsia" w:ascii="宋体" w:hAnsi="宋体" w:eastAsia="宋体" w:cs="宋体"/>
          <w:b/>
          <w:bCs/>
          <w:sz w:val="32"/>
          <w:szCs w:val="32"/>
          <w:u w:color="000000"/>
        </w:rPr>
        <w:t>年度区</w:t>
      </w:r>
      <w:r>
        <w:rPr>
          <w:rFonts w:hint="eastAsia" w:cs="仿宋_GB2312" w:asciiTheme="majorEastAsia" w:hAnsiTheme="majorEastAsia" w:eastAsiaTheme="majorEastAsia"/>
          <w:b/>
          <w:sz w:val="32"/>
          <w:szCs w:val="32"/>
        </w:rPr>
        <w:t>总工会单位</w:t>
      </w:r>
      <w:r>
        <w:rPr>
          <w:rFonts w:hint="eastAsia" w:ascii="宋体" w:hAnsi="宋体" w:eastAsia="宋体" w:cs="宋体"/>
          <w:b/>
          <w:bCs/>
          <w:sz w:val="32"/>
          <w:szCs w:val="32"/>
          <w:u w:color="000000"/>
        </w:rPr>
        <w:t>预算收入与决算收入对比图</w:t>
      </w:r>
    </w:p>
    <w:p>
      <w:pPr>
        <w:spacing w:after="0" w:line="360" w:lineRule="auto"/>
        <w:jc w:val="center"/>
        <w:rPr>
          <w:rFonts w:ascii="宋体" w:hAnsi="宋体" w:eastAsia="宋体"/>
          <w:b/>
          <w:bCs/>
          <w:sz w:val="32"/>
          <w:szCs w:val="32"/>
          <w:u w:color="000000"/>
        </w:rPr>
      </w:pPr>
      <w:r>
        <w:rPr>
          <w:rFonts w:ascii="宋体" w:hAnsi="宋体" w:eastAsia="宋体"/>
          <w:b/>
          <w:bCs/>
          <w:sz w:val="32"/>
          <w:szCs w:val="32"/>
          <w:u w:color="000000"/>
        </w:rPr>
        <w:drawing>
          <wp:inline distT="0" distB="0" distL="114300" distR="114300">
            <wp:extent cx="5095875" cy="3819525"/>
            <wp:effectExtent l="0" t="0" r="9525" b="9525"/>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pic:cNvPicPr>
                  </pic:nvPicPr>
                  <pic:blipFill>
                    <a:blip r:embed="rId8"/>
                    <a:stretch>
                      <a:fillRect/>
                    </a:stretch>
                  </pic:blipFill>
                  <pic:spPr>
                    <a:xfrm>
                      <a:off x="0" y="0"/>
                      <a:ext cx="5095875" cy="3819525"/>
                    </a:xfrm>
                    <a:prstGeom prst="rect">
                      <a:avLst/>
                    </a:prstGeom>
                  </pic:spPr>
                </pic:pic>
              </a:graphicData>
            </a:graphic>
          </wp:inline>
        </w:drawing>
      </w:r>
    </w:p>
    <w:p>
      <w:pPr>
        <w:pStyle w:val="4"/>
        <w:spacing w:before="0" w:after="0"/>
        <w:ind w:firstLine="643" w:firstLineChars="200"/>
        <w:jc w:val="both"/>
        <w:rPr>
          <w:rFonts w:ascii="仿宋_GB2312" w:hAnsi="宋体" w:cs="Tahoma"/>
          <w:sz w:val="32"/>
          <w:szCs w:val="32"/>
        </w:rPr>
      </w:pPr>
      <w:bookmarkStart w:id="12" w:name="_Toc18197"/>
      <w:r>
        <w:rPr>
          <w:rFonts w:hint="eastAsia" w:ascii="仿宋_GB2312" w:hAnsi="宋体" w:cs="仿宋_GB2312"/>
          <w:sz w:val="32"/>
          <w:szCs w:val="32"/>
        </w:rPr>
        <w:t>（四）预算支出及决算</w:t>
      </w:r>
      <w:bookmarkEnd w:id="10"/>
      <w:bookmarkEnd w:id="11"/>
      <w:r>
        <w:rPr>
          <w:rFonts w:hint="eastAsia" w:ascii="仿宋_GB2312" w:hAnsi="宋体" w:cs="仿宋_GB2312"/>
          <w:sz w:val="32"/>
          <w:szCs w:val="32"/>
        </w:rPr>
        <w:t>支出</w:t>
      </w:r>
      <w:bookmarkEnd w:id="12"/>
    </w:p>
    <w:p>
      <w:pPr>
        <w:spacing w:after="0" w:line="360" w:lineRule="auto"/>
        <w:ind w:firstLine="640" w:firstLineChars="200"/>
        <w:jc w:val="both"/>
        <w:rPr>
          <w:rFonts w:ascii="仿宋_GB2312" w:hAnsi="宋体" w:eastAsia="仿宋_GB2312"/>
          <w:sz w:val="32"/>
          <w:szCs w:val="32"/>
          <w:u w:color="000000"/>
        </w:rPr>
      </w:pP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年度区总工会</w:t>
      </w:r>
      <w:r>
        <w:rPr>
          <w:rFonts w:hint="eastAsia" w:ascii="仿宋_GB2312" w:hAnsi="宋体" w:eastAsia="仿宋_GB2312" w:cs="仿宋_GB2312"/>
          <w:sz w:val="32"/>
          <w:szCs w:val="32"/>
          <w:u w:color="000000"/>
        </w:rPr>
        <w:t>预算支出安排</w:t>
      </w:r>
      <w:r>
        <w:rPr>
          <w:rFonts w:hint="default" w:ascii="仿宋_GB2312" w:eastAsia="仿宋_GB2312" w:cs="仿宋_GB2312"/>
          <w:sz w:val="32"/>
          <w:szCs w:val="32"/>
          <w:lang w:val="en-US"/>
        </w:rPr>
        <w:t>64.14</w:t>
      </w:r>
      <w:r>
        <w:rPr>
          <w:rFonts w:hint="eastAsia" w:ascii="仿宋_GB2312" w:hAnsi="宋体" w:eastAsia="仿宋_GB2312" w:cs="仿宋_GB2312"/>
          <w:sz w:val="32"/>
          <w:szCs w:val="32"/>
          <w:u w:color="000000"/>
        </w:rPr>
        <w:t>万元，其中：基本支出</w:t>
      </w:r>
      <w:r>
        <w:rPr>
          <w:rFonts w:hint="default" w:ascii="仿宋_GB2312" w:hAnsi="宋体" w:eastAsia="仿宋_GB2312" w:cs="仿宋_GB2312"/>
          <w:sz w:val="32"/>
          <w:szCs w:val="32"/>
          <w:u w:color="000000"/>
          <w:lang w:val="en-US"/>
        </w:rPr>
        <w:t>61.51</w:t>
      </w:r>
      <w:r>
        <w:rPr>
          <w:rFonts w:hint="eastAsia" w:ascii="仿宋_GB2312" w:hAnsi="宋体" w:eastAsia="仿宋_GB2312" w:cs="仿宋_GB2312"/>
          <w:sz w:val="32"/>
          <w:szCs w:val="32"/>
          <w:u w:color="000000"/>
        </w:rPr>
        <w:t>万元，项目支出</w:t>
      </w:r>
      <w:r>
        <w:rPr>
          <w:rFonts w:hint="default" w:ascii="仿宋_GB2312" w:hAnsi="宋体" w:eastAsia="仿宋_GB2312" w:cs="仿宋_GB2312"/>
          <w:sz w:val="32"/>
          <w:szCs w:val="32"/>
          <w:u w:color="000000"/>
          <w:lang w:val="en-US"/>
        </w:rPr>
        <w:t>2.64</w:t>
      </w:r>
      <w:r>
        <w:rPr>
          <w:rFonts w:hint="eastAsia" w:ascii="仿宋_GB2312" w:hAnsi="宋体" w:eastAsia="仿宋_GB2312" w:cs="仿宋_GB2312"/>
          <w:sz w:val="32"/>
          <w:szCs w:val="32"/>
          <w:u w:color="000000"/>
        </w:rPr>
        <w:t>万元。预算支出按功能分类包含：</w:t>
      </w:r>
      <w:r>
        <w:rPr>
          <w:rFonts w:hint="eastAsia" w:ascii="仿宋_GB2312" w:eastAsia="仿宋_GB2312" w:cs="仿宋_GB2312"/>
          <w:sz w:val="32"/>
          <w:szCs w:val="32"/>
        </w:rPr>
        <w:t>一般公共服务支出</w:t>
      </w:r>
      <w:r>
        <w:rPr>
          <w:rFonts w:hint="default" w:ascii="仿宋_GB2312" w:eastAsia="仿宋_GB2312" w:cs="仿宋_GB2312"/>
          <w:sz w:val="32"/>
          <w:szCs w:val="32"/>
          <w:lang w:val="en-US"/>
        </w:rPr>
        <w:t>15.66</w:t>
      </w:r>
      <w:r>
        <w:rPr>
          <w:rFonts w:hint="eastAsia" w:ascii="仿宋_GB2312" w:eastAsia="仿宋_GB2312" w:cs="仿宋_GB2312"/>
          <w:sz w:val="32"/>
          <w:szCs w:val="32"/>
        </w:rPr>
        <w:t>万元</w:t>
      </w:r>
      <w:r>
        <w:rPr>
          <w:rFonts w:hint="eastAsia" w:ascii="仿宋_GB2312" w:hAnsi="宋体" w:eastAsia="仿宋_GB2312" w:cs="仿宋_GB2312"/>
          <w:sz w:val="32"/>
          <w:szCs w:val="32"/>
          <w:u w:color="000000"/>
        </w:rPr>
        <w:t>，社会保障和就业支出</w:t>
      </w:r>
      <w:r>
        <w:rPr>
          <w:rFonts w:hint="default" w:ascii="仿宋_GB2312" w:eastAsia="仿宋_GB2312" w:cs="仿宋_GB2312"/>
          <w:sz w:val="32"/>
          <w:szCs w:val="32"/>
          <w:lang w:val="en-US"/>
        </w:rPr>
        <w:t>41.17</w:t>
      </w:r>
      <w:r>
        <w:rPr>
          <w:rFonts w:hint="eastAsia" w:ascii="仿宋_GB2312" w:hAnsi="宋体" w:eastAsia="仿宋_GB2312" w:cs="仿宋_GB2312"/>
          <w:sz w:val="32"/>
          <w:szCs w:val="32"/>
          <w:u w:color="000000"/>
        </w:rPr>
        <w:t>万元，</w:t>
      </w:r>
      <w:r>
        <w:rPr>
          <w:rFonts w:hint="eastAsia" w:ascii="仿宋_GB2312" w:hAnsi="宋体" w:eastAsia="仿宋_GB2312" w:cs="仿宋_GB2312"/>
          <w:sz w:val="32"/>
          <w:szCs w:val="32"/>
          <w:u w:color="000000"/>
          <w:lang w:val="en-US" w:eastAsia="zh-CN"/>
        </w:rPr>
        <w:t>卫生健康</w:t>
      </w:r>
      <w:r>
        <w:rPr>
          <w:rFonts w:hint="eastAsia" w:ascii="仿宋_GB2312" w:hAnsi="宋体" w:eastAsia="仿宋_GB2312" w:cs="仿宋_GB2312"/>
          <w:sz w:val="32"/>
          <w:szCs w:val="32"/>
          <w:u w:color="000000"/>
        </w:rPr>
        <w:t>支出</w:t>
      </w:r>
      <w:r>
        <w:rPr>
          <w:rFonts w:hint="default" w:ascii="仿宋_GB2312" w:eastAsia="仿宋_GB2312" w:cs="仿宋_GB2312"/>
          <w:sz w:val="32"/>
          <w:szCs w:val="32"/>
          <w:lang w:val="en-US"/>
        </w:rPr>
        <w:t>2.24</w:t>
      </w:r>
      <w:r>
        <w:rPr>
          <w:rFonts w:hint="eastAsia" w:ascii="仿宋_GB2312" w:hAnsi="宋体" w:eastAsia="仿宋_GB2312" w:cs="仿宋_GB2312"/>
          <w:sz w:val="32"/>
          <w:szCs w:val="32"/>
          <w:u w:color="000000"/>
        </w:rPr>
        <w:t>万元，住房保障支出</w:t>
      </w:r>
      <w:r>
        <w:rPr>
          <w:rFonts w:hint="default" w:ascii="仿宋_GB2312" w:eastAsia="仿宋_GB2312" w:cs="仿宋_GB2312"/>
          <w:sz w:val="32"/>
          <w:szCs w:val="32"/>
          <w:lang w:val="en-US"/>
        </w:rPr>
        <w:t>5.07</w:t>
      </w:r>
      <w:r>
        <w:rPr>
          <w:rFonts w:hint="eastAsia" w:ascii="仿宋_GB2312" w:hAnsi="宋体" w:eastAsia="仿宋_GB2312" w:cs="仿宋_GB2312"/>
          <w:sz w:val="32"/>
          <w:szCs w:val="32"/>
          <w:u w:color="000000"/>
        </w:rPr>
        <w:t>万元。</w:t>
      </w:r>
    </w:p>
    <w:p>
      <w:pPr>
        <w:spacing w:after="0" w:line="360" w:lineRule="auto"/>
        <w:ind w:firstLine="640" w:firstLineChars="200"/>
        <w:jc w:val="both"/>
        <w:rPr>
          <w:rFonts w:ascii="仿宋_GB2312" w:hAnsi="宋体" w:eastAsia="仿宋_GB2312" w:cs="仿宋_GB2312"/>
          <w:color w:val="FF0000"/>
          <w:sz w:val="32"/>
          <w:szCs w:val="32"/>
          <w:u w:color="000000"/>
        </w:rPr>
      </w:pP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年度区总工会单位</w:t>
      </w:r>
      <w:r>
        <w:rPr>
          <w:rFonts w:hint="eastAsia" w:ascii="仿宋_GB2312" w:hAnsi="宋体" w:eastAsia="仿宋_GB2312" w:cs="仿宋_GB2312"/>
          <w:sz w:val="32"/>
          <w:szCs w:val="32"/>
          <w:u w:color="000000"/>
        </w:rPr>
        <w:t>决算支出为</w:t>
      </w:r>
      <w:r>
        <w:rPr>
          <w:rFonts w:hint="default" w:ascii="仿宋_GB2312" w:eastAsia="仿宋_GB2312" w:cs="仿宋_GB2312"/>
          <w:sz w:val="32"/>
          <w:szCs w:val="32"/>
          <w:lang w:val="en-US"/>
        </w:rPr>
        <w:t>158.39</w:t>
      </w:r>
      <w:r>
        <w:rPr>
          <w:rFonts w:hint="eastAsia" w:ascii="仿宋_GB2312" w:hAnsi="宋体" w:eastAsia="仿宋_GB2312" w:cs="仿宋_GB2312"/>
          <w:sz w:val="32"/>
          <w:szCs w:val="32"/>
          <w:u w:color="000000"/>
        </w:rPr>
        <w:t>万元，其中：基本支出</w:t>
      </w:r>
      <w:r>
        <w:rPr>
          <w:rFonts w:hint="default" w:ascii="仿宋_GB2312" w:eastAsia="仿宋_GB2312" w:cs="仿宋_GB2312"/>
          <w:sz w:val="32"/>
          <w:szCs w:val="32"/>
          <w:lang w:val="en-US"/>
        </w:rPr>
        <w:t>141.65</w:t>
      </w:r>
      <w:r>
        <w:rPr>
          <w:rFonts w:hint="eastAsia" w:ascii="仿宋_GB2312" w:hAnsi="宋体" w:eastAsia="仿宋_GB2312" w:cs="仿宋_GB2312"/>
          <w:sz w:val="32"/>
          <w:szCs w:val="32"/>
          <w:u w:color="000000"/>
        </w:rPr>
        <w:t>万元，项目支出</w:t>
      </w:r>
      <w:r>
        <w:rPr>
          <w:rFonts w:hint="default" w:ascii="仿宋_GB2312" w:hAnsi="宋体" w:eastAsia="仿宋_GB2312" w:cs="仿宋_GB2312"/>
          <w:sz w:val="32"/>
          <w:szCs w:val="32"/>
          <w:u w:color="000000"/>
          <w:lang w:val="en-US"/>
        </w:rPr>
        <w:t>16.74</w:t>
      </w:r>
      <w:r>
        <w:rPr>
          <w:rFonts w:hint="eastAsia" w:ascii="仿宋_GB2312" w:hAnsi="宋体" w:eastAsia="仿宋_GB2312" w:cs="仿宋_GB2312"/>
          <w:sz w:val="32"/>
          <w:szCs w:val="32"/>
          <w:u w:color="000000"/>
        </w:rPr>
        <w:t>万元。决算支出按功能分类包含：</w:t>
      </w:r>
      <w:r>
        <w:rPr>
          <w:rFonts w:hint="eastAsia" w:ascii="仿宋_GB2312" w:eastAsia="仿宋_GB2312" w:cs="仿宋_GB2312"/>
          <w:sz w:val="32"/>
          <w:szCs w:val="32"/>
        </w:rPr>
        <w:t>一般公共服务支出</w:t>
      </w:r>
      <w:r>
        <w:rPr>
          <w:rFonts w:hint="default" w:ascii="仿宋_GB2312" w:eastAsia="仿宋_GB2312" w:cs="仿宋_GB2312"/>
          <w:sz w:val="32"/>
          <w:szCs w:val="32"/>
          <w:lang w:val="en-US"/>
        </w:rPr>
        <w:t>99.46</w:t>
      </w:r>
      <w:r>
        <w:rPr>
          <w:rFonts w:hint="eastAsia" w:ascii="仿宋_GB2312" w:hAnsi="宋体" w:eastAsia="仿宋_GB2312" w:cs="仿宋_GB2312"/>
          <w:sz w:val="32"/>
          <w:szCs w:val="32"/>
          <w:u w:color="000000"/>
        </w:rPr>
        <w:t>万元，占比</w:t>
      </w:r>
      <w:r>
        <w:rPr>
          <w:rFonts w:hint="default" w:ascii="仿宋_GB2312" w:hAnsi="宋体" w:eastAsia="仿宋_GB2312" w:cs="仿宋_GB2312"/>
          <w:sz w:val="32"/>
          <w:szCs w:val="32"/>
          <w:u w:color="000000"/>
          <w:lang w:val="en-US"/>
        </w:rPr>
        <w:t>62.8</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；社会保障和就业支出</w:t>
      </w:r>
      <w:r>
        <w:rPr>
          <w:rFonts w:hint="default" w:ascii="仿宋_GB2312" w:eastAsia="仿宋_GB2312" w:cs="仿宋_GB2312"/>
          <w:sz w:val="32"/>
          <w:szCs w:val="32"/>
          <w:lang w:val="en-US"/>
        </w:rPr>
        <w:t>51.62</w:t>
      </w:r>
      <w:r>
        <w:rPr>
          <w:rFonts w:hint="eastAsia" w:ascii="仿宋_GB2312" w:hAnsi="宋体" w:eastAsia="仿宋_GB2312" w:cs="仿宋_GB2312"/>
          <w:sz w:val="32"/>
          <w:szCs w:val="32"/>
          <w:u w:color="000000"/>
        </w:rPr>
        <w:t>万元，占比</w:t>
      </w:r>
      <w:r>
        <w:rPr>
          <w:rFonts w:hint="default" w:ascii="仿宋_GB2312" w:hAnsi="宋体" w:eastAsia="仿宋_GB2312" w:cs="仿宋_GB2312"/>
          <w:sz w:val="32"/>
          <w:szCs w:val="32"/>
          <w:u w:color="000000"/>
          <w:lang w:val="en-US"/>
        </w:rPr>
        <w:t>32.6</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w:t>
      </w:r>
      <w:r>
        <w:rPr>
          <w:rFonts w:hint="eastAsia" w:ascii="仿宋_GB2312" w:hAnsi="宋体" w:eastAsia="仿宋_GB2312" w:cs="仿宋_GB2312"/>
          <w:sz w:val="32"/>
          <w:szCs w:val="32"/>
          <w:u w:color="000000"/>
          <w:lang w:val="en-US" w:eastAsia="zh-CN"/>
        </w:rPr>
        <w:t>卫生健康</w:t>
      </w:r>
      <w:r>
        <w:rPr>
          <w:rFonts w:hint="eastAsia" w:ascii="仿宋_GB2312" w:hAnsi="宋体" w:eastAsia="仿宋_GB2312" w:cs="仿宋_GB2312"/>
          <w:sz w:val="32"/>
          <w:szCs w:val="32"/>
          <w:u w:color="000000"/>
        </w:rPr>
        <w:t>支出</w:t>
      </w:r>
      <w:r>
        <w:rPr>
          <w:rFonts w:hint="default" w:ascii="仿宋_GB2312" w:hAnsi="宋体" w:eastAsia="仿宋_GB2312" w:cs="仿宋_GB2312"/>
          <w:sz w:val="32"/>
          <w:szCs w:val="32"/>
          <w:u w:color="000000"/>
          <w:lang w:val="en-US"/>
        </w:rPr>
        <w:t>2.24</w:t>
      </w:r>
      <w:r>
        <w:rPr>
          <w:rFonts w:hint="eastAsia" w:ascii="仿宋_GB2312" w:hAnsi="宋体" w:eastAsia="仿宋_GB2312" w:cs="仿宋_GB2312"/>
          <w:sz w:val="32"/>
          <w:szCs w:val="32"/>
          <w:u w:color="000000"/>
        </w:rPr>
        <w:t>万元，占比</w:t>
      </w:r>
      <w:r>
        <w:rPr>
          <w:rFonts w:hint="default" w:ascii="仿宋_GB2312" w:hAnsi="宋体" w:eastAsia="仿宋_GB2312" w:cs="仿宋_GB2312"/>
          <w:sz w:val="32"/>
          <w:szCs w:val="32"/>
          <w:u w:color="000000"/>
          <w:lang w:val="en-US"/>
        </w:rPr>
        <w:t>1.4</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；住房保障支出</w:t>
      </w:r>
      <w:r>
        <w:rPr>
          <w:rFonts w:hint="default" w:ascii="仿宋_GB2312" w:eastAsia="仿宋_GB2312" w:cs="仿宋_GB2312"/>
          <w:sz w:val="32"/>
          <w:szCs w:val="32"/>
          <w:lang w:val="en-US"/>
        </w:rPr>
        <w:t>5.07</w:t>
      </w:r>
      <w:r>
        <w:rPr>
          <w:rFonts w:hint="eastAsia" w:ascii="仿宋_GB2312" w:hAnsi="宋体" w:eastAsia="仿宋_GB2312" w:cs="仿宋_GB2312"/>
          <w:sz w:val="32"/>
          <w:szCs w:val="32"/>
          <w:u w:color="000000"/>
        </w:rPr>
        <w:t>万元，占比</w:t>
      </w:r>
      <w:r>
        <w:rPr>
          <w:rFonts w:hint="default" w:ascii="仿宋_GB2312" w:hAnsi="宋体" w:eastAsia="仿宋_GB2312" w:cs="仿宋_GB2312"/>
          <w:sz w:val="32"/>
          <w:szCs w:val="32"/>
          <w:u w:color="000000"/>
          <w:lang w:val="en-US"/>
        </w:rPr>
        <w:t>3.2</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lang w:eastAsia="zh-CN"/>
        </w:rPr>
        <w:t>。</w:t>
      </w:r>
      <w:r>
        <w:rPr>
          <w:rFonts w:ascii="仿宋_GB2312" w:hAnsi="宋体" w:eastAsia="仿宋_GB2312" w:cs="仿宋_GB2312"/>
          <w:color w:val="FF0000"/>
          <w:sz w:val="32"/>
          <w:szCs w:val="32"/>
          <w:u w:color="000000"/>
        </w:rPr>
        <w:t xml:space="preserve">                                                                                                                                                                                                                           </w:t>
      </w:r>
    </w:p>
    <w:p>
      <w:pPr>
        <w:spacing w:after="0" w:line="360" w:lineRule="auto"/>
        <w:ind w:firstLine="964" w:firstLineChars="300"/>
        <w:jc w:val="both"/>
        <w:rPr>
          <w:rFonts w:ascii="仿宋_GB2312" w:hAnsi="宋体" w:eastAsia="仿宋_GB2312"/>
          <w:sz w:val="32"/>
          <w:szCs w:val="32"/>
          <w:u w:color="000000"/>
        </w:rPr>
      </w:pPr>
      <w:r>
        <w:rPr>
          <w:rFonts w:hint="eastAsia" w:ascii="宋体" w:hAnsi="宋体" w:eastAsia="宋体" w:cs="宋体"/>
          <w:b/>
          <w:bCs/>
          <w:sz w:val="32"/>
          <w:szCs w:val="32"/>
          <w:u w:color="000000"/>
        </w:rPr>
        <w:t>图</w:t>
      </w:r>
      <w:r>
        <w:rPr>
          <w:rFonts w:ascii="宋体" w:hAnsi="宋体" w:eastAsia="宋体" w:cs="宋体"/>
          <w:b/>
          <w:bCs/>
          <w:sz w:val="32"/>
          <w:szCs w:val="32"/>
          <w:u w:color="000000"/>
        </w:rPr>
        <w:t xml:space="preserve">3  </w:t>
      </w:r>
      <w:r>
        <w:rPr>
          <w:rFonts w:cs="仿宋_GB2312" w:asciiTheme="minorEastAsia" w:hAnsiTheme="minorEastAsia" w:eastAsiaTheme="minorEastAsia"/>
          <w:b/>
          <w:sz w:val="32"/>
          <w:szCs w:val="32"/>
        </w:rPr>
        <w:t>202</w:t>
      </w:r>
      <w:r>
        <w:rPr>
          <w:rFonts w:hint="default" w:cs="仿宋_GB2312" w:asciiTheme="minorEastAsia" w:hAnsiTheme="minorEastAsia" w:eastAsiaTheme="minorEastAsia"/>
          <w:b/>
          <w:sz w:val="32"/>
          <w:szCs w:val="32"/>
          <w:lang w:val="en-US"/>
        </w:rPr>
        <w:t>3</w:t>
      </w:r>
      <w:r>
        <w:rPr>
          <w:rFonts w:hint="eastAsia" w:cs="仿宋_GB2312" w:asciiTheme="minorEastAsia" w:hAnsiTheme="minorEastAsia" w:eastAsiaTheme="minorEastAsia"/>
          <w:b/>
          <w:sz w:val="32"/>
          <w:szCs w:val="32"/>
        </w:rPr>
        <w:t>年度区总工会单位</w:t>
      </w:r>
      <w:r>
        <w:rPr>
          <w:rFonts w:hint="eastAsia" w:ascii="宋体" w:hAnsi="宋体" w:eastAsia="宋体" w:cs="宋体"/>
          <w:b/>
          <w:bCs/>
          <w:sz w:val="32"/>
          <w:szCs w:val="32"/>
          <w:u w:color="000000"/>
        </w:rPr>
        <w:t>决算支出结构图</w:t>
      </w:r>
    </w:p>
    <w:p>
      <w:pPr>
        <w:spacing w:after="0" w:line="360" w:lineRule="auto"/>
        <w:jc w:val="both"/>
        <w:rPr>
          <w:rFonts w:ascii="宋体" w:hAnsi="宋体" w:eastAsia="宋体"/>
          <w:b/>
          <w:bCs/>
          <w:sz w:val="32"/>
          <w:szCs w:val="32"/>
          <w:u w:color="000000"/>
        </w:rPr>
      </w:pPr>
      <w:r>
        <w:rPr>
          <w:rFonts w:hint="default" w:ascii="宋体" w:hAnsi="宋体" w:eastAsia="宋体"/>
          <w:b/>
          <w:bCs/>
          <w:sz w:val="32"/>
          <w:szCs w:val="32"/>
          <w:u w:color="000000"/>
          <w:lang w:val="en-US"/>
        </w:rPr>
        <w:t xml:space="preserve">    </w:t>
      </w:r>
      <w:r>
        <w:rPr>
          <w:rFonts w:ascii="宋体" w:hAnsi="宋体" w:eastAsia="宋体"/>
          <w:b/>
          <w:bCs/>
          <w:sz w:val="32"/>
          <w:szCs w:val="32"/>
          <w:u w:color="000000"/>
        </w:rPr>
        <w:drawing>
          <wp:inline distT="0" distB="0" distL="114300" distR="114300">
            <wp:extent cx="4420235" cy="2905125"/>
            <wp:effectExtent l="0" t="0" r="18415" b="9525"/>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9"/>
                    <a:stretch>
                      <a:fillRect/>
                    </a:stretch>
                  </pic:blipFill>
                  <pic:spPr>
                    <a:xfrm>
                      <a:off x="0" y="0"/>
                      <a:ext cx="4420235" cy="2905125"/>
                    </a:xfrm>
                    <a:prstGeom prst="rect">
                      <a:avLst/>
                    </a:prstGeom>
                  </pic:spPr>
                </pic:pic>
              </a:graphicData>
            </a:graphic>
          </wp:inline>
        </w:drawing>
      </w:r>
    </w:p>
    <w:p>
      <w:pPr>
        <w:spacing w:after="0" w:line="360" w:lineRule="auto"/>
        <w:jc w:val="both"/>
        <w:rPr>
          <w:rFonts w:ascii="仿宋_GB2312" w:eastAsia="仿宋_GB2312"/>
          <w:sz w:val="32"/>
          <w:szCs w:val="32"/>
        </w:rPr>
      </w:pPr>
      <w:r>
        <w:rPr>
          <w:rFonts w:hint="eastAsia" w:ascii="仿宋_GB2312" w:eastAsia="仿宋_GB2312" w:cs="仿宋_GB2312"/>
          <w:sz w:val="32"/>
          <w:szCs w:val="32"/>
        </w:rPr>
        <w:t>财政拨款决算支出比年初预算增加165.16万元。</w:t>
      </w:r>
    </w:p>
    <w:p>
      <w:pPr>
        <w:spacing w:after="0" w:line="360" w:lineRule="auto"/>
        <w:jc w:val="both"/>
        <w:rPr>
          <w:rFonts w:ascii="宋体" w:hAnsi="宋体" w:eastAsia="宋体"/>
          <w:b/>
          <w:bCs/>
          <w:sz w:val="32"/>
          <w:szCs w:val="32"/>
        </w:rPr>
      </w:pPr>
      <w:r>
        <w:rPr>
          <w:rFonts w:hint="eastAsia" w:ascii="宋体" w:hAnsi="宋体" w:eastAsia="宋体" w:cs="宋体"/>
          <w:b/>
          <w:bCs/>
          <w:sz w:val="32"/>
          <w:szCs w:val="32"/>
        </w:rPr>
        <w:t>图</w:t>
      </w:r>
      <w:r>
        <w:rPr>
          <w:rFonts w:ascii="宋体" w:hAnsi="宋体" w:eastAsia="宋体" w:cs="宋体"/>
          <w:b/>
          <w:bCs/>
          <w:sz w:val="32"/>
          <w:szCs w:val="32"/>
        </w:rPr>
        <w:t xml:space="preserve">4  </w:t>
      </w:r>
      <w:r>
        <w:rPr>
          <w:rFonts w:cs="仿宋_GB2312" w:asciiTheme="majorEastAsia" w:hAnsiTheme="majorEastAsia" w:eastAsiaTheme="majorEastAsia"/>
          <w:b/>
          <w:sz w:val="32"/>
          <w:szCs w:val="32"/>
        </w:rPr>
        <w:t>202</w:t>
      </w:r>
      <w:r>
        <w:rPr>
          <w:rFonts w:hint="default" w:cs="仿宋_GB2312" w:asciiTheme="majorEastAsia" w:hAnsiTheme="majorEastAsia" w:eastAsiaTheme="majorEastAsia"/>
          <w:b/>
          <w:sz w:val="32"/>
          <w:szCs w:val="32"/>
          <w:lang w:val="en-US"/>
        </w:rPr>
        <w:t>3</w:t>
      </w:r>
      <w:r>
        <w:rPr>
          <w:rFonts w:hint="eastAsia" w:cs="仿宋_GB2312" w:asciiTheme="majorEastAsia" w:hAnsiTheme="majorEastAsia" w:eastAsiaTheme="majorEastAsia"/>
          <w:b/>
          <w:sz w:val="32"/>
          <w:szCs w:val="32"/>
        </w:rPr>
        <w:t>年度区总工会单位</w:t>
      </w:r>
      <w:r>
        <w:rPr>
          <w:rFonts w:hint="eastAsia" w:ascii="宋体" w:hAnsi="宋体" w:eastAsia="宋体" w:cs="宋体"/>
          <w:b/>
          <w:bCs/>
          <w:sz w:val="32"/>
          <w:szCs w:val="32"/>
        </w:rPr>
        <w:t>预算支出与决算支出对比图</w:t>
      </w:r>
    </w:p>
    <w:p>
      <w:pPr>
        <w:spacing w:after="0" w:line="360" w:lineRule="auto"/>
        <w:jc w:val="center"/>
        <w:rPr>
          <w:rFonts w:ascii="宋体" w:hAnsi="宋体" w:eastAsia="宋体"/>
          <w:b/>
          <w:bCs/>
          <w:sz w:val="32"/>
          <w:szCs w:val="32"/>
        </w:rPr>
      </w:pPr>
      <w:r>
        <w:rPr>
          <w:rFonts w:ascii="宋体" w:hAnsi="宋体" w:eastAsia="宋体"/>
          <w:b/>
          <w:bCs/>
          <w:sz w:val="32"/>
          <w:szCs w:val="32"/>
        </w:rPr>
        <w:drawing>
          <wp:inline distT="0" distB="0" distL="114300" distR="114300">
            <wp:extent cx="5095875" cy="2810510"/>
            <wp:effectExtent l="0" t="0" r="9525" b="8890"/>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10"/>
                    <a:stretch>
                      <a:fillRect/>
                    </a:stretch>
                  </pic:blipFill>
                  <pic:spPr>
                    <a:xfrm>
                      <a:off x="0" y="0"/>
                      <a:ext cx="5095875" cy="2810510"/>
                    </a:xfrm>
                    <a:prstGeom prst="rect">
                      <a:avLst/>
                    </a:prstGeom>
                  </pic:spPr>
                </pic:pic>
              </a:graphicData>
            </a:graphic>
          </wp:inline>
        </w:drawing>
      </w:r>
    </w:p>
    <w:p>
      <w:pPr>
        <w:pStyle w:val="3"/>
        <w:spacing w:before="0" w:after="0" w:line="360" w:lineRule="auto"/>
        <w:ind w:firstLine="643" w:firstLineChars="200"/>
        <w:rPr>
          <w:rFonts w:ascii="黑体" w:hAnsi="宋体" w:cs="Tahoma"/>
          <w:u w:color="000000"/>
        </w:rPr>
      </w:pPr>
      <w:bookmarkStart w:id="13" w:name="_Toc20454"/>
      <w:bookmarkStart w:id="14" w:name="_Toc492652770"/>
      <w:bookmarkStart w:id="15" w:name="_Toc465149504"/>
      <w:r>
        <w:rPr>
          <w:rFonts w:hint="eastAsia" w:ascii="黑体" w:cs="黑体"/>
        </w:rPr>
        <w:t>二、部门整体支出绩效评价指标体系设定情况</w:t>
      </w:r>
      <w:bookmarkEnd w:id="13"/>
      <w:bookmarkEnd w:id="14"/>
    </w:p>
    <w:p>
      <w:pPr>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根据绩效预算管理改革的有关政策和文件规定，并与区总工会沟通，绩效评价工作组以绩效预算架构为指导，以部门预算文本及相关资料为基础，制定了部门整体支出绩效评价指标体系。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部门整体支出绩效评价指标体系设置一级指标</w:t>
      </w:r>
      <w:r>
        <w:rPr>
          <w:rFonts w:ascii="仿宋_GB2312" w:eastAsia="仿宋_GB2312" w:cs="仿宋_GB2312"/>
          <w:sz w:val="32"/>
          <w:szCs w:val="32"/>
        </w:rPr>
        <w:t>4</w:t>
      </w:r>
      <w:r>
        <w:rPr>
          <w:rFonts w:hint="eastAsia" w:ascii="仿宋_GB2312" w:eastAsia="仿宋_GB2312" w:cs="仿宋_GB2312"/>
          <w:sz w:val="32"/>
          <w:szCs w:val="32"/>
        </w:rPr>
        <w:t>个，二级指标</w:t>
      </w:r>
      <w:r>
        <w:rPr>
          <w:rFonts w:ascii="仿宋_GB2312" w:eastAsia="仿宋_GB2312" w:cs="仿宋_GB2312"/>
          <w:sz w:val="32"/>
          <w:szCs w:val="32"/>
        </w:rPr>
        <w:t>7</w:t>
      </w:r>
      <w:r>
        <w:rPr>
          <w:rFonts w:hint="eastAsia" w:ascii="仿宋_GB2312" w:eastAsia="仿宋_GB2312" w:cs="仿宋_GB2312"/>
          <w:sz w:val="32"/>
          <w:szCs w:val="32"/>
        </w:rPr>
        <w:t>个，三级指标</w:t>
      </w:r>
      <w:r>
        <w:rPr>
          <w:rFonts w:ascii="仿宋_GB2312" w:eastAsia="仿宋_GB2312" w:cs="仿宋_GB2312"/>
          <w:sz w:val="32"/>
          <w:szCs w:val="32"/>
        </w:rPr>
        <w:t>27</w:t>
      </w:r>
      <w:r>
        <w:rPr>
          <w:rFonts w:hint="eastAsia" w:ascii="仿宋_GB2312" w:eastAsia="仿宋_GB2312" w:cs="仿宋_GB2312"/>
          <w:sz w:val="32"/>
          <w:szCs w:val="32"/>
        </w:rPr>
        <w:t>个（详见附件</w:t>
      </w:r>
      <w:r>
        <w:rPr>
          <w:rFonts w:ascii="仿宋_GB2312" w:eastAsia="仿宋_GB2312" w:cs="仿宋_GB2312"/>
          <w:sz w:val="32"/>
          <w:szCs w:val="32"/>
        </w:rPr>
        <w:t>3</w:t>
      </w:r>
      <w:r>
        <w:rPr>
          <w:rFonts w:hint="eastAsia" w:ascii="仿宋_GB2312" w:eastAsia="仿宋_GB2312" w:cs="仿宋_GB2312"/>
          <w:sz w:val="32"/>
          <w:szCs w:val="32"/>
        </w:rPr>
        <w:t>）。指标体系设定满分</w:t>
      </w:r>
      <w:r>
        <w:rPr>
          <w:rFonts w:ascii="仿宋_GB2312" w:eastAsia="仿宋_GB2312" w:cs="仿宋_GB2312"/>
          <w:sz w:val="32"/>
          <w:szCs w:val="32"/>
        </w:rPr>
        <w:t>100</w:t>
      </w:r>
      <w:r>
        <w:rPr>
          <w:rFonts w:hint="eastAsia" w:ascii="仿宋_GB2312" w:eastAsia="仿宋_GB2312" w:cs="仿宋_GB2312"/>
          <w:sz w:val="32"/>
          <w:szCs w:val="32"/>
        </w:rPr>
        <w:t>分，绩效评价分值≥</w:t>
      </w:r>
      <w:r>
        <w:rPr>
          <w:rFonts w:ascii="仿宋_GB2312" w:eastAsia="仿宋_GB2312" w:cs="仿宋_GB2312"/>
          <w:sz w:val="32"/>
          <w:szCs w:val="32"/>
        </w:rPr>
        <w:t>90</w:t>
      </w:r>
      <w:r>
        <w:rPr>
          <w:rFonts w:hint="eastAsia" w:ascii="仿宋_GB2312" w:eastAsia="仿宋_GB2312" w:cs="仿宋_GB2312"/>
          <w:sz w:val="32"/>
          <w:szCs w:val="32"/>
        </w:rPr>
        <w:t>为“优”；</w:t>
      </w:r>
      <w:r>
        <w:rPr>
          <w:rFonts w:ascii="仿宋_GB2312" w:eastAsia="仿宋_GB2312" w:cs="仿宋_GB2312"/>
          <w:sz w:val="32"/>
          <w:szCs w:val="32"/>
        </w:rPr>
        <w:t>80</w:t>
      </w:r>
      <w:r>
        <w:rPr>
          <w:rFonts w:hint="eastAsia" w:ascii="仿宋_GB2312" w:eastAsia="仿宋_GB2312" w:cs="仿宋_GB2312"/>
          <w:sz w:val="32"/>
          <w:szCs w:val="32"/>
        </w:rPr>
        <w:t>≤分值＜</w:t>
      </w:r>
      <w:r>
        <w:rPr>
          <w:rFonts w:ascii="仿宋_GB2312" w:eastAsia="仿宋_GB2312" w:cs="仿宋_GB2312"/>
          <w:sz w:val="32"/>
          <w:szCs w:val="32"/>
        </w:rPr>
        <w:t>90</w:t>
      </w:r>
      <w:r>
        <w:rPr>
          <w:rFonts w:hint="eastAsia" w:ascii="仿宋_GB2312" w:eastAsia="仿宋_GB2312" w:cs="仿宋_GB2312"/>
          <w:sz w:val="32"/>
          <w:szCs w:val="32"/>
        </w:rPr>
        <w:t>为“良”；</w:t>
      </w:r>
      <w:r>
        <w:rPr>
          <w:rFonts w:ascii="仿宋_GB2312" w:eastAsia="仿宋_GB2312" w:cs="仿宋_GB2312"/>
          <w:sz w:val="32"/>
          <w:szCs w:val="32"/>
        </w:rPr>
        <w:t>60</w:t>
      </w:r>
      <w:r>
        <w:rPr>
          <w:rFonts w:hint="eastAsia" w:ascii="仿宋_GB2312" w:eastAsia="仿宋_GB2312" w:cs="仿宋_GB2312"/>
          <w:sz w:val="32"/>
          <w:szCs w:val="32"/>
        </w:rPr>
        <w:t>≤分值＜</w:t>
      </w:r>
      <w:r>
        <w:rPr>
          <w:rFonts w:ascii="仿宋_GB2312" w:eastAsia="仿宋_GB2312" w:cs="仿宋_GB2312"/>
          <w:sz w:val="32"/>
          <w:szCs w:val="32"/>
        </w:rPr>
        <w:t>80</w:t>
      </w:r>
      <w:r>
        <w:rPr>
          <w:rFonts w:hint="eastAsia" w:ascii="仿宋_GB2312" w:eastAsia="仿宋_GB2312" w:cs="仿宋_GB2312"/>
          <w:sz w:val="32"/>
          <w:szCs w:val="32"/>
        </w:rPr>
        <w:t>为“中”；</w:t>
      </w:r>
      <w:r>
        <w:rPr>
          <w:rFonts w:ascii="仿宋_GB2312" w:eastAsia="仿宋_GB2312" w:cs="仿宋_GB2312"/>
          <w:sz w:val="32"/>
          <w:szCs w:val="32"/>
        </w:rPr>
        <w:t>60</w:t>
      </w:r>
      <w:r>
        <w:rPr>
          <w:rFonts w:hint="eastAsia" w:ascii="仿宋_GB2312" w:eastAsia="仿宋_GB2312" w:cs="仿宋_GB2312"/>
          <w:sz w:val="32"/>
          <w:szCs w:val="32"/>
        </w:rPr>
        <w:t>分以下为“差”。评价指标体系具体构成如下：</w:t>
      </w:r>
      <w:bookmarkStart w:id="16" w:name="_Toc9569"/>
      <w:bookmarkStart w:id="17" w:name="_Toc492652771"/>
    </w:p>
    <w:p>
      <w:pPr>
        <w:spacing w:after="0" w:line="360" w:lineRule="auto"/>
        <w:ind w:firstLine="643" w:firstLineChars="200"/>
        <w:jc w:val="both"/>
        <w:rPr>
          <w:rFonts w:ascii="楷体_GB2312" w:hAnsi="宋体" w:eastAsia="楷体_GB2312"/>
          <w:b/>
          <w:bCs/>
          <w:kern w:val="2"/>
          <w:sz w:val="32"/>
          <w:szCs w:val="32"/>
          <w:u w:color="000000"/>
        </w:rPr>
      </w:pPr>
      <w:r>
        <w:rPr>
          <w:rFonts w:hint="eastAsia" w:ascii="楷体_GB2312" w:hAnsi="宋体" w:eastAsia="楷体_GB2312" w:cs="楷体_GB2312"/>
          <w:b/>
          <w:bCs/>
          <w:kern w:val="2"/>
          <w:sz w:val="32"/>
          <w:szCs w:val="32"/>
          <w:u w:color="000000"/>
        </w:rPr>
        <w:t>（一）投入（</w:t>
      </w:r>
      <w:r>
        <w:rPr>
          <w:rFonts w:ascii="楷体_GB2312" w:hAnsi="宋体" w:eastAsia="楷体_GB2312" w:cs="楷体_GB2312"/>
          <w:b/>
          <w:bCs/>
          <w:kern w:val="2"/>
          <w:sz w:val="32"/>
          <w:szCs w:val="32"/>
          <w:u w:color="000000"/>
        </w:rPr>
        <w:t>12</w:t>
      </w:r>
      <w:r>
        <w:rPr>
          <w:rFonts w:hint="eastAsia" w:ascii="楷体_GB2312" w:hAnsi="宋体" w:eastAsia="楷体_GB2312" w:cs="楷体_GB2312"/>
          <w:b/>
          <w:bCs/>
          <w:kern w:val="2"/>
          <w:sz w:val="32"/>
          <w:szCs w:val="32"/>
          <w:u w:color="000000"/>
        </w:rPr>
        <w:t>分）</w:t>
      </w:r>
      <w:bookmarkEnd w:id="16"/>
      <w:bookmarkEnd w:id="17"/>
    </w:p>
    <w:p>
      <w:pPr>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sz w:val="32"/>
          <w:szCs w:val="32"/>
        </w:rPr>
      </w:pPr>
      <w:r>
        <w:rPr>
          <w:rFonts w:hint="eastAsia" w:ascii="仿宋_GB2312" w:eastAsia="仿宋_GB2312" w:cs="仿宋_GB2312"/>
          <w:sz w:val="32"/>
          <w:szCs w:val="32"/>
        </w:rPr>
        <w:t>投入指标指标分值为</w:t>
      </w:r>
      <w:r>
        <w:rPr>
          <w:rFonts w:ascii="仿宋_GB2312" w:eastAsia="仿宋_GB2312" w:cs="仿宋_GB2312"/>
          <w:sz w:val="32"/>
          <w:szCs w:val="32"/>
        </w:rPr>
        <w:t>12</w:t>
      </w:r>
      <w:r>
        <w:rPr>
          <w:rFonts w:hint="eastAsia" w:ascii="仿宋_GB2312" w:eastAsia="仿宋_GB2312" w:cs="仿宋_GB2312"/>
          <w:sz w:val="32"/>
          <w:szCs w:val="32"/>
        </w:rPr>
        <w:t>分，下设</w:t>
      </w:r>
      <w:r>
        <w:rPr>
          <w:rFonts w:ascii="仿宋_GB2312" w:eastAsia="仿宋_GB2312" w:cs="仿宋_GB2312"/>
          <w:sz w:val="32"/>
          <w:szCs w:val="32"/>
        </w:rPr>
        <w:t>2</w:t>
      </w:r>
      <w:r>
        <w:rPr>
          <w:rFonts w:hint="eastAsia" w:ascii="仿宋_GB2312" w:eastAsia="仿宋_GB2312" w:cs="仿宋_GB2312"/>
          <w:sz w:val="32"/>
          <w:szCs w:val="32"/>
        </w:rPr>
        <w:t>个二级指标：绩效目标设定和预算配置，</w:t>
      </w:r>
      <w:r>
        <w:rPr>
          <w:rFonts w:ascii="仿宋_GB2312" w:eastAsia="仿宋_GB2312" w:cs="仿宋_GB2312"/>
          <w:sz w:val="32"/>
          <w:szCs w:val="32"/>
        </w:rPr>
        <w:t>6</w:t>
      </w:r>
      <w:r>
        <w:rPr>
          <w:rFonts w:hint="eastAsia" w:ascii="仿宋_GB2312" w:eastAsia="仿宋_GB2312" w:cs="仿宋_GB2312"/>
          <w:sz w:val="32"/>
          <w:szCs w:val="32"/>
        </w:rPr>
        <w:t>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cs="Tahoma"/>
          <w:sz w:val="32"/>
          <w:szCs w:val="32"/>
        </w:rPr>
      </w:pPr>
      <w:bookmarkStart w:id="18" w:name="_Toc492652772"/>
      <w:bookmarkStart w:id="19" w:name="_Toc30221"/>
      <w:r>
        <w:rPr>
          <w:rFonts w:hint="eastAsia" w:ascii="楷体" w:hAnsi="楷体" w:eastAsia="楷体" w:cs="楷体"/>
          <w:kern w:val="2"/>
          <w:sz w:val="32"/>
          <w:szCs w:val="32"/>
        </w:rPr>
        <w:t>（二）过程（</w:t>
      </w:r>
      <w:r>
        <w:rPr>
          <w:rFonts w:ascii="楷体" w:hAnsi="楷体" w:eastAsia="楷体" w:cs="楷体"/>
          <w:kern w:val="2"/>
          <w:sz w:val="32"/>
          <w:szCs w:val="32"/>
        </w:rPr>
        <w:t>48</w:t>
      </w:r>
      <w:r>
        <w:rPr>
          <w:rFonts w:hint="eastAsia" w:ascii="楷体" w:hAnsi="楷体" w:eastAsia="楷体" w:cs="楷体"/>
          <w:kern w:val="2"/>
          <w:sz w:val="32"/>
          <w:szCs w:val="32"/>
        </w:rPr>
        <w:t>分）</w:t>
      </w:r>
      <w:bookmarkEnd w:id="18"/>
      <w:bookmarkEnd w:id="19"/>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过程指标指标分值为</w:t>
      </w:r>
      <w:r>
        <w:rPr>
          <w:rFonts w:ascii="仿宋_GB2312" w:eastAsia="仿宋_GB2312" w:cs="仿宋_GB2312"/>
          <w:sz w:val="32"/>
          <w:szCs w:val="32"/>
        </w:rPr>
        <w:t>48</w:t>
      </w:r>
      <w:r>
        <w:rPr>
          <w:rFonts w:hint="eastAsia" w:ascii="仿宋_GB2312" w:eastAsia="仿宋_GB2312" w:cs="仿宋_GB2312"/>
          <w:sz w:val="32"/>
          <w:szCs w:val="32"/>
        </w:rPr>
        <w:t>分，下设</w:t>
      </w:r>
      <w:r>
        <w:rPr>
          <w:rFonts w:ascii="仿宋_GB2312" w:eastAsia="仿宋_GB2312" w:cs="仿宋_GB2312"/>
          <w:sz w:val="32"/>
          <w:szCs w:val="32"/>
        </w:rPr>
        <w:t>3</w:t>
      </w:r>
      <w:r>
        <w:rPr>
          <w:rFonts w:hint="eastAsia" w:ascii="仿宋_GB2312" w:eastAsia="仿宋_GB2312" w:cs="仿宋_GB2312"/>
          <w:sz w:val="32"/>
          <w:szCs w:val="32"/>
        </w:rPr>
        <w:t>个二级指标：预算执行、预算管理和绩效评价，</w:t>
      </w:r>
      <w:r>
        <w:rPr>
          <w:rFonts w:ascii="仿宋_GB2312" w:eastAsia="仿宋_GB2312" w:cs="仿宋_GB2312"/>
          <w:sz w:val="32"/>
          <w:szCs w:val="32"/>
        </w:rPr>
        <w:t>14</w:t>
      </w:r>
      <w:r>
        <w:rPr>
          <w:rFonts w:hint="eastAsia" w:ascii="仿宋_GB2312" w:eastAsia="仿宋_GB2312" w:cs="仿宋_GB2312"/>
          <w:sz w:val="32"/>
          <w:szCs w:val="32"/>
        </w:rPr>
        <w:t>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cs="Tahoma"/>
          <w:kern w:val="2"/>
          <w:sz w:val="32"/>
          <w:szCs w:val="32"/>
        </w:rPr>
      </w:pPr>
      <w:bookmarkStart w:id="20" w:name="_Toc24932"/>
      <w:bookmarkStart w:id="21" w:name="_Toc492652773"/>
      <w:r>
        <w:rPr>
          <w:rFonts w:hint="eastAsia" w:ascii="楷体" w:hAnsi="楷体" w:eastAsia="楷体" w:cs="楷体"/>
          <w:kern w:val="2"/>
          <w:sz w:val="32"/>
          <w:szCs w:val="32"/>
        </w:rPr>
        <w:t>（三）产出（</w:t>
      </w:r>
      <w:r>
        <w:rPr>
          <w:rFonts w:ascii="楷体" w:hAnsi="楷体" w:eastAsia="楷体" w:cs="楷体"/>
          <w:kern w:val="2"/>
          <w:sz w:val="32"/>
          <w:szCs w:val="32"/>
        </w:rPr>
        <w:t>25</w:t>
      </w:r>
      <w:r>
        <w:rPr>
          <w:rFonts w:hint="eastAsia" w:ascii="楷体" w:hAnsi="楷体" w:eastAsia="楷体" w:cs="楷体"/>
          <w:kern w:val="2"/>
          <w:sz w:val="32"/>
          <w:szCs w:val="32"/>
        </w:rPr>
        <w:t>分）</w:t>
      </w:r>
      <w:bookmarkEnd w:id="20"/>
      <w:bookmarkEnd w:id="21"/>
    </w:p>
    <w:p>
      <w:pPr>
        <w:spacing w:after="0" w:line="360" w:lineRule="auto"/>
        <w:ind w:firstLine="640" w:firstLineChars="200"/>
        <w:jc w:val="both"/>
        <w:textAlignment w:val="baseline"/>
        <w:rPr>
          <w:rFonts w:ascii="仿宋_GB2312" w:eastAsia="仿宋_GB2312"/>
          <w:sz w:val="32"/>
          <w:szCs w:val="32"/>
        </w:rPr>
      </w:pPr>
      <w:bookmarkStart w:id="22" w:name="_Toc492652774"/>
      <w:r>
        <w:rPr>
          <w:rFonts w:hint="eastAsia" w:ascii="仿宋_GB2312" w:eastAsia="仿宋_GB2312" w:cs="仿宋_GB2312"/>
          <w:sz w:val="32"/>
          <w:szCs w:val="32"/>
        </w:rPr>
        <w:t>主要反映结转结余率，项目资金使用率，。</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产出指标指标分值为</w:t>
      </w:r>
      <w:r>
        <w:rPr>
          <w:rFonts w:ascii="仿宋_GB2312" w:eastAsia="仿宋_GB2312" w:cs="仿宋_GB2312"/>
          <w:sz w:val="32"/>
          <w:szCs w:val="32"/>
        </w:rPr>
        <w:t>25</w:t>
      </w:r>
      <w:r>
        <w:rPr>
          <w:rFonts w:hint="eastAsia" w:ascii="仿宋_GB2312" w:eastAsia="仿宋_GB2312" w:cs="仿宋_GB2312"/>
          <w:sz w:val="32"/>
          <w:szCs w:val="32"/>
        </w:rPr>
        <w:t>分，下设</w:t>
      </w:r>
      <w:r>
        <w:rPr>
          <w:rFonts w:ascii="仿宋_GB2312" w:eastAsia="仿宋_GB2312" w:cs="仿宋_GB2312"/>
          <w:sz w:val="32"/>
          <w:szCs w:val="32"/>
        </w:rPr>
        <w:t>1</w:t>
      </w:r>
      <w:r>
        <w:rPr>
          <w:rFonts w:hint="eastAsia" w:ascii="仿宋_GB2312" w:eastAsia="仿宋_GB2312" w:cs="仿宋_GB2312"/>
          <w:sz w:val="32"/>
          <w:szCs w:val="32"/>
        </w:rPr>
        <w:t>个二级指标：责任履行，</w:t>
      </w:r>
      <w:r>
        <w:rPr>
          <w:rFonts w:ascii="仿宋_GB2312" w:eastAsia="仿宋_GB2312" w:cs="仿宋_GB2312"/>
          <w:sz w:val="32"/>
          <w:szCs w:val="32"/>
        </w:rPr>
        <w:t>5</w:t>
      </w:r>
      <w:r>
        <w:rPr>
          <w:rFonts w:hint="eastAsia" w:ascii="仿宋_GB2312" w:eastAsia="仿宋_GB2312" w:cs="仿宋_GB2312"/>
          <w:sz w:val="32"/>
          <w:szCs w:val="32"/>
        </w:rPr>
        <w:t>个三级指标：结转结余率、项目资金使用率。劳模体检率，困难帮扶率，法律援助案件结案率。</w:t>
      </w:r>
    </w:p>
    <w:p>
      <w:pPr>
        <w:pStyle w:val="4"/>
        <w:spacing w:before="0" w:after="0"/>
        <w:ind w:firstLine="643" w:firstLineChars="200"/>
        <w:jc w:val="both"/>
        <w:rPr>
          <w:rFonts w:ascii="楷体_GB2312" w:hAnsi="宋体" w:eastAsia="楷体_GB2312" w:cs="Tahoma"/>
          <w:sz w:val="32"/>
          <w:szCs w:val="32"/>
        </w:rPr>
      </w:pPr>
      <w:bookmarkStart w:id="23" w:name="_Toc21821"/>
      <w:r>
        <w:rPr>
          <w:rFonts w:hint="eastAsia" w:ascii="楷体_GB2312" w:hAnsi="宋体" w:eastAsia="楷体_GB2312" w:cs="楷体_GB2312"/>
          <w:kern w:val="2"/>
          <w:sz w:val="32"/>
          <w:szCs w:val="32"/>
        </w:rPr>
        <w:t>（四）效果（</w:t>
      </w:r>
      <w:r>
        <w:rPr>
          <w:rFonts w:ascii="楷体_GB2312" w:hAnsi="宋体" w:eastAsia="楷体_GB2312" w:cs="楷体_GB2312"/>
          <w:kern w:val="2"/>
          <w:sz w:val="32"/>
          <w:szCs w:val="32"/>
        </w:rPr>
        <w:t>15</w:t>
      </w:r>
      <w:r>
        <w:rPr>
          <w:rFonts w:hint="eastAsia" w:ascii="楷体_GB2312" w:hAnsi="宋体" w:eastAsia="楷体_GB2312" w:cs="楷体_GB2312"/>
          <w:kern w:val="2"/>
          <w:sz w:val="32"/>
          <w:szCs w:val="32"/>
        </w:rPr>
        <w:t>分）</w:t>
      </w:r>
      <w:bookmarkEnd w:id="22"/>
      <w:bookmarkEnd w:id="23"/>
    </w:p>
    <w:p>
      <w:pPr>
        <w:spacing w:after="0" w:line="360" w:lineRule="auto"/>
        <w:ind w:firstLine="640" w:firstLineChars="200"/>
        <w:jc w:val="both"/>
        <w:textAlignment w:val="baseline"/>
        <w:rPr>
          <w:rFonts w:ascii="仿宋_GB2312" w:eastAsia="仿宋_GB2312"/>
          <w:sz w:val="32"/>
          <w:szCs w:val="32"/>
        </w:rPr>
      </w:pPr>
      <w:bookmarkStart w:id="24" w:name="_Toc492652775"/>
      <w:r>
        <w:rPr>
          <w:rFonts w:hint="eastAsia" w:ascii="仿宋_GB2312" w:eastAsia="仿宋_GB2312" w:cs="仿宋_GB2312"/>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效果指标指标分值</w:t>
      </w:r>
      <w:r>
        <w:rPr>
          <w:rFonts w:ascii="仿宋_GB2312" w:eastAsia="仿宋_GB2312" w:cs="仿宋_GB2312"/>
          <w:sz w:val="32"/>
          <w:szCs w:val="32"/>
        </w:rPr>
        <w:t>15</w:t>
      </w:r>
      <w:r>
        <w:rPr>
          <w:rFonts w:hint="eastAsia" w:ascii="仿宋_GB2312" w:eastAsia="仿宋_GB2312" w:cs="仿宋_GB2312"/>
          <w:sz w:val="32"/>
          <w:szCs w:val="32"/>
        </w:rPr>
        <w:t>分，下设</w:t>
      </w:r>
      <w:r>
        <w:rPr>
          <w:rFonts w:ascii="仿宋_GB2312" w:eastAsia="仿宋_GB2312" w:cs="仿宋_GB2312"/>
          <w:sz w:val="32"/>
          <w:szCs w:val="32"/>
        </w:rPr>
        <w:t>1</w:t>
      </w:r>
      <w:r>
        <w:rPr>
          <w:rFonts w:hint="eastAsia" w:ascii="仿宋_GB2312" w:eastAsia="仿宋_GB2312" w:cs="仿宋_GB2312"/>
          <w:sz w:val="32"/>
          <w:szCs w:val="32"/>
        </w:rPr>
        <w:t>个二级指标：履职效率，</w:t>
      </w:r>
      <w:r>
        <w:rPr>
          <w:rFonts w:ascii="仿宋_GB2312" w:eastAsia="仿宋_GB2312" w:cs="仿宋_GB2312"/>
          <w:sz w:val="32"/>
          <w:szCs w:val="32"/>
        </w:rPr>
        <w:t>2</w:t>
      </w:r>
      <w:r>
        <w:rPr>
          <w:rFonts w:hint="eastAsia" w:ascii="仿宋_GB2312" w:eastAsia="仿宋_GB2312" w:cs="仿宋_GB2312"/>
          <w:sz w:val="32"/>
          <w:szCs w:val="32"/>
        </w:rPr>
        <w:t>个三级指标：部门整体效益和考核满意度。</w:t>
      </w:r>
    </w:p>
    <w:p>
      <w:pPr>
        <w:pStyle w:val="3"/>
        <w:spacing w:before="0" w:after="0" w:line="360" w:lineRule="auto"/>
        <w:ind w:firstLine="643" w:firstLineChars="200"/>
        <w:rPr>
          <w:rFonts w:ascii="黑体" w:cs="Tahoma"/>
        </w:rPr>
      </w:pPr>
      <w:bookmarkStart w:id="25" w:name="_Toc11842"/>
      <w:r>
        <w:rPr>
          <w:rFonts w:hint="eastAsia" w:ascii="黑体" w:cs="黑体"/>
        </w:rPr>
        <w:t>三、综合绩效评价工作情况</w:t>
      </w:r>
      <w:bookmarkEnd w:id="15"/>
      <w:bookmarkEnd w:id="24"/>
      <w:bookmarkEnd w:id="25"/>
      <w:bookmarkStart w:id="26" w:name="_Toc492652776"/>
      <w:bookmarkStart w:id="27" w:name="_Toc465149505"/>
    </w:p>
    <w:p>
      <w:pPr>
        <w:pStyle w:val="4"/>
        <w:spacing w:before="0" w:after="0"/>
        <w:ind w:firstLine="643" w:firstLineChars="200"/>
        <w:jc w:val="both"/>
        <w:rPr>
          <w:rFonts w:ascii="楷体_GB2312" w:hAnsi="宋体" w:eastAsia="楷体_GB2312" w:cs="Tahoma"/>
          <w:sz w:val="32"/>
          <w:szCs w:val="32"/>
        </w:rPr>
      </w:pPr>
      <w:bookmarkStart w:id="28" w:name="_Toc17138"/>
      <w:r>
        <w:rPr>
          <w:rFonts w:hint="eastAsia" w:ascii="楷体_GB2312" w:hAnsi="宋体" w:eastAsia="楷体_GB2312" w:cs="楷体_GB2312"/>
          <w:kern w:val="2"/>
          <w:sz w:val="32"/>
          <w:szCs w:val="32"/>
        </w:rPr>
        <w:t>（一）绩效评价目的</w:t>
      </w:r>
      <w:bookmarkEnd w:id="26"/>
      <w:bookmarkEnd w:id="27"/>
      <w:bookmarkEnd w:id="28"/>
    </w:p>
    <w:p>
      <w:pPr>
        <w:spacing w:after="0" w:line="360" w:lineRule="auto"/>
        <w:ind w:firstLine="640" w:firstLineChars="200"/>
        <w:jc w:val="both"/>
        <w:textAlignment w:val="baseline"/>
        <w:rPr>
          <w:rFonts w:ascii="仿宋_GB2312" w:eastAsia="仿宋_GB2312"/>
          <w:sz w:val="32"/>
          <w:szCs w:val="32"/>
        </w:rPr>
      </w:pPr>
      <w:bookmarkStart w:id="29" w:name="_Toc465149506"/>
      <w:bookmarkStart w:id="30" w:name="_Toc492652777"/>
      <w:r>
        <w:rPr>
          <w:rFonts w:hint="eastAsia" w:ascii="仿宋_GB2312" w:eastAsia="仿宋_GB2312" w:cs="仿宋_GB2312"/>
          <w:sz w:val="32"/>
          <w:szCs w:val="32"/>
        </w:rPr>
        <w:t>通过对区区总工会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hAnsi="宋体" w:eastAsia="楷体_GB2312" w:cs="Tahoma"/>
          <w:kern w:val="2"/>
          <w:sz w:val="32"/>
          <w:szCs w:val="32"/>
        </w:rPr>
      </w:pPr>
      <w:bookmarkStart w:id="31" w:name="_Toc11607"/>
      <w:r>
        <w:rPr>
          <w:rFonts w:hint="eastAsia" w:ascii="楷体_GB2312" w:hAnsi="宋体" w:eastAsia="楷体_GB2312" w:cs="楷体_GB2312"/>
          <w:kern w:val="2"/>
          <w:sz w:val="32"/>
          <w:szCs w:val="32"/>
        </w:rPr>
        <w:t>（二）绩效评价依据</w:t>
      </w:r>
      <w:bookmarkEnd w:id="29"/>
      <w:bookmarkEnd w:id="30"/>
      <w:bookmarkEnd w:id="31"/>
    </w:p>
    <w:p>
      <w:pPr>
        <w:spacing w:after="0" w:line="360" w:lineRule="auto"/>
        <w:ind w:firstLine="640" w:firstLineChars="200"/>
        <w:jc w:val="both"/>
        <w:textAlignment w:val="baseline"/>
        <w:rPr>
          <w:rFonts w:ascii="仿宋_GB2312" w:eastAsia="仿宋_GB2312"/>
          <w:sz w:val="32"/>
          <w:szCs w:val="32"/>
        </w:rPr>
      </w:pPr>
      <w:bookmarkStart w:id="32" w:name="_Toc465149507"/>
      <w:r>
        <w:rPr>
          <w:rFonts w:ascii="仿宋_GB2312" w:eastAsia="仿宋_GB2312" w:cs="仿宋_GB2312"/>
          <w:sz w:val="32"/>
          <w:szCs w:val="32"/>
        </w:rPr>
        <w:t>1.</w:t>
      </w:r>
      <w:r>
        <w:rPr>
          <w:rFonts w:hint="eastAsia" w:ascii="仿宋_GB2312" w:eastAsia="仿宋_GB2312" w:cs="仿宋_GB2312"/>
          <w:sz w:val="32"/>
          <w:szCs w:val="32"/>
        </w:rPr>
        <w:t>《中华人民共和国预算法》；</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中共中央国务院《关于全面实施预算绩效管理的意见》（中发〔</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34</w:t>
      </w:r>
      <w:r>
        <w:rPr>
          <w:rFonts w:hint="eastAsia" w:ascii="仿宋_GB2312" w:eastAsia="仿宋_GB2312" w:cs="仿宋_GB2312"/>
          <w:sz w:val="32"/>
          <w:szCs w:val="32"/>
        </w:rPr>
        <w:t>号）；</w:t>
      </w:r>
    </w:p>
    <w:p>
      <w:pPr>
        <w:spacing w:after="0" w:line="360" w:lineRule="auto"/>
        <w:ind w:firstLine="640" w:firstLineChars="200"/>
        <w:jc w:val="both"/>
        <w:textAlignment w:val="baseline"/>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《河北省财政支出绩效评价管理办法》（冀财预〔</w:t>
      </w:r>
      <w:r>
        <w:rPr>
          <w:rFonts w:ascii="仿宋_GB2312" w:eastAsia="仿宋_GB2312" w:cs="仿宋_GB2312"/>
          <w:sz w:val="32"/>
          <w:szCs w:val="32"/>
        </w:rPr>
        <w:t>2011</w:t>
      </w:r>
      <w:r>
        <w:rPr>
          <w:rFonts w:hint="eastAsia" w:ascii="仿宋_GB2312" w:eastAsia="仿宋_GB2312" w:cs="仿宋_GB2312"/>
          <w:sz w:val="32"/>
          <w:szCs w:val="32"/>
        </w:rPr>
        <w:t>〕</w:t>
      </w:r>
      <w:r>
        <w:rPr>
          <w:rFonts w:ascii="仿宋_GB2312" w:eastAsia="仿宋_GB2312" w:cs="仿宋_GB2312"/>
          <w:sz w:val="32"/>
          <w:szCs w:val="32"/>
        </w:rPr>
        <w:t>68</w:t>
      </w:r>
      <w:r>
        <w:rPr>
          <w:rFonts w:hint="eastAsia" w:ascii="仿宋_GB2312" w:eastAsia="仿宋_GB2312" w:cs="仿宋_GB2312"/>
          <w:sz w:val="32"/>
          <w:szCs w:val="32"/>
        </w:rPr>
        <w:t>号）；</w:t>
      </w:r>
      <w:r>
        <w:rPr>
          <w:rFonts w:ascii="仿宋_GB2312" w:eastAsia="仿宋_GB2312" w:cs="仿宋_GB2312"/>
          <w:sz w:val="32"/>
          <w:szCs w:val="32"/>
        </w:rPr>
        <w:t xml:space="preserve"> </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中共河北省委河北省人民政府《关于全面实施预算绩效管理的实施意见》（冀发〔</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54</w:t>
      </w:r>
      <w:r>
        <w:rPr>
          <w:rFonts w:hint="eastAsia" w:ascii="仿宋_GB2312" w:eastAsia="仿宋_GB2312" w:cs="仿宋_GB2312"/>
          <w:sz w:val="32"/>
          <w:szCs w:val="32"/>
        </w:rPr>
        <w:t>号）；</w:t>
      </w:r>
    </w:p>
    <w:p>
      <w:pPr>
        <w:spacing w:after="0" w:line="360" w:lineRule="auto"/>
        <w:ind w:firstLine="640" w:firstLineChars="200"/>
        <w:jc w:val="both"/>
        <w:textAlignment w:val="baseline"/>
        <w:rPr>
          <w:rFonts w:ascii="仿宋_GB2312" w:eastAsia="仿宋_GB2312"/>
          <w:sz w:val="32"/>
          <w:szCs w:val="32"/>
        </w:rPr>
      </w:pPr>
      <w:r>
        <w:rPr>
          <w:rFonts w:hint="default" w:ascii="仿宋_GB2312" w:eastAsia="仿宋_GB2312" w:cs="仿宋_GB2312"/>
          <w:sz w:val="32"/>
          <w:szCs w:val="32"/>
          <w:lang w:val="en-US"/>
        </w:rPr>
        <w:t>5</w:t>
      </w:r>
      <w:r>
        <w:rPr>
          <w:rFonts w:ascii="仿宋_GB2312" w:eastAsia="仿宋_GB2312" w:cs="仿宋_GB2312"/>
          <w:sz w:val="32"/>
          <w:szCs w:val="32"/>
        </w:rPr>
        <w:t>.</w:t>
      </w:r>
      <w:r>
        <w:rPr>
          <w:rFonts w:hint="eastAsia" w:ascii="仿宋_GB2312" w:eastAsia="仿宋_GB2312" w:cs="仿宋_GB2312"/>
          <w:sz w:val="32"/>
          <w:szCs w:val="32"/>
        </w:rPr>
        <w:t>保定市徐水区财政局《关于印发</w:t>
      </w:r>
      <w:r>
        <w:rPr>
          <w:rFonts w:ascii="仿宋_GB2312" w:eastAsia="仿宋_GB2312" w:cs="仿宋_GB2312"/>
          <w:sz w:val="32"/>
          <w:szCs w:val="32"/>
        </w:rPr>
        <w:t>&lt;</w:t>
      </w:r>
      <w:r>
        <w:rPr>
          <w:rFonts w:hint="eastAsia" w:ascii="仿宋_GB2312" w:eastAsia="仿宋_GB2312" w:cs="仿宋_GB2312"/>
          <w:sz w:val="32"/>
          <w:szCs w:val="32"/>
        </w:rPr>
        <w:t>全面实施预算绩效管理推进工作方案</w:t>
      </w:r>
      <w:r>
        <w:rPr>
          <w:rFonts w:ascii="仿宋_GB2312" w:eastAsia="仿宋_GB2312" w:cs="仿宋_GB2312"/>
          <w:sz w:val="32"/>
          <w:szCs w:val="32"/>
        </w:rPr>
        <w:t>&gt;</w:t>
      </w:r>
      <w:r>
        <w:rPr>
          <w:rFonts w:hint="eastAsia" w:ascii="仿宋_GB2312" w:eastAsia="仿宋_GB2312" w:cs="仿宋_GB2312"/>
          <w:sz w:val="32"/>
          <w:szCs w:val="32"/>
        </w:rPr>
        <w:t>的通知》（徐政财字〔</w:t>
      </w:r>
      <w:bookmarkStart w:id="77" w:name="_GoBack"/>
      <w:bookmarkEnd w:id="77"/>
      <w:r>
        <w:rPr>
          <w:rFonts w:ascii="仿宋_GB2312" w:eastAsia="仿宋_GB2312" w:cs="仿宋_GB2312"/>
          <w:sz w:val="32"/>
          <w:szCs w:val="32"/>
        </w:rPr>
        <w:t>2022</w:t>
      </w:r>
      <w:r>
        <w:rPr>
          <w:rFonts w:hint="eastAsia" w:ascii="仿宋_GB2312" w:eastAsia="仿宋_GB2312" w:cs="仿宋_GB2312"/>
          <w:sz w:val="32"/>
          <w:szCs w:val="32"/>
        </w:rPr>
        <w:t>〕</w:t>
      </w:r>
      <w:r>
        <w:rPr>
          <w:rFonts w:ascii="仿宋_GB2312" w:eastAsia="仿宋_GB2312" w:cs="仿宋_GB2312"/>
          <w:sz w:val="32"/>
          <w:szCs w:val="32"/>
        </w:rPr>
        <w:t>32</w:t>
      </w:r>
      <w:r>
        <w:rPr>
          <w:rFonts w:hint="eastAsia" w:ascii="仿宋_GB2312" w:eastAsia="仿宋_GB2312" w:cs="仿宋_GB2312"/>
          <w:sz w:val="32"/>
          <w:szCs w:val="32"/>
        </w:rPr>
        <w:t>号）；</w:t>
      </w:r>
    </w:p>
    <w:p>
      <w:pPr>
        <w:spacing w:after="0" w:line="360" w:lineRule="auto"/>
        <w:ind w:firstLine="640" w:firstLineChars="200"/>
        <w:jc w:val="both"/>
        <w:textAlignment w:val="baseline"/>
        <w:rPr>
          <w:rFonts w:ascii="仿宋_GB2312" w:eastAsia="仿宋_GB2312"/>
          <w:sz w:val="32"/>
          <w:szCs w:val="32"/>
        </w:rPr>
      </w:pPr>
      <w:r>
        <w:rPr>
          <w:rFonts w:hint="default" w:ascii="仿宋_GB2312" w:eastAsia="仿宋_GB2312" w:cs="仿宋_GB2312"/>
          <w:sz w:val="32"/>
          <w:szCs w:val="32"/>
          <w:lang w:val="en-US"/>
        </w:rPr>
        <w:t>6</w:t>
      </w:r>
      <w:r>
        <w:rPr>
          <w:rFonts w:ascii="仿宋_GB2312" w:eastAsia="仿宋_GB2312" w:cs="仿宋_GB2312"/>
          <w:sz w:val="32"/>
          <w:szCs w:val="32"/>
        </w:rPr>
        <w:t>.</w:t>
      </w:r>
      <w:r>
        <w:rPr>
          <w:rFonts w:hint="eastAsia" w:ascii="仿宋_GB2312" w:eastAsia="仿宋_GB2312" w:cs="仿宋_GB2312"/>
          <w:sz w:val="32"/>
          <w:szCs w:val="32"/>
        </w:rPr>
        <w:t>其他与部门绩效评价工作相关的文件。</w:t>
      </w:r>
      <w:bookmarkStart w:id="33" w:name="_Toc492652778"/>
    </w:p>
    <w:p>
      <w:pPr>
        <w:pStyle w:val="4"/>
        <w:spacing w:before="0" w:after="0"/>
        <w:ind w:firstLine="643" w:firstLineChars="200"/>
        <w:jc w:val="both"/>
        <w:rPr>
          <w:rFonts w:ascii="楷体_GB2312" w:hAnsi="宋体" w:eastAsia="楷体_GB2312" w:cs="Tahoma"/>
          <w:kern w:val="2"/>
          <w:sz w:val="32"/>
          <w:szCs w:val="32"/>
        </w:rPr>
      </w:pPr>
      <w:bookmarkStart w:id="34" w:name="_Toc7609"/>
      <w:r>
        <w:rPr>
          <w:rFonts w:hint="eastAsia" w:ascii="楷体_GB2312" w:hAnsi="宋体" w:eastAsia="楷体_GB2312" w:cs="楷体_GB2312"/>
          <w:kern w:val="2"/>
          <w:sz w:val="32"/>
          <w:szCs w:val="32"/>
        </w:rPr>
        <w:t>（三）绩效评价</w:t>
      </w:r>
      <w:bookmarkEnd w:id="33"/>
      <w:r>
        <w:rPr>
          <w:rFonts w:hint="eastAsia" w:ascii="楷体_GB2312" w:hAnsi="宋体" w:eastAsia="楷体_GB2312" w:cs="楷体_GB2312"/>
          <w:kern w:val="2"/>
          <w:sz w:val="32"/>
          <w:szCs w:val="32"/>
        </w:rPr>
        <w:t>内容</w:t>
      </w:r>
      <w:bookmarkEnd w:id="34"/>
    </w:p>
    <w:bookmarkEnd w:id="32"/>
    <w:p>
      <w:pPr>
        <w:spacing w:after="0" w:line="360" w:lineRule="auto"/>
        <w:ind w:firstLine="640" w:firstLineChars="200"/>
        <w:jc w:val="both"/>
        <w:textAlignment w:val="baseline"/>
        <w:rPr>
          <w:rFonts w:ascii="仿宋_GB2312" w:eastAsia="仿宋_GB2312"/>
          <w:sz w:val="32"/>
          <w:szCs w:val="32"/>
        </w:rPr>
      </w:pPr>
      <w:bookmarkStart w:id="35" w:name="_Toc465149508"/>
      <w:bookmarkStart w:id="36" w:name="_Toc492652779"/>
      <w:r>
        <w:rPr>
          <w:rFonts w:hint="eastAsia" w:ascii="仿宋_GB2312" w:eastAsia="仿宋_GB2312" w:cs="仿宋_GB2312"/>
          <w:sz w:val="32"/>
          <w:szCs w:val="32"/>
        </w:rPr>
        <w:t>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hAnsi="宋体" w:eastAsia="楷体_GB2312" w:cs="Tahoma"/>
          <w:kern w:val="2"/>
          <w:sz w:val="32"/>
          <w:szCs w:val="32"/>
        </w:rPr>
      </w:pPr>
      <w:bookmarkStart w:id="37" w:name="_Toc789"/>
      <w:r>
        <w:rPr>
          <w:rFonts w:hint="eastAsia" w:ascii="楷体_GB2312" w:hAnsi="宋体" w:eastAsia="楷体_GB2312" w:cs="楷体_GB2312"/>
          <w:kern w:val="2"/>
          <w:sz w:val="32"/>
          <w:szCs w:val="32"/>
        </w:rPr>
        <w:t>（四）绩效评价原则</w:t>
      </w:r>
      <w:bookmarkEnd w:id="37"/>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hAnsi="宋体" w:eastAsia="楷体_GB2312" w:cs="Tahoma"/>
          <w:kern w:val="2"/>
          <w:sz w:val="32"/>
          <w:szCs w:val="32"/>
        </w:rPr>
      </w:pPr>
      <w:bookmarkStart w:id="38" w:name="_Toc8171"/>
      <w:r>
        <w:rPr>
          <w:rFonts w:hint="eastAsia" w:ascii="楷体_GB2312" w:hAnsi="宋体" w:eastAsia="楷体_GB2312" w:cs="楷体_GB2312"/>
          <w:kern w:val="2"/>
          <w:sz w:val="32"/>
          <w:szCs w:val="32"/>
        </w:rPr>
        <w:t>（五）</w:t>
      </w:r>
      <w:bookmarkEnd w:id="35"/>
      <w:bookmarkStart w:id="39" w:name="_Toc465149509"/>
      <w:r>
        <w:rPr>
          <w:rFonts w:hint="eastAsia" w:ascii="楷体_GB2312" w:hAnsi="宋体" w:eastAsia="楷体_GB2312" w:cs="楷体_GB2312"/>
          <w:kern w:val="2"/>
          <w:sz w:val="32"/>
          <w:szCs w:val="32"/>
        </w:rPr>
        <w:t>绩效评价方法</w:t>
      </w:r>
      <w:bookmarkEnd w:id="36"/>
      <w:bookmarkEnd w:id="38"/>
      <w:bookmarkEnd w:id="39"/>
    </w:p>
    <w:p>
      <w:pPr>
        <w:spacing w:after="0" w:line="360" w:lineRule="auto"/>
        <w:ind w:firstLine="640" w:firstLineChars="200"/>
        <w:jc w:val="both"/>
        <w:textAlignment w:val="baseline"/>
        <w:rPr>
          <w:rFonts w:ascii="仿宋_GB2312" w:eastAsia="仿宋_GB2312"/>
          <w:sz w:val="32"/>
          <w:szCs w:val="32"/>
        </w:rPr>
      </w:pPr>
      <w:bookmarkStart w:id="40" w:name="_Toc422314152"/>
      <w:bookmarkStart w:id="41" w:name="_Toc421623217"/>
      <w:bookmarkStart w:id="42" w:name="_Toc465149510"/>
      <w:bookmarkStart w:id="43" w:name="_Toc492652780"/>
      <w:r>
        <w:rPr>
          <w:rFonts w:hint="eastAsia" w:ascii="仿宋_GB2312" w:eastAsia="仿宋_GB2312" w:cs="仿宋_GB2312"/>
          <w:sz w:val="32"/>
          <w:szCs w:val="32"/>
        </w:rPr>
        <w:t>本次评价采取目标比较法、定量和定性评价相结合和综合评价相结合的方式，运用审查、询问查证和问卷调查等方法开展绩效评价工作。</w:t>
      </w:r>
      <w:bookmarkEnd w:id="40"/>
      <w:bookmarkEnd w:id="41"/>
    </w:p>
    <w:p>
      <w:pPr>
        <w:spacing w:after="0" w:line="360" w:lineRule="auto"/>
        <w:ind w:firstLine="640" w:firstLineChars="200"/>
        <w:jc w:val="both"/>
        <w:textAlignment w:val="baseline"/>
        <w:rPr>
          <w:rFonts w:ascii="仿宋_GB2312" w:eastAsia="仿宋_GB2312"/>
          <w:sz w:val="32"/>
          <w:szCs w:val="32"/>
        </w:rPr>
      </w:pPr>
      <w:bookmarkStart w:id="44" w:name="_Toc421623218"/>
      <w:bookmarkStart w:id="45" w:name="_Toc422314153"/>
      <w:r>
        <w:rPr>
          <w:rFonts w:ascii="仿宋_GB2312" w:eastAsia="仿宋_GB2312" w:cs="仿宋_GB2312"/>
          <w:sz w:val="32"/>
          <w:szCs w:val="32"/>
        </w:rPr>
        <w:t>1.</w:t>
      </w:r>
      <w:r>
        <w:rPr>
          <w:rFonts w:hint="eastAsia" w:ascii="仿宋_GB2312" w:eastAsia="仿宋_GB2312" w:cs="仿宋_GB2312"/>
          <w:sz w:val="32"/>
          <w:szCs w:val="32"/>
        </w:rPr>
        <w:t>审查法：通过审查被评价单位的预算文本、决算文本、会计账簿、支出凭证、项目完成情况等相关资料，分析资金收支的合理性和合规性、预算执行及管理情况、绩效目标和指标的设置及完成情况、部门整体效益。</w:t>
      </w:r>
      <w:bookmarkEnd w:id="44"/>
      <w:bookmarkEnd w:id="45"/>
    </w:p>
    <w:p>
      <w:pPr>
        <w:spacing w:after="0" w:line="360" w:lineRule="auto"/>
        <w:ind w:firstLine="640" w:firstLineChars="200"/>
        <w:jc w:val="both"/>
        <w:textAlignment w:val="baseline"/>
        <w:rPr>
          <w:rFonts w:ascii="仿宋_GB2312" w:eastAsia="仿宋_GB2312"/>
          <w:sz w:val="32"/>
          <w:szCs w:val="32"/>
        </w:rPr>
      </w:pPr>
      <w:bookmarkStart w:id="46" w:name="_Toc421623220"/>
      <w:bookmarkStart w:id="47" w:name="_Toc422314155"/>
      <w:r>
        <w:rPr>
          <w:rFonts w:ascii="仿宋_GB2312" w:eastAsia="仿宋_GB2312" w:cs="仿宋_GB2312"/>
          <w:sz w:val="32"/>
          <w:szCs w:val="32"/>
        </w:rPr>
        <w:t>2.</w:t>
      </w:r>
      <w:r>
        <w:rPr>
          <w:rFonts w:hint="eastAsia" w:ascii="仿宋_GB2312" w:eastAsia="仿宋_GB2312" w:cs="仿宋_GB2312"/>
          <w:sz w:val="32"/>
          <w:szCs w:val="32"/>
        </w:rPr>
        <w:t>询问查证法：在比较分析相关资料的基础上，通过询问的形式，核查项目资料是否真实、合理，从而对部门整体支出情况作出初步的判断和评价。</w:t>
      </w:r>
      <w:bookmarkEnd w:id="46"/>
      <w:bookmarkEnd w:id="47"/>
    </w:p>
    <w:p>
      <w:pPr>
        <w:spacing w:after="0" w:line="360" w:lineRule="auto"/>
        <w:ind w:firstLine="640" w:firstLineChars="200"/>
        <w:jc w:val="both"/>
        <w:textAlignment w:val="baseline"/>
        <w:rPr>
          <w:rFonts w:ascii="仿宋_GB2312" w:eastAsia="仿宋_GB2312"/>
          <w:sz w:val="32"/>
          <w:szCs w:val="32"/>
        </w:rPr>
      </w:pPr>
      <w:bookmarkStart w:id="48" w:name="_Toc421623221"/>
      <w:bookmarkStart w:id="49" w:name="_Toc422314156"/>
      <w:r>
        <w:rPr>
          <w:rFonts w:ascii="仿宋_GB2312" w:eastAsia="仿宋_GB2312" w:cs="仿宋_GB2312"/>
          <w:sz w:val="32"/>
          <w:szCs w:val="32"/>
        </w:rPr>
        <w:t>3.</w:t>
      </w:r>
      <w:r>
        <w:rPr>
          <w:rFonts w:hint="eastAsia" w:ascii="仿宋_GB2312" w:eastAsia="仿宋_GB2312" w:cs="仿宋_GB2312"/>
          <w:sz w:val="32"/>
          <w:szCs w:val="32"/>
        </w:rPr>
        <w:t>问卷调查法：通过设计调查问卷，在一定范围内随机发放，并收集分析调查问卷，对财政支出的效果进行评价，了解服务对象对部门履职效果的满意程度。</w:t>
      </w:r>
      <w:bookmarkEnd w:id="48"/>
      <w:bookmarkEnd w:id="49"/>
      <w:bookmarkStart w:id="50" w:name="_Toc20821"/>
    </w:p>
    <w:p>
      <w:pPr>
        <w:spacing w:after="0" w:line="360" w:lineRule="auto"/>
        <w:ind w:firstLine="643" w:firstLineChars="200"/>
        <w:jc w:val="both"/>
        <w:textAlignment w:val="baseline"/>
        <w:rPr>
          <w:rFonts w:ascii="楷体_GB2312" w:hAnsi="宋体" w:eastAsia="楷体_GB2312"/>
          <w:b/>
          <w:bCs/>
          <w:kern w:val="2"/>
          <w:sz w:val="32"/>
          <w:szCs w:val="32"/>
        </w:rPr>
      </w:pPr>
      <w:r>
        <w:rPr>
          <w:rFonts w:hint="eastAsia" w:ascii="楷体_GB2312" w:hAnsi="宋体" w:eastAsia="楷体_GB2312" w:cs="楷体_GB2312"/>
          <w:b/>
          <w:bCs/>
          <w:kern w:val="2"/>
          <w:sz w:val="32"/>
          <w:szCs w:val="32"/>
        </w:rPr>
        <w:t>（六）绩效评价工作过程</w:t>
      </w:r>
      <w:bookmarkEnd w:id="42"/>
      <w:bookmarkEnd w:id="43"/>
      <w:bookmarkEnd w:id="50"/>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前期准备阶段</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经与区总工会充分沟通，并充分收集相关资料，主要包括部门职责、工作活动、预决算文本、相关管理制度、资金使用等相关资料，为制定绩效评价实施方案和指标体系奠定了基础。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制定绩效评价实施方案和体系</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基于对区总工会相关资料的收集，制定绩效评价实施方案和体系</w:t>
      </w:r>
      <w:r>
        <w:rPr>
          <w:rFonts w:ascii="仿宋_GB2312" w:eastAsia="仿宋_GB2312" w:cs="仿宋_GB2312"/>
          <w:sz w:val="32"/>
          <w:szCs w:val="32"/>
        </w:rPr>
        <w:t>,</w:t>
      </w:r>
      <w:r>
        <w:rPr>
          <w:rFonts w:hint="eastAsia" w:ascii="仿宋_GB2312" w:eastAsia="仿宋_GB2312" w:cs="仿宋_GB2312"/>
          <w:sz w:val="32"/>
          <w:szCs w:val="32"/>
        </w:rPr>
        <w:t>确定最终方案。</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组织实施阶段</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绩效评价实施方案和指标体系，对区总工会开展评价工作，包括查看预决算文本及部门工作活动绩效目标和指标；比对预决算的调整及执行情况；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撰写绩效评价报告</w:t>
      </w:r>
      <w:bookmarkStart w:id="51" w:name="_Toc492652781"/>
      <w:bookmarkStart w:id="52" w:name="_Toc465149511"/>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在完成对各评价指标评分定级的基础上，开始进行报告撰写工作。</w:t>
      </w:r>
    </w:p>
    <w:p>
      <w:pPr>
        <w:pStyle w:val="3"/>
        <w:spacing w:before="0" w:after="0" w:line="360" w:lineRule="auto"/>
        <w:ind w:firstLine="643" w:firstLineChars="200"/>
        <w:rPr>
          <w:rFonts w:ascii="黑体" w:cs="Tahoma"/>
        </w:rPr>
      </w:pPr>
      <w:bookmarkStart w:id="53" w:name="_Toc6467"/>
      <w:r>
        <w:rPr>
          <w:rFonts w:hint="eastAsia" w:ascii="黑体" w:cs="黑体"/>
        </w:rPr>
        <w:t>四、</w:t>
      </w:r>
      <w:bookmarkEnd w:id="51"/>
      <w:bookmarkEnd w:id="52"/>
      <w:bookmarkStart w:id="54" w:name="_Toc492652782"/>
      <w:r>
        <w:rPr>
          <w:rFonts w:hint="eastAsia" w:ascii="黑体" w:cs="黑体"/>
        </w:rPr>
        <w:t>绩效评价评分情况</w:t>
      </w:r>
      <w:bookmarkEnd w:id="53"/>
    </w:p>
    <w:bookmarkEnd w:id="54"/>
    <w:p>
      <w:pPr>
        <w:spacing w:after="0" w:line="360" w:lineRule="auto"/>
        <w:ind w:firstLine="640" w:firstLineChars="200"/>
        <w:jc w:val="both"/>
        <w:textAlignment w:val="baseline"/>
        <w:rPr>
          <w:rFonts w:ascii="仿宋_GB2312" w:hAnsi="宋体" w:eastAsia="仿宋_GB2312" w:cs="仿宋_GB2312"/>
          <w:sz w:val="32"/>
          <w:szCs w:val="32"/>
          <w:u w:color="000000"/>
        </w:rPr>
      </w:pPr>
      <w:r>
        <w:rPr>
          <w:rFonts w:hint="eastAsia" w:ascii="仿宋_GB2312" w:eastAsia="仿宋_GB2312" w:cs="仿宋_GB2312"/>
          <w:sz w:val="32"/>
          <w:szCs w:val="32"/>
        </w:rPr>
        <w:t>区总工会部门整体支出绩效评价总得分96分，综合绩效评价等级为“优”。各项得分情况如下</w:t>
      </w:r>
      <w:r>
        <w:rPr>
          <w:rFonts w:hint="eastAsia" w:ascii="仿宋_GB2312" w:hAnsi="宋体" w:eastAsia="仿宋_GB2312" w:cs="仿宋_GB2312"/>
          <w:sz w:val="32"/>
          <w:szCs w:val="32"/>
          <w:u w:color="000000"/>
        </w:rPr>
        <w:t>：</w:t>
      </w:r>
      <w:r>
        <w:rPr>
          <w:rFonts w:ascii="仿宋_GB2312" w:hAnsi="宋体" w:eastAsia="仿宋_GB2312" w:cs="仿宋_GB2312"/>
          <w:sz w:val="32"/>
          <w:szCs w:val="32"/>
          <w:u w:color="000000"/>
        </w:rPr>
        <w:t xml:space="preserve"> </w:t>
      </w:r>
    </w:p>
    <w:p>
      <w:pPr>
        <w:pStyle w:val="4"/>
        <w:spacing w:before="0" w:after="0"/>
        <w:ind w:firstLine="643" w:firstLineChars="200"/>
        <w:jc w:val="both"/>
        <w:rPr>
          <w:rFonts w:ascii="楷体_GB2312" w:hAnsi="宋体" w:eastAsia="楷体_GB2312" w:cs="Tahoma"/>
          <w:kern w:val="2"/>
          <w:sz w:val="32"/>
          <w:szCs w:val="32"/>
        </w:rPr>
      </w:pPr>
      <w:bookmarkStart w:id="55" w:name="_Toc492652783"/>
      <w:bookmarkStart w:id="56" w:name="_Toc4390"/>
      <w:r>
        <w:rPr>
          <w:rFonts w:hint="eastAsia" w:ascii="楷体_GB2312" w:hAnsi="宋体" w:eastAsia="楷体_GB2312" w:cs="楷体_GB2312"/>
          <w:kern w:val="2"/>
          <w:sz w:val="32"/>
          <w:szCs w:val="32"/>
        </w:rPr>
        <w:t>（一）</w:t>
      </w:r>
      <w:bookmarkEnd w:id="55"/>
      <w:r>
        <w:rPr>
          <w:rFonts w:hint="eastAsia" w:ascii="楷体_GB2312" w:hAnsi="宋体" w:eastAsia="楷体_GB2312" w:cs="楷体_GB2312"/>
          <w:kern w:val="2"/>
          <w:sz w:val="32"/>
          <w:szCs w:val="32"/>
        </w:rPr>
        <w:t>投入（</w:t>
      </w:r>
      <w:r>
        <w:rPr>
          <w:rFonts w:ascii="楷体_GB2312" w:hAnsi="宋体" w:eastAsia="楷体_GB2312" w:cs="楷体_GB2312"/>
          <w:kern w:val="2"/>
          <w:sz w:val="32"/>
          <w:szCs w:val="32"/>
        </w:rPr>
        <w:t>12</w:t>
      </w:r>
      <w:r>
        <w:rPr>
          <w:rFonts w:hint="eastAsia" w:ascii="楷体_GB2312" w:hAnsi="宋体" w:eastAsia="楷体_GB2312" w:cs="楷体_GB2312"/>
          <w:kern w:val="2"/>
          <w:sz w:val="32"/>
          <w:szCs w:val="32"/>
        </w:rPr>
        <w:t>分）</w:t>
      </w:r>
      <w:bookmarkEnd w:id="56"/>
    </w:p>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eastAsia="仿宋_GB2312" w:cs="仿宋_GB2312"/>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hAnsi="宋体" w:eastAsia="仿宋_GB2312"/>
          <w:sz w:val="32"/>
          <w:szCs w:val="32"/>
          <w:u w:color="000000"/>
        </w:rPr>
        <w:tab/>
      </w:r>
    </w:p>
    <w:p>
      <w:pPr>
        <w:spacing w:after="0" w:line="360" w:lineRule="auto"/>
        <w:jc w:val="center"/>
        <w:textAlignment w:val="baseline"/>
        <w:rPr>
          <w:rFonts w:hint="eastAsia" w:ascii="宋体" w:hAnsi="宋体" w:eastAsia="宋体" w:cs="宋体"/>
          <w:b/>
          <w:bCs/>
          <w:sz w:val="32"/>
          <w:szCs w:val="32"/>
          <w:u w:color="000000"/>
        </w:rPr>
      </w:pPr>
    </w:p>
    <w:p>
      <w:pPr>
        <w:spacing w:after="0" w:line="360" w:lineRule="auto"/>
        <w:jc w:val="center"/>
        <w:textAlignment w:val="baseline"/>
        <w:rPr>
          <w:rFonts w:hint="eastAsia" w:ascii="宋体" w:hAnsi="宋体" w:eastAsia="宋体" w:cs="宋体"/>
          <w:b/>
          <w:bCs/>
          <w:sz w:val="32"/>
          <w:szCs w:val="32"/>
          <w:u w:color="000000"/>
        </w:rPr>
      </w:pPr>
    </w:p>
    <w:p>
      <w:pPr>
        <w:spacing w:after="0" w:line="360" w:lineRule="auto"/>
        <w:jc w:val="center"/>
        <w:textAlignment w:val="baseline"/>
        <w:rPr>
          <w:rFonts w:hint="eastAsia" w:ascii="宋体" w:hAnsi="宋体" w:eastAsia="宋体" w:cs="宋体"/>
          <w:b/>
          <w:bCs/>
          <w:sz w:val="32"/>
          <w:szCs w:val="32"/>
          <w:u w:color="000000"/>
        </w:rPr>
      </w:pPr>
    </w:p>
    <w:p>
      <w:pPr>
        <w:spacing w:after="0" w:line="360" w:lineRule="auto"/>
        <w:jc w:val="center"/>
        <w:textAlignment w:val="baseline"/>
        <w:rPr>
          <w:rFonts w:ascii="宋体" w:hAnsi="宋体" w:eastAsia="宋体"/>
          <w:b/>
          <w:bCs/>
          <w:sz w:val="32"/>
          <w:szCs w:val="32"/>
          <w:u w:color="000000"/>
        </w:rPr>
      </w:pPr>
      <w:r>
        <w:rPr>
          <w:rFonts w:hint="eastAsia" w:ascii="宋体" w:hAnsi="宋体" w:eastAsia="宋体" w:cs="宋体"/>
          <w:b/>
          <w:bCs/>
          <w:sz w:val="32"/>
          <w:szCs w:val="32"/>
          <w:u w:color="000000"/>
        </w:rPr>
        <w:t>表</w:t>
      </w:r>
      <w:r>
        <w:rPr>
          <w:rFonts w:ascii="宋体" w:hAnsi="宋体" w:eastAsia="宋体" w:cs="宋体"/>
          <w:b/>
          <w:bCs/>
          <w:sz w:val="32"/>
          <w:szCs w:val="32"/>
          <w:u w:color="000000"/>
        </w:rPr>
        <w:t xml:space="preserve">2  </w:t>
      </w:r>
      <w:r>
        <w:rPr>
          <w:rFonts w:hint="eastAsia" w:ascii="宋体" w:hAnsi="宋体" w:eastAsia="宋体" w:cs="宋体"/>
          <w:b/>
          <w:bCs/>
          <w:sz w:val="32"/>
          <w:szCs w:val="32"/>
          <w:u w:color="000000"/>
        </w:rPr>
        <w:t>投入指标及得分情况表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59" w:type="dxa"/>
            <w:vAlign w:val="center"/>
          </w:tcPr>
          <w:p>
            <w:pPr>
              <w:spacing w:line="420" w:lineRule="exact"/>
              <w:jc w:val="center"/>
              <w:rPr>
                <w:rFonts w:ascii="宋体" w:hAnsi="宋体" w:eastAsia="宋体"/>
                <w:b/>
                <w:bCs/>
                <w:sz w:val="21"/>
                <w:szCs w:val="21"/>
              </w:rPr>
            </w:pPr>
            <w:r>
              <w:rPr>
                <w:rFonts w:hint="eastAsia" w:ascii="宋体" w:hAnsi="宋体" w:eastAsia="宋体" w:cs="宋体"/>
                <w:b/>
                <w:bCs/>
                <w:sz w:val="21"/>
                <w:szCs w:val="21"/>
              </w:rPr>
              <w:t>一级指标</w:t>
            </w:r>
          </w:p>
        </w:tc>
        <w:tc>
          <w:tcPr>
            <w:tcW w:w="1418" w:type="dxa"/>
            <w:vAlign w:val="center"/>
          </w:tcPr>
          <w:p>
            <w:pPr>
              <w:spacing w:line="420" w:lineRule="exact"/>
              <w:jc w:val="center"/>
              <w:rPr>
                <w:rFonts w:ascii="宋体" w:hAnsi="宋体" w:eastAsia="宋体"/>
                <w:b/>
                <w:bCs/>
                <w:sz w:val="21"/>
                <w:szCs w:val="21"/>
              </w:rPr>
            </w:pPr>
            <w:r>
              <w:rPr>
                <w:rFonts w:hint="eastAsia" w:ascii="宋体" w:hAnsi="宋体" w:eastAsia="宋体" w:cs="宋体"/>
                <w:b/>
                <w:bCs/>
                <w:sz w:val="21"/>
                <w:szCs w:val="21"/>
              </w:rPr>
              <w:t>二级指标</w:t>
            </w:r>
          </w:p>
        </w:tc>
        <w:tc>
          <w:tcPr>
            <w:tcW w:w="1701" w:type="dxa"/>
            <w:vAlign w:val="center"/>
          </w:tcPr>
          <w:p>
            <w:pPr>
              <w:spacing w:line="420" w:lineRule="exact"/>
              <w:jc w:val="center"/>
              <w:rPr>
                <w:rFonts w:ascii="宋体" w:hAnsi="宋体" w:eastAsia="宋体"/>
                <w:b/>
                <w:bCs/>
                <w:sz w:val="21"/>
                <w:szCs w:val="21"/>
              </w:rPr>
            </w:pPr>
            <w:r>
              <w:rPr>
                <w:rFonts w:hint="eastAsia" w:ascii="宋体" w:hAnsi="宋体" w:eastAsia="宋体" w:cs="宋体"/>
                <w:b/>
                <w:bCs/>
                <w:sz w:val="21"/>
                <w:szCs w:val="21"/>
              </w:rPr>
              <w:t>三级指标</w:t>
            </w:r>
          </w:p>
        </w:tc>
        <w:tc>
          <w:tcPr>
            <w:tcW w:w="1276" w:type="dxa"/>
            <w:vAlign w:val="center"/>
          </w:tcPr>
          <w:p>
            <w:pPr>
              <w:spacing w:line="420" w:lineRule="exact"/>
              <w:jc w:val="center"/>
              <w:rPr>
                <w:rFonts w:ascii="宋体" w:hAnsi="宋体" w:eastAsia="宋体"/>
                <w:b/>
                <w:bCs/>
                <w:sz w:val="21"/>
                <w:szCs w:val="21"/>
              </w:rPr>
            </w:pPr>
            <w:r>
              <w:rPr>
                <w:rFonts w:hint="eastAsia" w:ascii="宋体" w:hAnsi="宋体" w:eastAsia="宋体" w:cs="宋体"/>
                <w:b/>
                <w:bCs/>
                <w:sz w:val="21"/>
                <w:szCs w:val="21"/>
              </w:rPr>
              <w:t>分值权重</w:t>
            </w:r>
          </w:p>
        </w:tc>
        <w:tc>
          <w:tcPr>
            <w:tcW w:w="1134" w:type="dxa"/>
            <w:vAlign w:val="center"/>
          </w:tcPr>
          <w:p>
            <w:pPr>
              <w:spacing w:line="420" w:lineRule="exact"/>
              <w:jc w:val="center"/>
              <w:rPr>
                <w:rFonts w:ascii="宋体" w:hAnsi="宋体" w:eastAsia="宋体"/>
                <w:b/>
                <w:bCs/>
                <w:sz w:val="21"/>
                <w:szCs w:val="21"/>
              </w:rPr>
            </w:pPr>
            <w:r>
              <w:rPr>
                <w:rFonts w:hint="eastAsia" w:ascii="宋体" w:hAnsi="宋体" w:eastAsia="宋体" w:cs="宋体"/>
                <w:b/>
                <w:bCs/>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59" w:type="dxa"/>
            <w:vMerge w:val="restart"/>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投入</w:t>
            </w:r>
          </w:p>
          <w:p>
            <w:pPr>
              <w:spacing w:line="420" w:lineRule="exact"/>
              <w:jc w:val="center"/>
              <w:rPr>
                <w:rFonts w:ascii="宋体" w:hAnsi="宋体" w:eastAsia="宋体"/>
                <w:sz w:val="21"/>
                <w:szCs w:val="21"/>
                <w:highlight w:val="yellow"/>
              </w:rPr>
            </w:pPr>
            <w:r>
              <w:rPr>
                <w:rFonts w:hint="eastAsia" w:ascii="宋体" w:hAnsi="宋体" w:eastAsia="宋体" w:cs="宋体"/>
                <w:sz w:val="21"/>
                <w:szCs w:val="21"/>
              </w:rPr>
              <w:t>（</w:t>
            </w:r>
            <w:r>
              <w:rPr>
                <w:rFonts w:ascii="宋体" w:hAnsi="宋体" w:eastAsia="宋体" w:cs="宋体"/>
                <w:sz w:val="21"/>
                <w:szCs w:val="21"/>
              </w:rPr>
              <w:t>12</w:t>
            </w:r>
            <w:r>
              <w:rPr>
                <w:rFonts w:hint="eastAsia" w:ascii="宋体" w:hAnsi="宋体" w:eastAsia="宋体" w:cs="宋体"/>
                <w:sz w:val="21"/>
                <w:szCs w:val="21"/>
              </w:rPr>
              <w:t>分）</w:t>
            </w:r>
          </w:p>
        </w:tc>
        <w:tc>
          <w:tcPr>
            <w:tcW w:w="1418" w:type="dxa"/>
            <w:vMerge w:val="restart"/>
            <w:vAlign w:val="center"/>
          </w:tcPr>
          <w:p>
            <w:pPr>
              <w:spacing w:line="420" w:lineRule="exact"/>
              <w:jc w:val="center"/>
              <w:rPr>
                <w:rFonts w:ascii="宋体" w:hAnsi="宋体" w:eastAsia="宋体"/>
                <w:sz w:val="21"/>
                <w:szCs w:val="21"/>
                <w:highlight w:val="yellow"/>
              </w:rPr>
            </w:pPr>
            <w:r>
              <w:rPr>
                <w:rFonts w:hint="eastAsia" w:ascii="宋体" w:hAnsi="宋体" w:eastAsia="宋体" w:cs="宋体"/>
                <w:sz w:val="21"/>
                <w:szCs w:val="21"/>
              </w:rPr>
              <w:t>绩效目标设定（</w:t>
            </w:r>
            <w:r>
              <w:rPr>
                <w:rFonts w:ascii="宋体" w:hAnsi="宋体" w:eastAsia="宋体" w:cs="宋体"/>
                <w:sz w:val="21"/>
                <w:szCs w:val="21"/>
              </w:rPr>
              <w:t>6</w:t>
            </w:r>
            <w:r>
              <w:rPr>
                <w:rFonts w:hint="eastAsia" w:ascii="宋体" w:hAnsi="宋体" w:eastAsia="宋体" w:cs="宋体"/>
                <w:sz w:val="21"/>
                <w:szCs w:val="21"/>
              </w:rPr>
              <w:t>分）</w:t>
            </w:r>
          </w:p>
        </w:tc>
        <w:tc>
          <w:tcPr>
            <w:tcW w:w="1701"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绩效目标合理性</w:t>
            </w:r>
          </w:p>
        </w:tc>
        <w:tc>
          <w:tcPr>
            <w:tcW w:w="1276"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pPr>
              <w:spacing w:line="420" w:lineRule="exact"/>
              <w:jc w:val="center"/>
              <w:rPr>
                <w:rFonts w:ascii="宋体" w:hAnsi="宋体" w:eastAsia="宋体"/>
                <w:sz w:val="21"/>
                <w:szCs w:val="21"/>
              </w:rPr>
            </w:pPr>
            <w:r>
              <w:rPr>
                <w:rFonts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59"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418"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701"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绩效目标科学性</w:t>
            </w:r>
          </w:p>
        </w:tc>
        <w:tc>
          <w:tcPr>
            <w:tcW w:w="1276"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pPr>
              <w:spacing w:line="420" w:lineRule="exact"/>
              <w:jc w:val="center"/>
              <w:rPr>
                <w:rFonts w:ascii="宋体" w:hAnsi="宋体" w:eastAsia="宋体"/>
                <w:sz w:val="21"/>
                <w:szCs w:val="21"/>
              </w:rPr>
            </w:pPr>
            <w:r>
              <w:rPr>
                <w:rFonts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59"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418"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701"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绩效指标明确性</w:t>
            </w:r>
          </w:p>
        </w:tc>
        <w:tc>
          <w:tcPr>
            <w:tcW w:w="1276"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pPr>
              <w:spacing w:line="420" w:lineRule="exact"/>
              <w:jc w:val="center"/>
              <w:rPr>
                <w:rFonts w:ascii="宋体" w:hAnsi="宋体" w:eastAsia="宋体"/>
                <w:sz w:val="21"/>
                <w:szCs w:val="21"/>
              </w:rPr>
            </w:pPr>
            <w:r>
              <w:rPr>
                <w:rFonts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59"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418" w:type="dxa"/>
            <w:vMerge w:val="restart"/>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预算配置</w:t>
            </w:r>
          </w:p>
          <w:p>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分）</w:t>
            </w:r>
          </w:p>
        </w:tc>
        <w:tc>
          <w:tcPr>
            <w:tcW w:w="1701"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预算编制完整性</w:t>
            </w:r>
          </w:p>
        </w:tc>
        <w:tc>
          <w:tcPr>
            <w:tcW w:w="1276"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pPr>
              <w:spacing w:line="420" w:lineRule="exact"/>
              <w:jc w:val="center"/>
              <w:rPr>
                <w:rFonts w:ascii="宋体" w:hAnsi="宋体" w:eastAsia="宋体"/>
                <w:sz w:val="21"/>
                <w:szCs w:val="21"/>
              </w:rPr>
            </w:pPr>
            <w:r>
              <w:rPr>
                <w:rFonts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59"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418"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701"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项目预算细化率</w:t>
            </w:r>
          </w:p>
        </w:tc>
        <w:tc>
          <w:tcPr>
            <w:tcW w:w="1276"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pPr>
              <w:spacing w:line="420" w:lineRule="exact"/>
              <w:jc w:val="center"/>
              <w:rPr>
                <w:rFonts w:ascii="宋体" w:hAnsi="宋体" w:eastAsia="宋体"/>
                <w:sz w:val="21"/>
                <w:szCs w:val="21"/>
              </w:rPr>
            </w:pPr>
            <w:r>
              <w:rPr>
                <w:rFonts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59"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418" w:type="dxa"/>
            <w:vMerge w:val="continue"/>
            <w:vAlign w:val="center"/>
          </w:tcPr>
          <w:p>
            <w:pPr>
              <w:spacing w:line="420" w:lineRule="exact"/>
              <w:ind w:firstLine="420" w:firstLineChars="200"/>
              <w:jc w:val="center"/>
              <w:rPr>
                <w:rFonts w:ascii="宋体" w:hAnsi="宋体" w:eastAsia="宋体"/>
                <w:sz w:val="21"/>
                <w:szCs w:val="21"/>
                <w:highlight w:val="yellow"/>
              </w:rPr>
            </w:pPr>
          </w:p>
        </w:tc>
        <w:tc>
          <w:tcPr>
            <w:tcW w:w="1701"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在职人员控制率</w:t>
            </w:r>
          </w:p>
        </w:tc>
        <w:tc>
          <w:tcPr>
            <w:tcW w:w="1276"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134" w:type="dxa"/>
            <w:vAlign w:val="center"/>
          </w:tcPr>
          <w:p>
            <w:pPr>
              <w:spacing w:line="420" w:lineRule="exact"/>
              <w:jc w:val="center"/>
              <w:rPr>
                <w:rFonts w:ascii="宋体" w:hAnsi="宋体" w:eastAsia="宋体"/>
                <w:sz w:val="21"/>
                <w:szCs w:val="21"/>
              </w:rPr>
            </w:pPr>
            <w:r>
              <w:rPr>
                <w:rFonts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977" w:type="dxa"/>
            <w:gridSpan w:val="2"/>
            <w:vAlign w:val="center"/>
          </w:tcPr>
          <w:p>
            <w:pPr>
              <w:spacing w:line="420" w:lineRule="exact"/>
              <w:ind w:firstLine="420" w:firstLineChars="200"/>
              <w:jc w:val="center"/>
              <w:rPr>
                <w:rFonts w:ascii="宋体" w:hAnsi="宋体" w:eastAsia="宋体"/>
                <w:sz w:val="21"/>
                <w:szCs w:val="21"/>
                <w:highlight w:val="yellow"/>
              </w:rPr>
            </w:pPr>
            <w:r>
              <w:rPr>
                <w:rFonts w:hint="eastAsia" w:ascii="宋体" w:hAnsi="宋体" w:eastAsia="宋体" w:cs="宋体"/>
                <w:sz w:val="21"/>
                <w:szCs w:val="21"/>
              </w:rPr>
              <w:t>合计</w:t>
            </w:r>
          </w:p>
        </w:tc>
        <w:tc>
          <w:tcPr>
            <w:tcW w:w="1701" w:type="dxa"/>
            <w:vAlign w:val="center"/>
          </w:tcPr>
          <w:p>
            <w:pPr>
              <w:spacing w:line="420" w:lineRule="exact"/>
              <w:ind w:firstLine="420" w:firstLineChars="200"/>
              <w:jc w:val="center"/>
              <w:rPr>
                <w:rFonts w:ascii="宋体" w:hAnsi="宋体" w:eastAsia="宋体"/>
                <w:sz w:val="21"/>
                <w:szCs w:val="21"/>
                <w:highlight w:val="yellow"/>
              </w:rPr>
            </w:pPr>
          </w:p>
        </w:tc>
        <w:tc>
          <w:tcPr>
            <w:tcW w:w="1276"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12</w:t>
            </w:r>
          </w:p>
        </w:tc>
        <w:tc>
          <w:tcPr>
            <w:tcW w:w="1134" w:type="dxa"/>
            <w:vAlign w:val="center"/>
          </w:tcPr>
          <w:p>
            <w:pPr>
              <w:spacing w:line="420" w:lineRule="exact"/>
              <w:jc w:val="center"/>
              <w:rPr>
                <w:rFonts w:ascii="宋体" w:hAnsi="宋体" w:eastAsia="宋体"/>
                <w:color w:val="FF0000"/>
                <w:sz w:val="21"/>
                <w:szCs w:val="21"/>
              </w:rPr>
            </w:pPr>
            <w:r>
              <w:rPr>
                <w:rFonts w:ascii="宋体" w:hAnsi="宋体" w:eastAsia="宋体" w:cs="宋体"/>
                <w:sz w:val="21"/>
                <w:szCs w:val="21"/>
              </w:rPr>
              <w:t>12</w:t>
            </w:r>
          </w:p>
        </w:tc>
      </w:tr>
    </w:tbl>
    <w:p>
      <w:pPr>
        <w:spacing w:after="0" w:line="360" w:lineRule="auto"/>
        <w:ind w:firstLine="640" w:firstLineChars="200"/>
        <w:jc w:val="both"/>
        <w:textAlignment w:val="baseline"/>
        <w:rPr>
          <w:rFonts w:ascii="仿宋_GB2312" w:eastAsia="仿宋_GB2312"/>
          <w:sz w:val="32"/>
          <w:szCs w:val="32"/>
        </w:rPr>
      </w:pPr>
      <w:bookmarkStart w:id="57" w:name="_Toc465149513"/>
      <w:bookmarkStart w:id="58" w:name="_Toc464638478"/>
      <w:r>
        <w:rPr>
          <w:rFonts w:ascii="仿宋_GB2312" w:eastAsia="仿宋_GB2312" w:cs="仿宋_GB2312"/>
          <w:sz w:val="32"/>
          <w:szCs w:val="32"/>
        </w:rPr>
        <w:t>1.</w:t>
      </w:r>
      <w:r>
        <w:rPr>
          <w:rFonts w:hint="eastAsia" w:ascii="仿宋_GB2312" w:eastAsia="仿宋_GB2312" w:cs="仿宋_GB2312"/>
          <w:sz w:val="32"/>
          <w:szCs w:val="32"/>
        </w:rPr>
        <w:t>绩效目标设定（</w:t>
      </w:r>
      <w:r>
        <w:rPr>
          <w:rFonts w:ascii="仿宋_GB2312" w:eastAsia="仿宋_GB2312" w:cs="仿宋_GB2312"/>
          <w:sz w:val="32"/>
          <w:szCs w:val="32"/>
        </w:rPr>
        <w:t>6</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）绩效目标合理性</w:t>
      </w:r>
      <w:r>
        <w:rPr>
          <w:rFonts w:ascii="仿宋_GB2312" w:eastAsia="仿宋_GB2312" w:cs="仿宋_GB2312"/>
          <w:sz w:val="32"/>
          <w:szCs w:val="32"/>
        </w:rPr>
        <w:t>(2</w:t>
      </w:r>
      <w:r>
        <w:rPr>
          <w:rFonts w:hint="eastAsia" w:ascii="仿宋_GB2312" w:eastAsia="仿宋_GB2312" w:cs="仿宋_GB2312"/>
          <w:sz w:val="32"/>
          <w:szCs w:val="32"/>
        </w:rPr>
        <w:t>分</w:t>
      </w:r>
      <w:r>
        <w:rPr>
          <w:rFonts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通过对比保定市徐水区委办公室及保定市徐水区人民政府办公室印发的《保定市徐水区总工会职能配置、内设机构和人员编制规定》和徐水区总工会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年预算文本</w:t>
      </w:r>
      <w:r>
        <w:rPr>
          <w:rFonts w:ascii="仿宋_GB2312" w:eastAsia="仿宋_GB2312"/>
          <w:sz w:val="32"/>
          <w:szCs w:val="32"/>
        </w:rPr>
        <w:t>—</w:t>
      </w:r>
      <w:r>
        <w:rPr>
          <w:rFonts w:hint="eastAsia" w:ascii="仿宋_GB2312" w:eastAsia="仿宋_GB2312" w:cs="仿宋_GB2312"/>
          <w:sz w:val="32"/>
          <w:szCs w:val="32"/>
        </w:rPr>
        <w:t>部门职责工作活动绩效目标，评价工作组认为区总工会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）绩效目标科学性（</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年预算文本</w:t>
      </w:r>
      <w:r>
        <w:rPr>
          <w:rFonts w:ascii="仿宋_GB2312" w:eastAsia="仿宋_GB2312"/>
          <w:sz w:val="32"/>
          <w:szCs w:val="32"/>
        </w:rPr>
        <w:t>—</w:t>
      </w:r>
      <w:r>
        <w:rPr>
          <w:rFonts w:hint="eastAsia" w:ascii="仿宋_GB2312" w:eastAsia="仿宋_GB2312" w:cs="仿宋_GB2312"/>
          <w:sz w:val="32"/>
          <w:szCs w:val="32"/>
        </w:rPr>
        <w:t>部门职责工作活动绩效目标（详见附件</w:t>
      </w:r>
      <w:r>
        <w:rPr>
          <w:rFonts w:ascii="仿宋_GB2312" w:eastAsia="仿宋_GB2312" w:cs="仿宋_GB2312"/>
          <w:sz w:val="32"/>
          <w:szCs w:val="32"/>
        </w:rPr>
        <w:t>4</w:t>
      </w:r>
      <w:r>
        <w:rPr>
          <w:rFonts w:hint="eastAsia" w:ascii="仿宋_GB2312" w:eastAsia="仿宋_GB2312" w:cs="仿宋_GB2312"/>
          <w:sz w:val="32"/>
          <w:szCs w:val="32"/>
        </w:rPr>
        <w:t>），绩效目标与部门履职、年度工作任务相符；工作活动有明确的绩效目标，绩效目标与部门职责目标、部门年度工作目标一致。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）绩效目标明确性（</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highlight w:val="yellow"/>
        </w:rPr>
      </w:pPr>
      <w:r>
        <w:rPr>
          <w:rFonts w:hint="eastAsia" w:ascii="仿宋_GB2312" w:eastAsia="仿宋_GB2312" w:cs="仿宋_GB2312"/>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年预算文本</w:t>
      </w:r>
      <w:r>
        <w:rPr>
          <w:rFonts w:ascii="仿宋_GB2312" w:eastAsia="仿宋_GB2312"/>
          <w:sz w:val="32"/>
          <w:szCs w:val="32"/>
        </w:rPr>
        <w:t>—</w:t>
      </w:r>
      <w:r>
        <w:rPr>
          <w:rFonts w:hint="eastAsia" w:ascii="仿宋_GB2312" w:eastAsia="仿宋_GB2312" w:cs="仿宋_GB2312"/>
          <w:sz w:val="32"/>
          <w:szCs w:val="32"/>
        </w:rPr>
        <w:t>部门职责工作活动绩效目标</w:t>
      </w:r>
      <w:r>
        <w:rPr>
          <w:rFonts w:ascii="仿宋_GB2312" w:eastAsia="仿宋_GB2312" w:cs="仿宋_GB2312"/>
          <w:sz w:val="32"/>
          <w:szCs w:val="32"/>
        </w:rPr>
        <w:t>,</w:t>
      </w:r>
      <w:r>
        <w:rPr>
          <w:rFonts w:hint="eastAsia" w:ascii="仿宋_GB2312" w:eastAsia="仿宋_GB2312" w:cs="仿宋_GB2312"/>
          <w:sz w:val="32"/>
          <w:szCs w:val="32"/>
        </w:rPr>
        <w:t>该指标实际得分</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预算配置（</w:t>
      </w:r>
      <w:r>
        <w:rPr>
          <w:rFonts w:ascii="仿宋_GB2312" w:eastAsia="仿宋_GB2312" w:cs="仿宋_GB2312"/>
          <w:sz w:val="32"/>
          <w:szCs w:val="32"/>
        </w:rPr>
        <w:t>6</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）预算编制完整性（</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年预算文本及相关会计资料，区总工会所有收入均已纳入部门预算，部门支出按基本支出、项目支出分别编制。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）项目预算细化率（</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项目预算细化率</w:t>
      </w:r>
      <w:r>
        <w:rPr>
          <w:rFonts w:ascii="仿宋_GB2312" w:eastAsia="仿宋_GB2312" w:cs="仿宋_GB2312"/>
          <w:sz w:val="32"/>
          <w:szCs w:val="32"/>
        </w:rPr>
        <w:t>=</w:t>
      </w:r>
      <w:r>
        <w:rPr>
          <w:rFonts w:hint="eastAsia" w:ascii="仿宋_GB2312" w:eastAsia="仿宋_GB2312" w:cs="仿宋_GB2312"/>
          <w:sz w:val="32"/>
          <w:szCs w:val="32"/>
        </w:rPr>
        <w:t>细化的项目金额</w:t>
      </w:r>
      <w:r>
        <w:rPr>
          <w:rFonts w:ascii="仿宋_GB2312" w:eastAsia="仿宋_GB2312" w:cs="仿宋_GB2312"/>
          <w:sz w:val="32"/>
          <w:szCs w:val="32"/>
        </w:rPr>
        <w:t>/</w:t>
      </w:r>
      <w:r>
        <w:rPr>
          <w:rFonts w:hint="eastAsia" w:ascii="仿宋_GB2312" w:eastAsia="仿宋_GB2312" w:cs="仿宋_GB2312"/>
          <w:sz w:val="32"/>
          <w:szCs w:val="32"/>
        </w:rPr>
        <w:t>实际编报的项目金额×</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cs="仿宋_GB2312"/>
          <w:color w:val="FF0000"/>
          <w:sz w:val="32"/>
          <w:szCs w:val="32"/>
        </w:rPr>
      </w:pPr>
      <w:r>
        <w:rPr>
          <w:rFonts w:hint="eastAsia" w:ascii="仿宋_GB2312" w:eastAsia="仿宋_GB2312" w:cs="仿宋_GB2312"/>
          <w:sz w:val="32"/>
          <w:szCs w:val="32"/>
        </w:rPr>
        <w:t>根据区总工会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年预算文本</w:t>
      </w:r>
      <w:r>
        <w:rPr>
          <w:rFonts w:ascii="仿宋_GB2312" w:eastAsia="仿宋_GB2312"/>
          <w:sz w:val="32"/>
          <w:szCs w:val="32"/>
        </w:rPr>
        <w:t>—</w:t>
      </w:r>
      <w:r>
        <w:rPr>
          <w:rFonts w:hint="eastAsia" w:ascii="仿宋_GB2312" w:eastAsia="仿宋_GB2312" w:cs="仿宋_GB2312"/>
          <w:sz w:val="32"/>
          <w:szCs w:val="32"/>
        </w:rPr>
        <w:t>部门项目支出预算表，区总工会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年预算项目共</w:t>
      </w:r>
      <w:r>
        <w:rPr>
          <w:rFonts w:hint="default" w:ascii="仿宋_GB2312" w:eastAsia="仿宋_GB2312" w:cs="仿宋_GB2312"/>
          <w:sz w:val="32"/>
          <w:szCs w:val="32"/>
          <w:lang w:val="en-US"/>
        </w:rPr>
        <w:t>4</w:t>
      </w:r>
      <w:r>
        <w:rPr>
          <w:rFonts w:hint="eastAsia" w:ascii="仿宋_GB2312" w:eastAsia="仿宋_GB2312" w:cs="仿宋_GB2312"/>
          <w:sz w:val="32"/>
          <w:szCs w:val="32"/>
        </w:rPr>
        <w:t>个，涉及资金</w:t>
      </w:r>
      <w:r>
        <w:rPr>
          <w:rFonts w:hint="default" w:ascii="仿宋_GB2312" w:hAnsi="宋体" w:eastAsia="仿宋_GB2312" w:cs="仿宋_GB2312"/>
          <w:sz w:val="32"/>
          <w:szCs w:val="32"/>
          <w:u w:color="000000"/>
          <w:lang w:val="en-US"/>
        </w:rPr>
        <w:t>16.74</w:t>
      </w:r>
      <w:r>
        <w:rPr>
          <w:rFonts w:hint="eastAsia" w:ascii="仿宋_GB2312" w:eastAsia="仿宋_GB2312" w:cs="仿宋_GB2312"/>
          <w:sz w:val="32"/>
          <w:szCs w:val="32"/>
        </w:rPr>
        <w:t>万元，所有项目均细化到具体用款单位及项目资金额度。项目预算细化率</w:t>
      </w:r>
      <w:r>
        <w:rPr>
          <w:rFonts w:hint="default" w:ascii="仿宋_GB2312" w:eastAsia="仿宋_GB2312" w:cs="仿宋_GB2312"/>
          <w:sz w:val="32"/>
          <w:szCs w:val="32"/>
          <w:lang w:val="en-US"/>
        </w:rPr>
        <w:t>16.74</w:t>
      </w:r>
      <w:r>
        <w:rPr>
          <w:rFonts w:ascii="仿宋_GB2312" w:eastAsia="仿宋_GB2312" w:cs="仿宋_GB2312"/>
          <w:sz w:val="32"/>
          <w:szCs w:val="32"/>
        </w:rPr>
        <w:t>/</w:t>
      </w:r>
      <w:r>
        <w:rPr>
          <w:rFonts w:hint="default" w:ascii="仿宋_GB2312" w:eastAsia="仿宋_GB2312" w:cs="仿宋_GB2312"/>
          <w:sz w:val="32"/>
          <w:szCs w:val="32"/>
          <w:lang w:val="en-US"/>
        </w:rPr>
        <w:t>16.74</w:t>
      </w:r>
      <w:r>
        <w:rPr>
          <w:rFonts w:ascii="仿宋_GB2312" w:eastAsia="仿宋_GB2312" w:cs="仿宋_GB2312"/>
          <w:sz w:val="32"/>
          <w:szCs w:val="32"/>
        </w:rPr>
        <w:t>*100%=100%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）在职人员控制率（</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该指标主要考核截至</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年底区总工会在职人员控制情况，通过在职人员控制率衡量。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在职人员控制率</w:t>
      </w:r>
      <w:r>
        <w:rPr>
          <w:rFonts w:ascii="仿宋_GB2312" w:eastAsia="仿宋_GB2312" w:cs="仿宋_GB2312"/>
          <w:sz w:val="32"/>
          <w:szCs w:val="32"/>
        </w:rPr>
        <w:t>=</w:t>
      </w:r>
      <w:r>
        <w:rPr>
          <w:rFonts w:hint="eastAsia" w:ascii="仿宋_GB2312" w:eastAsia="仿宋_GB2312" w:cs="仿宋_GB2312"/>
          <w:sz w:val="32"/>
          <w:szCs w:val="32"/>
        </w:rPr>
        <w:t>决算在职人员</w:t>
      </w:r>
      <w:r>
        <w:rPr>
          <w:rFonts w:ascii="仿宋_GB2312" w:eastAsia="仿宋_GB2312" w:cs="仿宋_GB2312"/>
          <w:sz w:val="32"/>
          <w:szCs w:val="32"/>
        </w:rPr>
        <w:t>/</w:t>
      </w:r>
      <w:r>
        <w:rPr>
          <w:rFonts w:hint="eastAsia" w:ascii="仿宋_GB2312" w:eastAsia="仿宋_GB2312" w:cs="仿宋_GB2312"/>
          <w:sz w:val="32"/>
          <w:szCs w:val="32"/>
        </w:rPr>
        <w:t>编制数×</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根据保定市徐水区委办公室及保定市徐水区人民政府办公室关于印发《保定市徐水区总工会职能配置、内设机构和人员编制规定》的通知，徐水区总工会人员编制为</w:t>
      </w:r>
      <w:r>
        <w:rPr>
          <w:rFonts w:ascii="仿宋_GB2312" w:eastAsia="仿宋_GB2312" w:cs="仿宋_GB2312"/>
          <w:sz w:val="32"/>
          <w:szCs w:val="32"/>
        </w:rPr>
        <w:t>10</w:t>
      </w:r>
      <w:r>
        <w:rPr>
          <w:rFonts w:hint="eastAsia" w:ascii="仿宋_GB2312" w:eastAsia="仿宋_GB2312" w:cs="仿宋_GB2312"/>
          <w:sz w:val="32"/>
          <w:szCs w:val="32"/>
        </w:rPr>
        <w:t>人，根据区总工会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年决算文本</w:t>
      </w:r>
      <w:r>
        <w:rPr>
          <w:rFonts w:ascii="仿宋_GB2312" w:eastAsia="仿宋_GB2312" w:cs="仿宋_GB2312"/>
          <w:sz w:val="32"/>
          <w:szCs w:val="32"/>
        </w:rPr>
        <w:t>-</w:t>
      </w:r>
      <w:r>
        <w:rPr>
          <w:rFonts w:hint="eastAsia" w:ascii="仿宋_GB2312" w:eastAsia="仿宋_GB2312" w:cs="仿宋_GB2312"/>
          <w:sz w:val="32"/>
          <w:szCs w:val="32"/>
        </w:rPr>
        <w:t>部门基本情况表，截至</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年底，在职人员</w:t>
      </w:r>
      <w:r>
        <w:rPr>
          <w:rFonts w:ascii="仿宋_GB2312" w:eastAsia="仿宋_GB2312" w:cs="仿宋_GB2312"/>
          <w:color w:val="000000" w:themeColor="text1"/>
          <w:sz w:val="32"/>
          <w:szCs w:val="32"/>
          <w14:textFill>
            <w14:solidFill>
              <w14:schemeClr w14:val="tx1"/>
            </w14:solidFill>
          </w14:textFill>
        </w:rPr>
        <w:t>10</w:t>
      </w:r>
      <w:r>
        <w:rPr>
          <w:rFonts w:hint="eastAsia" w:ascii="仿宋_GB2312" w:eastAsia="仿宋_GB2312" w:cs="仿宋_GB2312"/>
          <w:sz w:val="32"/>
          <w:szCs w:val="32"/>
        </w:rPr>
        <w:t>人，在职人员控制率</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10/10</w:t>
      </w:r>
      <w:r>
        <w:rPr>
          <w:rFonts w:hint="eastAsia" w:ascii="仿宋_GB2312" w:eastAsia="仿宋_GB2312" w:cs="仿宋_GB2312"/>
          <w:sz w:val="32"/>
          <w:szCs w:val="32"/>
        </w:rPr>
        <w:t>）</w:t>
      </w:r>
      <w:r>
        <w:rPr>
          <w:rFonts w:ascii="仿宋_GB2312" w:eastAsia="仿宋_GB2312" w:cs="仿宋_GB2312"/>
          <w:sz w:val="32"/>
          <w:szCs w:val="32"/>
        </w:rPr>
        <w:t>*100%=100%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2</w:t>
      </w:r>
      <w:r>
        <w:rPr>
          <w:rFonts w:hint="eastAsia" w:ascii="仿宋_GB2312" w:eastAsia="仿宋_GB2312" w:cs="仿宋_GB2312"/>
          <w:sz w:val="32"/>
          <w:szCs w:val="32"/>
        </w:rPr>
        <w:t>分。</w:t>
      </w:r>
    </w:p>
    <w:bookmarkEnd w:id="57"/>
    <w:bookmarkEnd w:id="58"/>
    <w:p>
      <w:pPr>
        <w:pStyle w:val="4"/>
        <w:spacing w:before="0" w:after="0"/>
        <w:ind w:firstLine="643" w:firstLineChars="200"/>
        <w:jc w:val="both"/>
        <w:rPr>
          <w:rFonts w:ascii="楷体" w:hAnsi="楷体" w:eastAsia="楷体" w:cs="Tahoma"/>
          <w:sz w:val="32"/>
          <w:szCs w:val="32"/>
        </w:rPr>
      </w:pPr>
      <w:bookmarkStart w:id="59" w:name="_Toc19940"/>
      <w:r>
        <w:rPr>
          <w:rFonts w:hint="eastAsia" w:ascii="楷体" w:hAnsi="楷体" w:eastAsia="楷体" w:cs="楷体"/>
          <w:sz w:val="32"/>
          <w:szCs w:val="32"/>
        </w:rPr>
        <w:t>（二）过程（</w:t>
      </w:r>
      <w:r>
        <w:rPr>
          <w:rFonts w:ascii="楷体" w:hAnsi="楷体" w:eastAsia="楷体" w:cs="楷体"/>
          <w:sz w:val="32"/>
          <w:szCs w:val="32"/>
        </w:rPr>
        <w:t>48</w:t>
      </w:r>
      <w:r>
        <w:rPr>
          <w:rFonts w:hint="eastAsia" w:ascii="楷体" w:hAnsi="楷体" w:eastAsia="楷体" w:cs="楷体"/>
          <w:sz w:val="32"/>
          <w:szCs w:val="32"/>
        </w:rPr>
        <w:t>分）</w:t>
      </w:r>
      <w:bookmarkEnd w:id="59"/>
    </w:p>
    <w:p>
      <w:pPr>
        <w:spacing w:after="0" w:line="360" w:lineRule="auto"/>
        <w:ind w:firstLine="640" w:firstLineChars="200"/>
        <w:jc w:val="both"/>
        <w:textAlignment w:val="baseline"/>
        <w:rPr>
          <w:rFonts w:ascii="仿宋_GB2312" w:eastAsia="仿宋_GB2312"/>
          <w:sz w:val="32"/>
          <w:szCs w:val="32"/>
        </w:rPr>
      </w:pPr>
      <w:bookmarkStart w:id="60" w:name="_Toc464638480"/>
      <w:r>
        <w:rPr>
          <w:rFonts w:hint="eastAsia" w:ascii="仿宋_GB2312" w:eastAsia="仿宋_GB2312" w:cs="仿宋_GB2312"/>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宋体" w:hAnsi="宋体" w:eastAsia="宋体"/>
          <w:b/>
          <w:bCs/>
          <w:sz w:val="32"/>
          <w:szCs w:val="32"/>
        </w:rPr>
      </w:pPr>
      <w:r>
        <w:rPr>
          <w:rFonts w:hint="eastAsia" w:ascii="宋体" w:hAnsi="宋体" w:eastAsia="宋体" w:cs="宋体"/>
          <w:b/>
          <w:bCs/>
          <w:sz w:val="32"/>
          <w:szCs w:val="32"/>
        </w:rPr>
        <w:t>表</w:t>
      </w:r>
      <w:r>
        <w:rPr>
          <w:rFonts w:ascii="宋体" w:hAnsi="宋体" w:eastAsia="宋体" w:cs="宋体"/>
          <w:b/>
          <w:bCs/>
          <w:sz w:val="32"/>
          <w:szCs w:val="32"/>
        </w:rPr>
        <w:t xml:space="preserve">3  </w:t>
      </w:r>
      <w:r>
        <w:rPr>
          <w:rFonts w:hint="eastAsia" w:ascii="宋体" w:hAnsi="宋体" w:eastAsia="宋体" w:cs="宋体"/>
          <w:b/>
          <w:bCs/>
          <w:sz w:val="32"/>
          <w:szCs w:val="32"/>
        </w:rPr>
        <w:t>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一级指标</w:t>
            </w:r>
          </w:p>
        </w:tc>
        <w:tc>
          <w:tcPr>
            <w:tcW w:w="1388" w:type="dxa"/>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二级指标</w:t>
            </w:r>
          </w:p>
        </w:tc>
        <w:tc>
          <w:tcPr>
            <w:tcW w:w="2277" w:type="dxa"/>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三级指标</w:t>
            </w:r>
          </w:p>
        </w:tc>
        <w:tc>
          <w:tcPr>
            <w:tcW w:w="1155" w:type="dxa"/>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分数权重</w:t>
            </w:r>
          </w:p>
        </w:tc>
        <w:tc>
          <w:tcPr>
            <w:tcW w:w="1276" w:type="dxa"/>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过程（</w:t>
            </w:r>
            <w:r>
              <w:rPr>
                <w:rFonts w:ascii="宋体" w:hAnsi="宋体" w:eastAsia="宋体" w:cs="宋体"/>
                <w:sz w:val="21"/>
                <w:szCs w:val="21"/>
              </w:rPr>
              <w:t>48</w:t>
            </w:r>
            <w:r>
              <w:rPr>
                <w:rFonts w:hint="eastAsia" w:ascii="宋体" w:hAnsi="宋体" w:eastAsia="宋体" w:cs="宋体"/>
                <w:sz w:val="21"/>
                <w:szCs w:val="21"/>
              </w:rPr>
              <w:t>分）</w:t>
            </w:r>
          </w:p>
        </w:tc>
        <w:tc>
          <w:tcPr>
            <w:tcW w:w="1388" w:type="dxa"/>
            <w:vMerge w:val="restart"/>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预算执行</w:t>
            </w:r>
          </w:p>
          <w:p>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24</w:t>
            </w:r>
            <w:r>
              <w:rPr>
                <w:rFonts w:hint="eastAsia" w:ascii="宋体" w:hAnsi="宋体" w:eastAsia="宋体" w:cs="宋体"/>
                <w:sz w:val="21"/>
                <w:szCs w:val="21"/>
              </w:rPr>
              <w:t>分）</w:t>
            </w: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预算收入调整率</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收入完成率</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预算支出调整率</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财政拨款支出完成率</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“三公经费”控制率</w:t>
            </w:r>
          </w:p>
        </w:tc>
        <w:tc>
          <w:tcPr>
            <w:tcW w:w="1155" w:type="dxa"/>
            <w:vAlign w:val="center"/>
          </w:tcPr>
          <w:p>
            <w:pPr>
              <w:spacing w:line="420" w:lineRule="exact"/>
              <w:jc w:val="center"/>
              <w:rPr>
                <w:rFonts w:ascii="宋体" w:hAnsi="宋体" w:eastAsia="宋体"/>
                <w:sz w:val="21"/>
                <w:szCs w:val="21"/>
              </w:rPr>
            </w:pPr>
            <w:r>
              <w:rPr>
                <w:rFonts w:ascii="宋体" w:hAnsi="宋体" w:eastAsia="宋体" w:cs="宋体"/>
                <w:sz w:val="21"/>
                <w:szCs w:val="21"/>
              </w:rPr>
              <w:t>3</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政府采购执行率</w:t>
            </w:r>
          </w:p>
        </w:tc>
        <w:tc>
          <w:tcPr>
            <w:tcW w:w="1155" w:type="dxa"/>
            <w:vAlign w:val="center"/>
          </w:tcPr>
          <w:p>
            <w:pPr>
              <w:spacing w:line="420" w:lineRule="exact"/>
              <w:jc w:val="center"/>
              <w:rPr>
                <w:rFonts w:ascii="宋体" w:hAnsi="宋体" w:eastAsia="宋体"/>
                <w:sz w:val="21"/>
                <w:szCs w:val="21"/>
              </w:rPr>
            </w:pPr>
            <w:r>
              <w:rPr>
                <w:rFonts w:ascii="宋体" w:hAnsi="宋体" w:eastAsia="宋体" w:cs="宋体"/>
                <w:sz w:val="21"/>
                <w:szCs w:val="21"/>
              </w:rPr>
              <w:t>3</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资金使用合规性</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3</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决算真实性</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3</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restart"/>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预算管理</w:t>
            </w:r>
          </w:p>
          <w:p>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16</w:t>
            </w:r>
            <w:r>
              <w:rPr>
                <w:rFonts w:hint="eastAsia" w:ascii="宋体" w:hAnsi="宋体" w:eastAsia="宋体" w:cs="宋体"/>
                <w:sz w:val="21"/>
                <w:szCs w:val="21"/>
              </w:rPr>
              <w:t>分）</w:t>
            </w: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管理制度健全性</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预决算信息公开</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基础信息完善性</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资产管理规范性</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restart"/>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绩效评价</w:t>
            </w:r>
          </w:p>
          <w:p>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分）</w:t>
            </w: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绩效自评覆盖率</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9" w:hRule="exact"/>
          <w:jc w:val="center"/>
        </w:trPr>
        <w:tc>
          <w:tcPr>
            <w:tcW w:w="1557" w:type="dxa"/>
            <w:vMerge w:val="continue"/>
            <w:vAlign w:val="center"/>
          </w:tcPr>
          <w:p>
            <w:pPr>
              <w:spacing w:line="420" w:lineRule="exact"/>
              <w:jc w:val="center"/>
              <w:rPr>
                <w:rFonts w:ascii="宋体" w:hAnsi="宋体" w:eastAsia="宋体"/>
                <w:sz w:val="21"/>
                <w:szCs w:val="21"/>
              </w:rPr>
            </w:pPr>
          </w:p>
        </w:tc>
        <w:tc>
          <w:tcPr>
            <w:tcW w:w="1388" w:type="dxa"/>
            <w:vMerge w:val="continue"/>
            <w:vAlign w:val="center"/>
          </w:tcPr>
          <w:p>
            <w:pPr>
              <w:spacing w:line="420" w:lineRule="exact"/>
              <w:jc w:val="center"/>
              <w:rPr>
                <w:rFonts w:ascii="宋体" w:hAnsi="宋体" w:eastAsia="宋体"/>
                <w:sz w:val="21"/>
                <w:szCs w:val="21"/>
              </w:rPr>
            </w:pPr>
          </w:p>
        </w:tc>
        <w:tc>
          <w:tcPr>
            <w:tcW w:w="2277" w:type="dxa"/>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绩效评价优等率</w:t>
            </w:r>
          </w:p>
        </w:tc>
        <w:tc>
          <w:tcPr>
            <w:tcW w:w="1155" w:type="dxa"/>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4</w:t>
            </w:r>
          </w:p>
        </w:tc>
        <w:tc>
          <w:tcPr>
            <w:tcW w:w="1276" w:type="dxa"/>
            <w:vAlign w:val="center"/>
          </w:tcPr>
          <w:p>
            <w:pPr>
              <w:spacing w:line="420" w:lineRule="exact"/>
              <w:jc w:val="center"/>
              <w:rPr>
                <w:rFonts w:ascii="宋体" w:hAnsi="宋体" w:eastAsia="宋体"/>
                <w:sz w:val="21"/>
                <w:szCs w:val="21"/>
              </w:rPr>
            </w:pPr>
            <w:r>
              <w:rPr>
                <w:rFonts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合计</w:t>
            </w:r>
          </w:p>
        </w:tc>
        <w:tc>
          <w:tcPr>
            <w:tcW w:w="2277" w:type="dxa"/>
            <w:vAlign w:val="center"/>
          </w:tcPr>
          <w:p>
            <w:pPr>
              <w:spacing w:line="420" w:lineRule="exact"/>
              <w:jc w:val="center"/>
              <w:rPr>
                <w:rFonts w:ascii="宋体" w:hAnsi="宋体" w:eastAsia="宋体"/>
                <w:sz w:val="21"/>
                <w:szCs w:val="21"/>
              </w:rPr>
            </w:pPr>
          </w:p>
        </w:tc>
        <w:tc>
          <w:tcPr>
            <w:tcW w:w="1155" w:type="dxa"/>
            <w:vAlign w:val="center"/>
          </w:tcPr>
          <w:p>
            <w:pPr>
              <w:spacing w:line="420" w:lineRule="exact"/>
              <w:jc w:val="center"/>
              <w:rPr>
                <w:rFonts w:ascii="宋体" w:hAnsi="宋体" w:eastAsia="宋体"/>
                <w:color w:val="FF0000"/>
                <w:sz w:val="21"/>
                <w:szCs w:val="21"/>
              </w:rPr>
            </w:pPr>
          </w:p>
        </w:tc>
        <w:tc>
          <w:tcPr>
            <w:tcW w:w="1276" w:type="dxa"/>
            <w:vAlign w:val="center"/>
          </w:tcPr>
          <w:p>
            <w:pPr>
              <w:spacing w:line="420" w:lineRule="exact"/>
              <w:jc w:val="center"/>
              <w:rPr>
                <w:rFonts w:ascii="宋体" w:hAnsi="宋体" w:eastAsia="宋体"/>
                <w:sz w:val="21"/>
                <w:szCs w:val="21"/>
              </w:rPr>
            </w:pPr>
            <w:r>
              <w:rPr>
                <w:rFonts w:hint="eastAsia" w:ascii="宋体" w:hAnsi="宋体" w:eastAsia="宋体"/>
                <w:sz w:val="21"/>
                <w:szCs w:val="21"/>
              </w:rPr>
              <w:t>46</w:t>
            </w:r>
          </w:p>
        </w:tc>
      </w:tr>
      <w:bookmarkEnd w:id="60"/>
    </w:tbl>
    <w:p>
      <w:pPr>
        <w:spacing w:after="0" w:line="360" w:lineRule="auto"/>
        <w:ind w:firstLine="640" w:firstLineChars="200"/>
        <w:jc w:val="both"/>
        <w:textAlignment w:val="baseline"/>
        <w:rPr>
          <w:rFonts w:ascii="仿宋_GB2312" w:eastAsia="仿宋_GB2312"/>
          <w:sz w:val="32"/>
          <w:szCs w:val="32"/>
        </w:rPr>
      </w:pPr>
      <w:bookmarkStart w:id="61" w:name="_Toc464638487"/>
      <w:bookmarkStart w:id="62" w:name="_Toc465149514"/>
      <w:r>
        <w:rPr>
          <w:rFonts w:ascii="仿宋_GB2312" w:eastAsia="仿宋_GB2312" w:cs="仿宋_GB2312"/>
          <w:sz w:val="32"/>
          <w:szCs w:val="32"/>
        </w:rPr>
        <w:t>1.</w:t>
      </w:r>
      <w:r>
        <w:rPr>
          <w:rFonts w:hint="eastAsia" w:ascii="仿宋_GB2312" w:eastAsia="仿宋_GB2312" w:cs="仿宋_GB2312"/>
          <w:sz w:val="32"/>
          <w:szCs w:val="32"/>
        </w:rPr>
        <w:t>预算执行（</w:t>
      </w:r>
      <w:r>
        <w:rPr>
          <w:rFonts w:ascii="仿宋_GB2312" w:eastAsia="仿宋_GB2312" w:cs="仿宋_GB2312"/>
          <w:sz w:val="32"/>
          <w:szCs w:val="32"/>
        </w:rPr>
        <w:t>24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）预算收入调整率（</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sz w:val="32"/>
          <w:szCs w:val="32"/>
        </w:rPr>
        <w:t>预算收入调整率</w:t>
      </w:r>
      <w:r>
        <w:rPr>
          <w:rFonts w:hint="default" w:ascii="仿宋_GB2312" w:eastAsia="仿宋_GB2312" w:cs="仿宋_GB2312"/>
          <w:sz w:val="32"/>
          <w:szCs w:val="32"/>
          <w:lang w:val="en-US"/>
        </w:rPr>
        <w:t>=</w:t>
      </w:r>
      <w:r>
        <w:rPr>
          <w:rFonts w:hint="eastAsia" w:ascii="仿宋_GB2312" w:eastAsia="仿宋_GB2312" w:cs="仿宋_GB2312"/>
          <w:color w:val="000000" w:themeColor="text1"/>
          <w:sz w:val="32"/>
          <w:szCs w:val="32"/>
          <w14:textFill>
            <w14:solidFill>
              <w14:schemeClr w14:val="tx1"/>
            </w14:solidFill>
          </w14:textFill>
        </w:rPr>
        <w:t>（</w:t>
      </w:r>
      <w:r>
        <w:rPr>
          <w:rFonts w:hint="default" w:ascii="仿宋_GB2312" w:eastAsia="仿宋_GB2312" w:cs="仿宋_GB2312"/>
          <w:color w:val="000000" w:themeColor="text1"/>
          <w:sz w:val="32"/>
          <w:szCs w:val="32"/>
          <w:lang w:val="en-US"/>
          <w14:textFill>
            <w14:solidFill>
              <w14:schemeClr w14:val="tx1"/>
            </w14:solidFill>
          </w14:textFill>
        </w:rPr>
        <w:t>64.14-158.39</w:t>
      </w:r>
      <w:r>
        <w:rPr>
          <w:rFonts w:hint="eastAsia" w:ascii="仿宋_GB2312" w:eastAsia="仿宋_GB2312" w:cs="仿宋_GB2312"/>
          <w:color w:val="000000" w:themeColor="text1"/>
          <w:sz w:val="32"/>
          <w:szCs w:val="32"/>
          <w14:textFill>
            <w14:solidFill>
              <w14:schemeClr w14:val="tx1"/>
            </w14:solidFill>
          </w14:textFill>
        </w:rPr>
        <w:t>）</w:t>
      </w:r>
      <w:r>
        <w:rPr>
          <w:rFonts w:hint="default" w:ascii="仿宋_GB2312" w:eastAsia="仿宋_GB2312" w:cs="仿宋_GB2312"/>
          <w:color w:val="000000" w:themeColor="text1"/>
          <w:sz w:val="32"/>
          <w:szCs w:val="32"/>
          <w:lang w:val="en-US"/>
          <w14:textFill>
            <w14:solidFill>
              <w14:schemeClr w14:val="tx1"/>
            </w14:solidFill>
          </w14:textFill>
        </w:rPr>
        <w:t>/158.39</w:t>
      </w:r>
      <w:r>
        <w:rPr>
          <w:rFonts w:ascii="仿宋_GB2312" w:eastAsia="仿宋_GB2312" w:cs="仿宋_GB2312"/>
          <w:color w:val="000000" w:themeColor="text1"/>
          <w:sz w:val="32"/>
          <w:szCs w:val="32"/>
          <w14:textFill>
            <w14:solidFill>
              <w14:schemeClr w14:val="tx1"/>
            </w14:solidFill>
          </w14:textFill>
        </w:rPr>
        <w:t>*100%=</w:t>
      </w:r>
      <w:r>
        <w:rPr>
          <w:rFonts w:hint="default" w:ascii="仿宋_GB2312" w:eastAsia="仿宋_GB2312" w:cs="仿宋_GB2312"/>
          <w:color w:val="000000" w:themeColor="text1"/>
          <w:sz w:val="32"/>
          <w:szCs w:val="32"/>
          <w:lang w:val="en-US"/>
          <w14:textFill>
            <w14:solidFill>
              <w14:schemeClr w14:val="tx1"/>
            </w14:solidFill>
          </w14:textFill>
        </w:rPr>
        <w:t>59.5</w:t>
      </w:r>
      <w:r>
        <w:rPr>
          <w:rFonts w:ascii="仿宋_GB2312" w:eastAsia="仿宋_GB2312" w:cs="仿宋_GB2312"/>
          <w:color w:val="000000" w:themeColor="text1"/>
          <w:sz w:val="32"/>
          <w:szCs w:val="32"/>
          <w14:textFill>
            <w14:solidFill>
              <w14:schemeClr w14:val="tx1"/>
            </w14:solidFill>
          </w14:textFill>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1</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）收入完成率（</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收入完成率</w:t>
      </w:r>
      <w:r>
        <w:rPr>
          <w:rFonts w:ascii="仿宋_GB2312" w:eastAsia="仿宋_GB2312" w:cs="仿宋_GB2312"/>
          <w:sz w:val="32"/>
          <w:szCs w:val="32"/>
        </w:rPr>
        <w:t>=</w:t>
      </w:r>
      <w:r>
        <w:rPr>
          <w:rFonts w:hint="eastAsia" w:ascii="仿宋_GB2312" w:eastAsia="仿宋_GB2312" w:cs="仿宋_GB2312"/>
          <w:sz w:val="32"/>
          <w:szCs w:val="32"/>
        </w:rPr>
        <w:t>（决算收入</w:t>
      </w:r>
      <w:r>
        <w:rPr>
          <w:rFonts w:ascii="仿宋_GB2312" w:eastAsia="仿宋_GB2312" w:cs="仿宋_GB2312"/>
          <w:sz w:val="32"/>
          <w:szCs w:val="32"/>
        </w:rPr>
        <w:t>/</w:t>
      </w:r>
      <w:r>
        <w:rPr>
          <w:rFonts w:hint="eastAsia" w:ascii="仿宋_GB2312" w:eastAsia="仿宋_GB2312" w:cs="仿宋_GB2312"/>
          <w:sz w:val="32"/>
          <w:szCs w:val="32"/>
        </w:rPr>
        <w:t>预算收入）×</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sz w:val="32"/>
          <w:szCs w:val="32"/>
        </w:rPr>
        <w:t>根据区总工会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年预算文本、决算文本，</w:t>
      </w:r>
      <w:r>
        <w:rPr>
          <w:rFonts w:ascii="仿宋_GB2312" w:eastAsia="仿宋_GB2312" w:cs="仿宋_GB2312"/>
          <w:color w:val="000000" w:themeColor="text1"/>
          <w:sz w:val="32"/>
          <w:szCs w:val="32"/>
          <w14:textFill>
            <w14:solidFill>
              <w14:schemeClr w14:val="tx1"/>
            </w14:solidFill>
          </w14:textFill>
        </w:rPr>
        <w:t>202</w:t>
      </w:r>
      <w:r>
        <w:rPr>
          <w:rFonts w:hint="default" w:ascii="仿宋_GB2312" w:eastAsia="仿宋_GB2312" w:cs="仿宋_GB2312"/>
          <w:color w:val="000000" w:themeColor="text1"/>
          <w:sz w:val="32"/>
          <w:szCs w:val="32"/>
          <w:lang w:val="en-US"/>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年收入预算数</w:t>
      </w:r>
      <w:r>
        <w:rPr>
          <w:rFonts w:hint="default" w:ascii="仿宋_GB2312" w:eastAsia="仿宋_GB2312" w:cs="仿宋_GB2312"/>
          <w:color w:val="000000" w:themeColor="text1"/>
          <w:sz w:val="32"/>
          <w:szCs w:val="32"/>
          <w:lang w:val="en-US"/>
          <w14:textFill>
            <w14:solidFill>
              <w14:schemeClr w14:val="tx1"/>
            </w14:solidFill>
          </w14:textFill>
        </w:rPr>
        <w:t>64.14</w:t>
      </w:r>
      <w:r>
        <w:rPr>
          <w:rFonts w:hint="eastAsia" w:ascii="仿宋_GB2312" w:eastAsia="仿宋_GB2312" w:cs="仿宋_GB2312"/>
          <w:color w:val="000000" w:themeColor="text1"/>
          <w:sz w:val="32"/>
          <w:szCs w:val="32"/>
          <w14:textFill>
            <w14:solidFill>
              <w14:schemeClr w14:val="tx1"/>
            </w14:solidFill>
          </w14:textFill>
        </w:rPr>
        <w:t>万元，收入决算数</w:t>
      </w:r>
      <w:r>
        <w:rPr>
          <w:rFonts w:hint="default" w:ascii="仿宋_GB2312" w:eastAsia="仿宋_GB2312" w:cs="仿宋_GB2312"/>
          <w:color w:val="000000" w:themeColor="text1"/>
          <w:sz w:val="32"/>
          <w:szCs w:val="32"/>
          <w:lang w:val="en-US"/>
          <w14:textFill>
            <w14:solidFill>
              <w14:schemeClr w14:val="tx1"/>
            </w14:solidFill>
          </w14:textFill>
        </w:rPr>
        <w:t>158.39</w:t>
      </w:r>
      <w:r>
        <w:rPr>
          <w:rFonts w:hint="eastAsia" w:ascii="仿宋_GB2312" w:eastAsia="仿宋_GB2312" w:cs="仿宋_GB2312"/>
          <w:color w:val="000000" w:themeColor="text1"/>
          <w:sz w:val="32"/>
          <w:szCs w:val="32"/>
          <w14:textFill>
            <w14:solidFill>
              <w14:schemeClr w14:val="tx1"/>
            </w14:solidFill>
          </w14:textFill>
        </w:rPr>
        <w:t>万元，收入完成率</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r>
        <w:rPr>
          <w:rFonts w:hint="default" w:ascii="仿宋_GB2312" w:eastAsia="仿宋_GB2312" w:cs="仿宋_GB2312"/>
          <w:color w:val="000000" w:themeColor="text1"/>
          <w:sz w:val="32"/>
          <w:szCs w:val="32"/>
          <w:lang w:val="en-US"/>
          <w14:textFill>
            <w14:solidFill>
              <w14:schemeClr w14:val="tx1"/>
            </w14:solidFill>
          </w14:textFill>
        </w:rPr>
        <w:t>158.39</w:t>
      </w:r>
      <w:r>
        <w:rPr>
          <w:rFonts w:ascii="仿宋_GB2312" w:eastAsia="仿宋_GB2312" w:cs="仿宋_GB2312"/>
          <w:color w:val="000000" w:themeColor="text1"/>
          <w:sz w:val="32"/>
          <w:szCs w:val="32"/>
          <w14:textFill>
            <w14:solidFill>
              <w14:schemeClr w14:val="tx1"/>
            </w14:solidFill>
          </w14:textFill>
        </w:rPr>
        <w:t>/</w:t>
      </w:r>
      <w:r>
        <w:rPr>
          <w:rFonts w:hint="default" w:ascii="仿宋_GB2312" w:eastAsia="仿宋_GB2312" w:cs="仿宋_GB2312"/>
          <w:color w:val="000000" w:themeColor="text1"/>
          <w:sz w:val="32"/>
          <w:szCs w:val="32"/>
          <w:lang w:val="en-US"/>
          <w14:textFill>
            <w14:solidFill>
              <w14:schemeClr w14:val="tx1"/>
            </w14:solidFill>
          </w14:textFill>
        </w:rPr>
        <w:t>64.14</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*100%=</w:t>
      </w:r>
      <w:r>
        <w:rPr>
          <w:rFonts w:hint="default" w:ascii="仿宋_GB2312" w:eastAsia="仿宋_GB2312" w:cs="仿宋_GB2312"/>
          <w:color w:val="000000" w:themeColor="text1"/>
          <w:sz w:val="32"/>
          <w:szCs w:val="32"/>
          <w:lang w:val="en-US"/>
          <w14:textFill>
            <w14:solidFill>
              <w14:schemeClr w14:val="tx1"/>
            </w14:solidFill>
          </w14:textFill>
        </w:rPr>
        <w:t>246.9</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）预算支出调整率（</w:t>
      </w:r>
      <w:r>
        <w:rPr>
          <w:rFonts w:ascii="仿宋_GB2312" w:eastAsia="仿宋_GB2312" w:cs="仿宋_GB2312"/>
          <w:sz w:val="32"/>
          <w:szCs w:val="32"/>
        </w:rPr>
        <w:t>2</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sz w:val="32"/>
          <w:szCs w:val="32"/>
        </w:rPr>
        <w:t>预算支出调整率</w:t>
      </w:r>
      <w:r>
        <w:rPr>
          <w:rFonts w:ascii="仿宋_GB2312" w:eastAsia="仿宋_GB2312" w:cs="仿宋_GB2312"/>
          <w:sz w:val="32"/>
          <w:szCs w:val="32"/>
        </w:rPr>
        <w:t>=</w:t>
      </w:r>
      <w:r>
        <w:rPr>
          <w:rFonts w:hint="eastAsia" w:ascii="仿宋_GB2312" w:eastAsia="仿宋_GB2312" w:cs="仿宋_GB2312"/>
          <w:color w:val="000000" w:themeColor="text1"/>
          <w:sz w:val="32"/>
          <w:szCs w:val="32"/>
          <w14:textFill>
            <w14:solidFill>
              <w14:schemeClr w14:val="tx1"/>
            </w14:solidFill>
          </w14:textFill>
        </w:rPr>
        <w:t>（</w:t>
      </w:r>
      <w:r>
        <w:rPr>
          <w:rFonts w:hint="default" w:ascii="仿宋_GB2312" w:eastAsia="仿宋_GB2312" w:cs="仿宋_GB2312"/>
          <w:color w:val="000000" w:themeColor="text1"/>
          <w:sz w:val="32"/>
          <w:szCs w:val="32"/>
          <w:lang w:val="en-US"/>
          <w14:textFill>
            <w14:solidFill>
              <w14:schemeClr w14:val="tx1"/>
            </w14:solidFill>
          </w14:textFill>
        </w:rPr>
        <w:t>64.14-158.39</w:t>
      </w:r>
      <w:r>
        <w:rPr>
          <w:rFonts w:hint="eastAsia" w:ascii="仿宋_GB2312" w:eastAsia="仿宋_GB2312" w:cs="仿宋_GB2312"/>
          <w:color w:val="000000" w:themeColor="text1"/>
          <w:sz w:val="32"/>
          <w:szCs w:val="32"/>
          <w14:textFill>
            <w14:solidFill>
              <w14:schemeClr w14:val="tx1"/>
            </w14:solidFill>
          </w14:textFill>
        </w:rPr>
        <w:t>）</w:t>
      </w:r>
      <w:r>
        <w:rPr>
          <w:rFonts w:hint="default" w:ascii="仿宋_GB2312" w:eastAsia="仿宋_GB2312" w:cs="仿宋_GB2312"/>
          <w:color w:val="000000" w:themeColor="text1"/>
          <w:sz w:val="32"/>
          <w:szCs w:val="32"/>
          <w:lang w:val="en-US"/>
          <w14:textFill>
            <w14:solidFill>
              <w14:schemeClr w14:val="tx1"/>
            </w14:solidFill>
          </w14:textFill>
        </w:rPr>
        <w:t>/158.39</w:t>
      </w:r>
      <w:r>
        <w:rPr>
          <w:rFonts w:ascii="仿宋_GB2312" w:eastAsia="仿宋_GB2312" w:cs="仿宋_GB2312"/>
          <w:color w:val="000000" w:themeColor="text1"/>
          <w:sz w:val="32"/>
          <w:szCs w:val="32"/>
          <w14:textFill>
            <w14:solidFill>
              <w14:schemeClr w14:val="tx1"/>
            </w14:solidFill>
          </w14:textFill>
        </w:rPr>
        <w:t>*100%=</w:t>
      </w:r>
      <w:r>
        <w:rPr>
          <w:rFonts w:hint="default" w:ascii="仿宋_GB2312" w:eastAsia="仿宋_GB2312" w:cs="仿宋_GB2312"/>
          <w:color w:val="000000" w:themeColor="text1"/>
          <w:sz w:val="32"/>
          <w:szCs w:val="32"/>
          <w:lang w:val="en-US"/>
          <w14:textFill>
            <w14:solidFill>
              <w14:schemeClr w14:val="tx1"/>
            </w14:solidFill>
          </w14:textFill>
        </w:rPr>
        <w:t>59.5</w:t>
      </w:r>
      <w:r>
        <w:rPr>
          <w:rFonts w:ascii="仿宋_GB2312" w:eastAsia="仿宋_GB2312" w:cs="仿宋_GB2312"/>
          <w:color w:val="000000" w:themeColor="text1"/>
          <w:sz w:val="32"/>
          <w:szCs w:val="32"/>
          <w14:textFill>
            <w14:solidFill>
              <w14:schemeClr w14:val="tx1"/>
            </w14:solidFill>
          </w14:textFill>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1</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）财政拨款支出完成率（</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财政拨款支出完成率</w:t>
      </w:r>
      <w:r>
        <w:rPr>
          <w:rFonts w:ascii="仿宋_GB2312" w:eastAsia="仿宋_GB2312" w:cs="仿宋_GB2312"/>
          <w:sz w:val="32"/>
          <w:szCs w:val="32"/>
        </w:rPr>
        <w:t>=</w:t>
      </w:r>
      <w:r>
        <w:rPr>
          <w:rFonts w:hint="eastAsia" w:ascii="仿宋_GB2312" w:eastAsia="仿宋_GB2312" w:cs="仿宋_GB2312"/>
          <w:sz w:val="32"/>
          <w:szCs w:val="32"/>
        </w:rPr>
        <w:t>（部门决算财政拨款支出</w:t>
      </w:r>
      <w:r>
        <w:rPr>
          <w:rFonts w:ascii="仿宋_GB2312" w:eastAsia="仿宋_GB2312" w:cs="仿宋_GB2312"/>
          <w:sz w:val="32"/>
          <w:szCs w:val="32"/>
        </w:rPr>
        <w:t>/</w:t>
      </w:r>
      <w:r>
        <w:rPr>
          <w:rFonts w:hint="eastAsia" w:ascii="仿宋_GB2312" w:eastAsia="仿宋_GB2312" w:cs="仿宋_GB2312"/>
          <w:sz w:val="32"/>
          <w:szCs w:val="32"/>
        </w:rPr>
        <w:t>部门决算财政拨款收入）</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区总工会提供的</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年决算文本</w:t>
      </w:r>
      <w:r>
        <w:rPr>
          <w:rFonts w:hint="eastAsia" w:ascii="仿宋_GB2312" w:eastAsia="仿宋_GB2312" w:cs="仿宋_GB2312"/>
          <w:color w:val="000000" w:themeColor="text1"/>
          <w:sz w:val="32"/>
          <w:szCs w:val="32"/>
          <w14:textFill>
            <w14:solidFill>
              <w14:schemeClr w14:val="tx1"/>
            </w14:solidFill>
          </w14:textFill>
        </w:rPr>
        <w:t>，部门决算财政拨款支出数</w:t>
      </w:r>
      <w:r>
        <w:rPr>
          <w:rFonts w:hint="default" w:ascii="仿宋_GB2312" w:eastAsia="仿宋_GB2312" w:cs="仿宋_GB2312"/>
          <w:color w:val="000000" w:themeColor="text1"/>
          <w:sz w:val="32"/>
          <w:szCs w:val="32"/>
          <w:lang w:val="en-US"/>
          <w14:textFill>
            <w14:solidFill>
              <w14:schemeClr w14:val="tx1"/>
            </w14:solidFill>
          </w14:textFill>
        </w:rPr>
        <w:t>158.39</w:t>
      </w:r>
      <w:r>
        <w:rPr>
          <w:rFonts w:hint="eastAsia" w:ascii="仿宋_GB2312" w:eastAsia="仿宋_GB2312" w:cs="仿宋_GB2312"/>
          <w:color w:val="000000" w:themeColor="text1"/>
          <w:sz w:val="32"/>
          <w:szCs w:val="32"/>
          <w14:textFill>
            <w14:solidFill>
              <w14:schemeClr w14:val="tx1"/>
            </w14:solidFill>
          </w14:textFill>
        </w:rPr>
        <w:t>万元，财政拨款收入数</w:t>
      </w:r>
      <w:r>
        <w:rPr>
          <w:rFonts w:hint="default" w:ascii="仿宋_GB2312" w:eastAsia="仿宋_GB2312" w:cs="仿宋_GB2312"/>
          <w:color w:val="000000" w:themeColor="text1"/>
          <w:sz w:val="32"/>
          <w:szCs w:val="32"/>
          <w:lang w:val="en-US"/>
          <w14:textFill>
            <w14:solidFill>
              <w14:schemeClr w14:val="tx1"/>
            </w14:solidFill>
          </w14:textFill>
        </w:rPr>
        <w:t>158.39</w:t>
      </w:r>
      <w:r>
        <w:rPr>
          <w:rFonts w:hint="eastAsia" w:ascii="仿宋_GB2312" w:eastAsia="仿宋_GB2312" w:cs="仿宋_GB2312"/>
          <w:color w:val="000000" w:themeColor="text1"/>
          <w:sz w:val="32"/>
          <w:szCs w:val="32"/>
          <w14:textFill>
            <w14:solidFill>
              <w14:schemeClr w14:val="tx1"/>
            </w14:solidFill>
          </w14:textFill>
        </w:rPr>
        <w:t>万元，财政拨款支出率</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（财政拨款支出数</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财政拨款收入数）</w:t>
      </w:r>
      <w:r>
        <w:rPr>
          <w:rFonts w:ascii="仿宋_GB2312" w:eastAsia="仿宋_GB2312" w:cs="仿宋_GB2312"/>
          <w:sz w:val="32"/>
          <w:szCs w:val="32"/>
        </w:rPr>
        <w:t>*100%=100%</w:t>
      </w:r>
      <w:r>
        <w:rPr>
          <w:rFonts w:ascii="Arial" w:hAnsi="Arial" w:eastAsia="仿宋_GB2312" w:cs="Arial"/>
          <w:sz w:val="32"/>
          <w:szCs w:val="32"/>
        </w:rPr>
        <w:t>≥</w:t>
      </w:r>
      <w:r>
        <w:rPr>
          <w:rFonts w:ascii="仿宋_GB2312" w:eastAsia="仿宋_GB2312" w:cs="仿宋_GB2312"/>
          <w:sz w:val="32"/>
          <w:szCs w:val="32"/>
        </w:rPr>
        <w:t>90%</w:t>
      </w:r>
      <w:r>
        <w:rPr>
          <w:rFonts w:hint="eastAsia" w:ascii="仿宋_GB2312" w:eastAsia="仿宋_GB2312" w:cs="仿宋_GB2312"/>
          <w:sz w:val="32"/>
          <w:szCs w:val="32"/>
        </w:rPr>
        <w:t>。区总工会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年年初结转和结余</w:t>
      </w:r>
      <w:r>
        <w:rPr>
          <w:rFonts w:ascii="仿宋_GB2312" w:eastAsia="仿宋_GB2312" w:cs="仿宋_GB2312"/>
          <w:sz w:val="32"/>
          <w:szCs w:val="32"/>
        </w:rPr>
        <w:t>0</w:t>
      </w:r>
      <w:r>
        <w:rPr>
          <w:rFonts w:hint="eastAsia" w:ascii="仿宋_GB2312" w:eastAsia="仿宋_GB2312" w:cs="仿宋_GB2312"/>
          <w:sz w:val="32"/>
          <w:szCs w:val="32"/>
        </w:rPr>
        <w:t>万元。</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）“三公”经费控制率（</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财政局未划拨“三公”经费，该指标实际得分</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）政府采购执行率（</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财政局未划拨经费，所有未发生政府采购。</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该指标实际得分为</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）资金使用合规性（</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年明细账、会计凭证等相关资料，区总工会资金使用符合相关会计准则和财务制度，资金拨付有完备的审批程序和手续，资金使用符合部门预算批复的用途，未发现截留、挤占、挪用财政资金的情况。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8</w:t>
      </w:r>
      <w:r>
        <w:rPr>
          <w:rFonts w:hint="eastAsia" w:ascii="仿宋_GB2312" w:eastAsia="仿宋_GB2312" w:cs="仿宋_GB2312"/>
          <w:sz w:val="32"/>
          <w:szCs w:val="32"/>
        </w:rPr>
        <w:t>）决算真实性（</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经核查区总工会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年决算文本、明细账及总账，区总工会决算文本数据均与明细账、总账一致。</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预算管理（</w:t>
      </w:r>
      <w:r>
        <w:rPr>
          <w:rFonts w:ascii="仿宋_GB2312" w:eastAsia="仿宋_GB2312" w:cs="仿宋_GB2312"/>
          <w:sz w:val="32"/>
          <w:szCs w:val="32"/>
        </w:rPr>
        <w:t>16</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）管理制度健全性（</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区总工会工作制度涵盖了财务制度、网络安全制度、公务用车制度等相关制度，经检查区总工会付款流程审批单、资产盘点表等资料，区总工会已按照相关管理制度的规定执行。</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）预决算信息公开性（</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年按政府信息公开的有关要求在保定市徐水区人民政府网公开了</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）基础信息完善性（</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根据区总工会提供的会计账簿、凭证及其他相关资料，区总工会会计信息资料真实完整，</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）资产管理规范性（</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根据《工会法》有关规定，工会资产不归当地政府。</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绩效评价（</w:t>
      </w:r>
      <w:r>
        <w:rPr>
          <w:rFonts w:ascii="仿宋_GB2312" w:eastAsia="仿宋_GB2312" w:cs="仿宋_GB2312"/>
          <w:sz w:val="32"/>
          <w:szCs w:val="32"/>
        </w:rPr>
        <w:t>8</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）绩效自评覆盖率（</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绩效自评覆盖率</w:t>
      </w:r>
      <w:r>
        <w:rPr>
          <w:rFonts w:ascii="仿宋_GB2312" w:eastAsia="仿宋_GB2312" w:cs="仿宋_GB2312"/>
          <w:sz w:val="32"/>
          <w:szCs w:val="32"/>
        </w:rPr>
        <w:t>=</w:t>
      </w:r>
      <w:r>
        <w:rPr>
          <w:rFonts w:hint="eastAsia" w:ascii="仿宋_GB2312" w:eastAsia="仿宋_GB2312" w:cs="仿宋_GB2312"/>
          <w:sz w:val="32"/>
          <w:szCs w:val="32"/>
        </w:rPr>
        <w:t>（报送相关自评材料的数量</w:t>
      </w:r>
      <w:r>
        <w:rPr>
          <w:rFonts w:ascii="仿宋_GB2312" w:eastAsia="仿宋_GB2312" w:cs="仿宋_GB2312"/>
          <w:sz w:val="32"/>
          <w:szCs w:val="32"/>
        </w:rPr>
        <w:t>/</w:t>
      </w:r>
      <w:r>
        <w:rPr>
          <w:rFonts w:hint="eastAsia" w:ascii="仿宋_GB2312" w:eastAsia="仿宋_GB2312" w:cs="仿宋_GB2312"/>
          <w:sz w:val="32"/>
          <w:szCs w:val="32"/>
        </w:rPr>
        <w:t>应实施项目绩效自评数量）</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根据徐水区财政局《关于开展</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年度财政专项资金部门绩效自评价工作的通知》及徐水区区总工会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年一般项目部门绩效自评表，区总工会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年开展绩效自评的项目数为</w:t>
      </w:r>
      <w:r>
        <w:rPr>
          <w:rFonts w:hint="default" w:ascii="仿宋_GB2312" w:eastAsia="仿宋_GB2312" w:cs="仿宋_GB2312"/>
          <w:sz w:val="32"/>
          <w:szCs w:val="32"/>
          <w:lang w:val="en-US"/>
        </w:rPr>
        <w:t>4</w:t>
      </w:r>
      <w:r>
        <w:rPr>
          <w:rFonts w:hint="eastAsia" w:ascii="仿宋_GB2312" w:eastAsia="仿宋_GB2312" w:cs="仿宋_GB2312"/>
          <w:sz w:val="32"/>
          <w:szCs w:val="32"/>
        </w:rPr>
        <w:t>个，年初预算文本项目数</w:t>
      </w:r>
      <w:r>
        <w:rPr>
          <w:rFonts w:hint="default" w:ascii="仿宋_GB2312" w:eastAsia="仿宋_GB2312" w:cs="仿宋_GB2312"/>
          <w:sz w:val="32"/>
          <w:szCs w:val="32"/>
          <w:lang w:val="en-US"/>
        </w:rPr>
        <w:t>4</w:t>
      </w:r>
      <w:r>
        <w:rPr>
          <w:rFonts w:hint="eastAsia" w:ascii="仿宋_GB2312" w:eastAsia="仿宋_GB2312" w:cs="仿宋_GB2312"/>
          <w:sz w:val="32"/>
          <w:szCs w:val="32"/>
        </w:rPr>
        <w:t>个，要求自评项目个数</w:t>
      </w:r>
      <w:r>
        <w:rPr>
          <w:rFonts w:hint="default" w:ascii="仿宋_GB2312" w:eastAsia="仿宋_GB2312" w:cs="仿宋_GB2312"/>
          <w:sz w:val="32"/>
          <w:szCs w:val="32"/>
          <w:lang w:val="en-US"/>
        </w:rPr>
        <w:t>4</w:t>
      </w:r>
      <w:r>
        <w:rPr>
          <w:rFonts w:hint="eastAsia" w:ascii="仿宋_GB2312" w:eastAsia="仿宋_GB2312" w:cs="仿宋_GB2312"/>
          <w:sz w:val="32"/>
          <w:szCs w:val="32"/>
        </w:rPr>
        <w:t>个，自评覆盖率为</w:t>
      </w:r>
      <w:r>
        <w:rPr>
          <w:rFonts w:ascii="仿宋_GB2312" w:eastAsia="仿宋_GB2312" w:cs="仿宋_GB2312"/>
          <w:sz w:val="32"/>
          <w:szCs w:val="32"/>
        </w:rPr>
        <w:t xml:space="preserve"> 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）绩效评价优等率（</w:t>
      </w:r>
      <w:r>
        <w:rPr>
          <w:rFonts w:ascii="仿宋_GB2312" w:eastAsia="仿宋_GB2312" w:cs="仿宋_GB2312"/>
          <w:sz w:val="32"/>
          <w:szCs w:val="32"/>
        </w:rPr>
        <w:t>4</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绩效评价优等率</w:t>
      </w:r>
      <w:r>
        <w:rPr>
          <w:rFonts w:ascii="仿宋_GB2312" w:eastAsia="仿宋_GB2312" w:cs="仿宋_GB2312"/>
          <w:sz w:val="32"/>
          <w:szCs w:val="32"/>
        </w:rPr>
        <w:t>=</w:t>
      </w:r>
      <w:r>
        <w:rPr>
          <w:rFonts w:hint="eastAsia" w:ascii="仿宋_GB2312" w:eastAsia="仿宋_GB2312" w:cs="仿宋_GB2312"/>
          <w:sz w:val="32"/>
          <w:szCs w:val="32"/>
        </w:rPr>
        <w:t>（结果达到优等的数量</w:t>
      </w:r>
      <w:r>
        <w:rPr>
          <w:rFonts w:ascii="仿宋_GB2312" w:eastAsia="仿宋_GB2312" w:cs="仿宋_GB2312"/>
          <w:sz w:val="32"/>
          <w:szCs w:val="32"/>
        </w:rPr>
        <w:t>/</w:t>
      </w:r>
      <w:r>
        <w:rPr>
          <w:rFonts w:hint="eastAsia" w:ascii="仿宋_GB2312" w:eastAsia="仿宋_GB2312" w:cs="仿宋_GB2312"/>
          <w:sz w:val="32"/>
          <w:szCs w:val="32"/>
        </w:rPr>
        <w:t>参评数量）</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区位</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年参评数量</w:t>
      </w:r>
      <w:r>
        <w:rPr>
          <w:rFonts w:ascii="仿宋_GB2312" w:eastAsia="仿宋_GB2312" w:cs="仿宋_GB2312"/>
          <w:sz w:val="32"/>
          <w:szCs w:val="32"/>
        </w:rPr>
        <w:t>1</w:t>
      </w:r>
      <w:r>
        <w:rPr>
          <w:rFonts w:hint="eastAsia" w:ascii="仿宋_GB2312" w:eastAsia="仿宋_GB2312" w:cs="仿宋_GB2312"/>
          <w:sz w:val="32"/>
          <w:szCs w:val="32"/>
        </w:rPr>
        <w:t>个，绩效评价结果达到优等的数量</w:t>
      </w:r>
      <w:r>
        <w:rPr>
          <w:rFonts w:ascii="仿宋_GB2312" w:eastAsia="仿宋_GB2312" w:cs="仿宋_GB2312"/>
          <w:sz w:val="32"/>
          <w:szCs w:val="32"/>
        </w:rPr>
        <w:t>1</w:t>
      </w:r>
      <w:r>
        <w:rPr>
          <w:rFonts w:hint="eastAsia" w:ascii="仿宋_GB2312" w:eastAsia="仿宋_GB2312" w:cs="仿宋_GB2312"/>
          <w:sz w:val="32"/>
          <w:szCs w:val="32"/>
        </w:rPr>
        <w:t>个，绩效评价优等率为</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该指标实际得分</w:t>
      </w:r>
      <w:r>
        <w:rPr>
          <w:rFonts w:ascii="仿宋_GB2312" w:eastAsia="仿宋_GB2312" w:cs="仿宋_GB2312"/>
          <w:sz w:val="32"/>
          <w:szCs w:val="32"/>
        </w:rPr>
        <w:t>4</w:t>
      </w:r>
      <w:r>
        <w:rPr>
          <w:rFonts w:hint="eastAsia" w:ascii="仿宋_GB2312" w:eastAsia="仿宋_GB2312" w:cs="仿宋_GB2312"/>
          <w:sz w:val="32"/>
          <w:szCs w:val="32"/>
        </w:rPr>
        <w:t>分。</w:t>
      </w:r>
      <w:bookmarkEnd w:id="61"/>
      <w:bookmarkEnd w:id="62"/>
    </w:p>
    <w:p>
      <w:pPr>
        <w:pStyle w:val="4"/>
        <w:spacing w:before="0" w:after="0"/>
        <w:ind w:firstLine="643" w:firstLineChars="200"/>
        <w:jc w:val="both"/>
        <w:rPr>
          <w:rFonts w:ascii="楷体" w:hAnsi="楷体" w:eastAsia="楷体" w:cs="Tahoma"/>
          <w:sz w:val="32"/>
          <w:szCs w:val="32"/>
        </w:rPr>
      </w:pPr>
      <w:bookmarkStart w:id="63" w:name="_Toc12330"/>
      <w:r>
        <w:rPr>
          <w:rFonts w:hint="eastAsia" w:ascii="楷体" w:hAnsi="楷体" w:eastAsia="楷体" w:cs="楷体"/>
          <w:sz w:val="32"/>
          <w:szCs w:val="32"/>
        </w:rPr>
        <w:t>（三）产出（</w:t>
      </w:r>
      <w:r>
        <w:rPr>
          <w:rFonts w:ascii="楷体" w:hAnsi="楷体" w:eastAsia="楷体" w:cs="楷体"/>
          <w:sz w:val="32"/>
          <w:szCs w:val="32"/>
        </w:rPr>
        <w:t>25</w:t>
      </w:r>
      <w:r>
        <w:rPr>
          <w:rFonts w:hint="eastAsia" w:ascii="楷体" w:hAnsi="楷体" w:eastAsia="楷体" w:cs="楷体"/>
          <w:sz w:val="32"/>
          <w:szCs w:val="32"/>
        </w:rPr>
        <w:t>分）</w:t>
      </w:r>
      <w:bookmarkEnd w:id="63"/>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该一级指标包含责任履行一个二级指标，主要反映结转结余率，项目资金使用率</w:t>
      </w:r>
      <w:r>
        <w:rPr>
          <w:rFonts w:ascii="仿宋_GB2312" w:eastAsia="仿宋_GB2312" w:cs="仿宋_GB2312"/>
          <w:sz w:val="32"/>
          <w:szCs w:val="32"/>
        </w:rPr>
        <w:t>.</w:t>
      </w:r>
      <w:r>
        <w:rPr>
          <w:rFonts w:hint="eastAsia" w:ascii="仿宋_GB2312" w:eastAsia="仿宋_GB2312" w:cs="仿宋_GB2312"/>
          <w:sz w:val="32"/>
          <w:szCs w:val="32"/>
        </w:rPr>
        <w:t>劳模体检人数，劳模体检率，体检完成率。</w:t>
      </w:r>
    </w:p>
    <w:p>
      <w:pPr>
        <w:spacing w:after="0" w:line="360" w:lineRule="auto"/>
        <w:jc w:val="center"/>
        <w:textAlignment w:val="baseline"/>
        <w:rPr>
          <w:rFonts w:hint="eastAsia" w:ascii="宋体" w:hAnsi="宋体" w:eastAsia="宋体" w:cs="宋体"/>
          <w:b/>
          <w:bCs/>
          <w:sz w:val="32"/>
          <w:szCs w:val="32"/>
        </w:rPr>
      </w:pPr>
    </w:p>
    <w:p>
      <w:pPr>
        <w:spacing w:after="0" w:line="360" w:lineRule="auto"/>
        <w:jc w:val="center"/>
        <w:textAlignment w:val="baseline"/>
        <w:rPr>
          <w:rFonts w:hint="eastAsia" w:ascii="宋体" w:hAnsi="宋体" w:eastAsia="宋体" w:cs="宋体"/>
          <w:b/>
          <w:bCs/>
          <w:sz w:val="32"/>
          <w:szCs w:val="32"/>
        </w:rPr>
      </w:pPr>
    </w:p>
    <w:p>
      <w:pPr>
        <w:spacing w:after="0" w:line="360" w:lineRule="auto"/>
        <w:jc w:val="center"/>
        <w:textAlignment w:val="baseline"/>
        <w:rPr>
          <w:rFonts w:hint="eastAsia" w:ascii="宋体" w:hAnsi="宋体" w:eastAsia="宋体" w:cs="宋体"/>
          <w:b/>
          <w:bCs/>
          <w:sz w:val="32"/>
          <w:szCs w:val="32"/>
        </w:rPr>
      </w:pPr>
    </w:p>
    <w:p>
      <w:pPr>
        <w:spacing w:after="0" w:line="360" w:lineRule="auto"/>
        <w:jc w:val="center"/>
        <w:textAlignment w:val="baseline"/>
        <w:rPr>
          <w:rFonts w:hint="eastAsia" w:ascii="宋体" w:hAnsi="宋体" w:eastAsia="宋体" w:cs="宋体"/>
          <w:b/>
          <w:bCs/>
          <w:sz w:val="32"/>
          <w:szCs w:val="32"/>
        </w:rPr>
      </w:pPr>
    </w:p>
    <w:p>
      <w:pPr>
        <w:spacing w:after="0" w:line="360" w:lineRule="auto"/>
        <w:jc w:val="center"/>
        <w:textAlignment w:val="baseline"/>
        <w:rPr>
          <w:rFonts w:ascii="宋体" w:hAnsi="宋体" w:eastAsia="宋体"/>
          <w:b/>
          <w:bCs/>
          <w:sz w:val="32"/>
          <w:szCs w:val="32"/>
        </w:rPr>
      </w:pPr>
      <w:r>
        <w:rPr>
          <w:rFonts w:hint="eastAsia" w:ascii="宋体" w:hAnsi="宋体" w:eastAsia="宋体" w:cs="宋体"/>
          <w:b/>
          <w:bCs/>
          <w:sz w:val="32"/>
          <w:szCs w:val="32"/>
        </w:rPr>
        <w:t>表</w:t>
      </w:r>
      <w:r>
        <w:rPr>
          <w:rFonts w:ascii="宋体" w:hAnsi="宋体" w:eastAsia="宋体" w:cs="宋体"/>
          <w:b/>
          <w:bCs/>
          <w:sz w:val="32"/>
          <w:szCs w:val="32"/>
        </w:rPr>
        <w:t xml:space="preserve">4  </w:t>
      </w:r>
      <w:r>
        <w:rPr>
          <w:rFonts w:hint="eastAsia" w:ascii="宋体" w:hAnsi="宋体" w:eastAsia="宋体" w:cs="宋体"/>
          <w:b/>
          <w:bCs/>
          <w:sz w:val="32"/>
          <w:szCs w:val="32"/>
        </w:rPr>
        <w:t>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产出</w:t>
            </w:r>
          </w:p>
          <w:p>
            <w:pPr>
              <w:spacing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25</w:t>
            </w:r>
            <w:r>
              <w:rPr>
                <w:rFonts w:hint="eastAsia" w:ascii="宋体" w:hAnsi="宋体" w:eastAsia="宋体" w:cs="宋体"/>
                <w:sz w:val="21"/>
                <w:szCs w:val="21"/>
              </w:rPr>
              <w:t>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责任履行（</w:t>
            </w:r>
            <w:r>
              <w:rPr>
                <w:rFonts w:ascii="宋体" w:hAnsi="宋体" w:eastAsia="宋体" w:cs="宋体"/>
                <w:sz w:val="21"/>
                <w:szCs w:val="21"/>
              </w:rPr>
              <w:t>25</w:t>
            </w:r>
            <w:r>
              <w:rPr>
                <w:rFonts w:hint="eastAsia" w:ascii="宋体" w:hAnsi="宋体" w:eastAsia="宋体" w:cs="宋体"/>
                <w:sz w:val="21"/>
                <w:szCs w:val="21"/>
              </w:rPr>
              <w:t>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3</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劳模体检率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困难帮扶率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法律援助案件办结率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25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23</w:t>
            </w:r>
          </w:p>
        </w:tc>
      </w:tr>
    </w:tbl>
    <w:p>
      <w:pPr>
        <w:spacing w:after="0" w:line="360" w:lineRule="auto"/>
        <w:ind w:firstLine="640" w:firstLineChars="200"/>
        <w:jc w:val="both"/>
        <w:textAlignment w:val="baseline"/>
        <w:rPr>
          <w:rFonts w:ascii="仿宋_GB2312" w:eastAsia="仿宋_GB2312"/>
          <w:sz w:val="32"/>
          <w:szCs w:val="32"/>
        </w:rPr>
      </w:pPr>
      <w:bookmarkStart w:id="64" w:name="_Toc464638518"/>
      <w:bookmarkStart w:id="65" w:name="_Toc465149515"/>
      <w:r>
        <w:rPr>
          <w:rFonts w:ascii="仿宋_GB2312" w:eastAsia="仿宋_GB2312" w:cs="仿宋_GB2312"/>
          <w:sz w:val="32"/>
          <w:szCs w:val="32"/>
        </w:rPr>
        <w:t>1.</w:t>
      </w:r>
      <w:r>
        <w:rPr>
          <w:rFonts w:hint="eastAsia" w:ascii="仿宋_GB2312" w:eastAsia="仿宋_GB2312" w:cs="仿宋_GB2312"/>
          <w:sz w:val="32"/>
          <w:szCs w:val="32"/>
        </w:rPr>
        <w:t>结转结余率（</w:t>
      </w:r>
      <w:r>
        <w:rPr>
          <w:rFonts w:ascii="仿宋_GB2312" w:eastAsia="仿宋_GB2312" w:cs="仿宋_GB2312"/>
          <w:sz w:val="32"/>
          <w:szCs w:val="32"/>
        </w:rPr>
        <w:t>5</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结转结余率</w:t>
      </w:r>
      <w:r>
        <w:rPr>
          <w:rFonts w:ascii="仿宋_GB2312" w:eastAsia="仿宋_GB2312" w:cs="仿宋_GB2312"/>
          <w:sz w:val="32"/>
          <w:szCs w:val="32"/>
        </w:rPr>
        <w:t>=</w:t>
      </w:r>
      <w:r>
        <w:rPr>
          <w:rFonts w:hint="eastAsia" w:ascii="仿宋_GB2312" w:eastAsia="仿宋_GB2312" w:cs="仿宋_GB2312"/>
          <w:sz w:val="32"/>
          <w:szCs w:val="32"/>
        </w:rPr>
        <w:t>（本年结转结余数</w:t>
      </w:r>
      <w:r>
        <w:rPr>
          <w:rFonts w:ascii="仿宋_GB2312" w:eastAsia="仿宋_GB2312" w:cs="仿宋_GB2312"/>
          <w:sz w:val="32"/>
          <w:szCs w:val="32"/>
        </w:rPr>
        <w:t>/</w:t>
      </w:r>
      <w:r>
        <w:rPr>
          <w:rFonts w:hint="eastAsia" w:ascii="仿宋_GB2312" w:eastAsia="仿宋_GB2312" w:cs="仿宋_GB2312"/>
          <w:sz w:val="32"/>
          <w:szCs w:val="32"/>
        </w:rPr>
        <w:t>决算收入数）</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根据区总工会单位</w:t>
      </w:r>
      <w:r>
        <w:rPr>
          <w:rFonts w:ascii="仿宋_GB2312" w:eastAsia="仿宋_GB2312" w:cs="仿宋_GB2312"/>
          <w:color w:val="000000" w:themeColor="text1"/>
          <w:sz w:val="32"/>
          <w:szCs w:val="32"/>
          <w14:textFill>
            <w14:solidFill>
              <w14:schemeClr w14:val="tx1"/>
            </w14:solidFill>
          </w14:textFill>
        </w:rPr>
        <w:t>202</w:t>
      </w:r>
      <w:r>
        <w:rPr>
          <w:rFonts w:hint="default" w:ascii="仿宋_GB2312" w:eastAsia="仿宋_GB2312" w:cs="仿宋_GB2312"/>
          <w:color w:val="000000" w:themeColor="text1"/>
          <w:sz w:val="32"/>
          <w:szCs w:val="32"/>
          <w:lang w:val="en-US"/>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年决算文本及相关资料，区总工会单位</w:t>
      </w:r>
      <w:r>
        <w:rPr>
          <w:rFonts w:ascii="仿宋_GB2312" w:eastAsia="仿宋_GB2312" w:cs="仿宋_GB2312"/>
          <w:color w:val="000000" w:themeColor="text1"/>
          <w:sz w:val="32"/>
          <w:szCs w:val="32"/>
          <w14:textFill>
            <w14:solidFill>
              <w14:schemeClr w14:val="tx1"/>
            </w14:solidFill>
          </w14:textFill>
        </w:rPr>
        <w:t>202</w:t>
      </w:r>
      <w:r>
        <w:rPr>
          <w:rFonts w:hint="default" w:ascii="仿宋_GB2312" w:eastAsia="仿宋_GB2312" w:cs="仿宋_GB2312"/>
          <w:color w:val="000000" w:themeColor="text1"/>
          <w:sz w:val="32"/>
          <w:szCs w:val="32"/>
          <w:lang w:val="en-US"/>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年结转结余资金</w:t>
      </w:r>
      <w:r>
        <w:rPr>
          <w:rFonts w:ascii="仿宋_GB2312" w:eastAsia="仿宋_GB2312" w:cs="仿宋_GB2312"/>
          <w:color w:val="000000" w:themeColor="text1"/>
          <w:sz w:val="32"/>
          <w:szCs w:val="32"/>
          <w14:textFill>
            <w14:solidFill>
              <w14:schemeClr w14:val="tx1"/>
            </w14:solidFill>
          </w14:textFill>
        </w:rPr>
        <w:t>0</w:t>
      </w:r>
      <w:r>
        <w:rPr>
          <w:rFonts w:hint="eastAsia" w:ascii="仿宋_GB2312" w:eastAsia="仿宋_GB2312" w:cs="仿宋_GB2312"/>
          <w:color w:val="000000" w:themeColor="text1"/>
          <w:sz w:val="32"/>
          <w:szCs w:val="32"/>
          <w14:textFill>
            <w14:solidFill>
              <w14:schemeClr w14:val="tx1"/>
            </w14:solidFill>
          </w14:textFill>
        </w:rPr>
        <w:t>万元，决算收入</w:t>
      </w:r>
      <w:r>
        <w:rPr>
          <w:rFonts w:hint="default" w:ascii="仿宋_GB2312" w:eastAsia="仿宋_GB2312" w:cs="仿宋_GB2312"/>
          <w:color w:val="000000" w:themeColor="text1"/>
          <w:sz w:val="32"/>
          <w:szCs w:val="32"/>
          <w:lang w:val="en-US"/>
          <w14:textFill>
            <w14:solidFill>
              <w14:schemeClr w14:val="tx1"/>
            </w14:solidFill>
          </w14:textFill>
        </w:rPr>
        <w:t>158.39</w:t>
      </w:r>
      <w:r>
        <w:rPr>
          <w:rFonts w:hint="eastAsia" w:ascii="仿宋_GB2312" w:eastAsia="仿宋_GB2312" w:cs="仿宋_GB2312"/>
          <w:color w:val="000000" w:themeColor="text1"/>
          <w:sz w:val="32"/>
          <w:szCs w:val="32"/>
          <w14:textFill>
            <w14:solidFill>
              <w14:schemeClr w14:val="tx1"/>
            </w14:solidFill>
          </w14:textFill>
        </w:rPr>
        <w:t>万元，结转结余率</w:t>
      </w:r>
      <w:r>
        <w:rPr>
          <w:rFonts w:ascii="仿宋_GB2312" w:eastAsia="仿宋_GB2312" w:cs="仿宋_GB2312"/>
          <w:color w:val="000000" w:themeColor="text1"/>
          <w:sz w:val="32"/>
          <w:szCs w:val="32"/>
          <w14:textFill>
            <w14:solidFill>
              <w14:schemeClr w14:val="tx1"/>
            </w14:solidFill>
          </w14:textFill>
        </w:rPr>
        <w:t>0%.</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3</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项目资金使用率（</w:t>
      </w:r>
      <w:r>
        <w:rPr>
          <w:rFonts w:ascii="仿宋_GB2312" w:eastAsia="仿宋_GB2312" w:cs="仿宋_GB2312"/>
          <w:sz w:val="32"/>
          <w:szCs w:val="32"/>
        </w:rPr>
        <w:t>5</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项目资金使用率</w:t>
      </w:r>
      <w:r>
        <w:rPr>
          <w:rFonts w:ascii="仿宋_GB2312" w:eastAsia="仿宋_GB2312" w:cs="仿宋_GB2312"/>
          <w:sz w:val="32"/>
          <w:szCs w:val="32"/>
        </w:rPr>
        <w:t>=</w:t>
      </w:r>
      <w:r>
        <w:rPr>
          <w:rFonts w:hint="eastAsia" w:ascii="仿宋_GB2312" w:eastAsia="仿宋_GB2312" w:cs="仿宋_GB2312"/>
          <w:sz w:val="32"/>
          <w:szCs w:val="32"/>
        </w:rPr>
        <w:t>（实际支出项目资金总额</w:t>
      </w:r>
      <w:r>
        <w:rPr>
          <w:rFonts w:ascii="仿宋_GB2312" w:eastAsia="仿宋_GB2312" w:cs="仿宋_GB2312"/>
          <w:sz w:val="32"/>
          <w:szCs w:val="32"/>
        </w:rPr>
        <w:t>/</w:t>
      </w:r>
      <w:r>
        <w:rPr>
          <w:rFonts w:hint="eastAsia" w:ascii="仿宋_GB2312" w:eastAsia="仿宋_GB2312" w:cs="仿宋_GB2312"/>
          <w:sz w:val="32"/>
          <w:szCs w:val="32"/>
        </w:rPr>
        <w:t>计划完整项目资金总数）</w:t>
      </w:r>
      <w:r>
        <w:rPr>
          <w:rFonts w:ascii="仿宋_GB2312" w:eastAsia="仿宋_GB2312" w:cs="仿宋_GB2312"/>
          <w:sz w:val="32"/>
          <w:szCs w:val="32"/>
        </w:rPr>
        <w:t>*100%</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区总工会</w:t>
      </w:r>
      <w:r>
        <w:rPr>
          <w:rFonts w:ascii="仿宋_GB2312" w:eastAsia="仿宋_GB2312" w:cs="仿宋_GB2312"/>
          <w:sz w:val="32"/>
          <w:szCs w:val="32"/>
        </w:rPr>
        <w:t>202</w:t>
      </w:r>
      <w:r>
        <w:rPr>
          <w:rFonts w:hint="default" w:ascii="仿宋_GB2312" w:eastAsia="仿宋_GB2312" w:cs="仿宋_GB2312"/>
          <w:sz w:val="32"/>
          <w:szCs w:val="32"/>
          <w:lang w:val="en-US"/>
        </w:rPr>
        <w:t>3</w:t>
      </w:r>
      <w:r>
        <w:rPr>
          <w:rFonts w:hint="eastAsia" w:ascii="仿宋_GB2312" w:eastAsia="仿宋_GB2312" w:cs="仿宋_GB2312"/>
          <w:sz w:val="32"/>
          <w:szCs w:val="32"/>
        </w:rPr>
        <w:t>年实际支出项目资金总额</w:t>
      </w:r>
      <w:r>
        <w:rPr>
          <w:rFonts w:hint="default" w:ascii="仿宋_GB2312" w:eastAsia="仿宋_GB2312" w:cs="仿宋_GB2312"/>
          <w:sz w:val="32"/>
          <w:szCs w:val="32"/>
          <w:lang w:val="en-US"/>
        </w:rPr>
        <w:t>16.74</w:t>
      </w:r>
      <w:r>
        <w:rPr>
          <w:rFonts w:hint="eastAsia" w:ascii="仿宋_GB2312" w:eastAsia="仿宋_GB2312" w:cs="仿宋_GB2312"/>
          <w:sz w:val="32"/>
          <w:szCs w:val="32"/>
        </w:rPr>
        <w:t>万元，年初预算共</w:t>
      </w:r>
      <w:r>
        <w:rPr>
          <w:rFonts w:hint="default" w:ascii="仿宋_GB2312" w:eastAsia="仿宋_GB2312" w:cs="仿宋_GB2312"/>
          <w:sz w:val="32"/>
          <w:szCs w:val="32"/>
          <w:lang w:val="en-US"/>
        </w:rPr>
        <w:t>2</w:t>
      </w:r>
      <w:r>
        <w:rPr>
          <w:rFonts w:hint="eastAsia" w:ascii="仿宋_GB2312" w:eastAsia="仿宋_GB2312" w:cs="仿宋_GB2312"/>
          <w:sz w:val="32"/>
          <w:szCs w:val="32"/>
        </w:rPr>
        <w:t>个项目，预算数</w:t>
      </w:r>
      <w:r>
        <w:rPr>
          <w:rFonts w:hint="default" w:ascii="仿宋_GB2312" w:eastAsia="仿宋_GB2312" w:cs="仿宋_GB2312"/>
          <w:sz w:val="32"/>
          <w:szCs w:val="32"/>
          <w:lang w:val="en-US"/>
        </w:rPr>
        <w:t>2.64</w:t>
      </w:r>
      <w:r>
        <w:rPr>
          <w:rFonts w:hint="eastAsia" w:ascii="仿宋_GB2312" w:eastAsia="仿宋_GB2312" w:cs="仿宋_GB2312"/>
          <w:sz w:val="32"/>
          <w:szCs w:val="32"/>
        </w:rPr>
        <w:t>万元，该指标实际得分</w:t>
      </w:r>
      <w:r>
        <w:rPr>
          <w:rFonts w:ascii="仿宋_GB2312" w:eastAsia="仿宋_GB2312" w:cs="仿宋_GB2312"/>
          <w:sz w:val="32"/>
          <w:szCs w:val="32"/>
        </w:rPr>
        <w:t>5</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劳模体检率（</w:t>
      </w:r>
      <w:r>
        <w:rPr>
          <w:rFonts w:ascii="仿宋_GB2312" w:eastAsia="仿宋_GB2312" w:cs="仿宋_GB2312"/>
          <w:sz w:val="32"/>
          <w:szCs w:val="32"/>
        </w:rPr>
        <w:t>5</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该指标主要评价劳模体检率，在册劳模已达到体检。财政拨款全部完成。</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困难帮扶率（</w:t>
      </w:r>
      <w:r>
        <w:rPr>
          <w:rFonts w:ascii="仿宋_GB2312" w:eastAsia="仿宋_GB2312" w:cs="仿宋_GB2312"/>
          <w:sz w:val="32"/>
          <w:szCs w:val="32"/>
        </w:rPr>
        <w:t>5</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该指标主要评价劳模体检率，在册困难职工已全部救助。</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法律援助案件办结率（</w:t>
      </w:r>
      <w:r>
        <w:rPr>
          <w:rFonts w:ascii="仿宋_GB2312" w:eastAsia="仿宋_GB2312" w:cs="仿宋_GB2312"/>
          <w:sz w:val="32"/>
          <w:szCs w:val="32"/>
        </w:rPr>
        <w:t>5</w:t>
      </w:r>
      <w:r>
        <w:rPr>
          <w:rFonts w:hint="eastAsia" w:ascii="仿宋_GB2312" w:eastAsia="仿宋_GB2312" w:cs="仿宋_GB2312"/>
          <w:sz w:val="32"/>
          <w:szCs w:val="32"/>
        </w:rPr>
        <w:t>）</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该指标主要评价法律援助案件办结率，需要援助的职工，按政策已全部结案。</w:t>
      </w:r>
    </w:p>
    <w:p>
      <w:pPr>
        <w:pStyle w:val="4"/>
        <w:spacing w:before="0" w:after="0"/>
        <w:ind w:firstLine="643" w:firstLineChars="200"/>
        <w:jc w:val="both"/>
        <w:rPr>
          <w:rFonts w:ascii="楷体" w:hAnsi="楷体" w:eastAsia="楷体" w:cs="Tahoma"/>
          <w:sz w:val="32"/>
          <w:szCs w:val="32"/>
        </w:rPr>
      </w:pPr>
      <w:bookmarkStart w:id="66" w:name="_Toc28363"/>
      <w:r>
        <w:rPr>
          <w:rFonts w:hint="eastAsia" w:ascii="楷体" w:hAnsi="楷体" w:eastAsia="楷体" w:cs="楷体"/>
          <w:sz w:val="32"/>
          <w:szCs w:val="32"/>
        </w:rPr>
        <w:t>（四）效果</w:t>
      </w:r>
      <w:bookmarkEnd w:id="64"/>
      <w:bookmarkEnd w:id="65"/>
      <w:r>
        <w:rPr>
          <w:rFonts w:hint="eastAsia" w:ascii="楷体" w:hAnsi="楷体" w:eastAsia="楷体" w:cs="楷体"/>
          <w:sz w:val="32"/>
          <w:szCs w:val="32"/>
        </w:rPr>
        <w:t>（</w:t>
      </w:r>
      <w:r>
        <w:rPr>
          <w:rFonts w:ascii="楷体" w:hAnsi="楷体" w:eastAsia="楷体" w:cs="楷体"/>
          <w:sz w:val="32"/>
          <w:szCs w:val="32"/>
        </w:rPr>
        <w:t>15</w:t>
      </w:r>
      <w:r>
        <w:rPr>
          <w:rFonts w:hint="eastAsia" w:ascii="楷体" w:hAnsi="楷体" w:eastAsia="楷体" w:cs="楷体"/>
          <w:sz w:val="32"/>
          <w:szCs w:val="32"/>
        </w:rPr>
        <w:t>分）</w:t>
      </w:r>
      <w:bookmarkEnd w:id="66"/>
    </w:p>
    <w:p>
      <w:pPr>
        <w:spacing w:after="0" w:line="360" w:lineRule="auto"/>
        <w:ind w:firstLine="640" w:firstLineChars="200"/>
        <w:jc w:val="both"/>
        <w:textAlignment w:val="baseline"/>
        <w:rPr>
          <w:rFonts w:ascii="仿宋_GB2312" w:eastAsia="仿宋_GB2312"/>
          <w:sz w:val="32"/>
          <w:szCs w:val="32"/>
        </w:rPr>
      </w:pPr>
      <w:bookmarkStart w:id="67" w:name="_Toc464638520"/>
      <w:r>
        <w:rPr>
          <w:rFonts w:hint="eastAsia" w:ascii="仿宋_GB2312" w:eastAsia="仿宋_GB2312" w:cs="仿宋_GB2312"/>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宋体" w:hAnsi="宋体" w:eastAsia="宋体"/>
          <w:b/>
          <w:bCs/>
          <w:sz w:val="32"/>
          <w:szCs w:val="32"/>
        </w:rPr>
      </w:pPr>
      <w:r>
        <w:rPr>
          <w:rFonts w:hint="eastAsia" w:ascii="宋体" w:hAnsi="宋体" w:eastAsia="宋体" w:cs="宋体"/>
          <w:b/>
          <w:bCs/>
          <w:sz w:val="32"/>
          <w:szCs w:val="32"/>
        </w:rPr>
        <w:t>表</w:t>
      </w:r>
      <w:r>
        <w:rPr>
          <w:rFonts w:ascii="宋体" w:hAnsi="宋体" w:eastAsia="宋体" w:cs="宋体"/>
          <w:b/>
          <w:bCs/>
          <w:sz w:val="32"/>
          <w:szCs w:val="32"/>
        </w:rPr>
        <w:t xml:space="preserve">5  </w:t>
      </w:r>
      <w:r>
        <w:rPr>
          <w:rFonts w:hint="eastAsia" w:ascii="宋体" w:hAnsi="宋体" w:eastAsia="宋体" w:cs="宋体"/>
          <w:b/>
          <w:bCs/>
          <w:sz w:val="32"/>
          <w:szCs w:val="32"/>
        </w:rPr>
        <w:t>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eastAsia="宋体"/>
                <w:b/>
                <w:bCs/>
                <w:sz w:val="21"/>
                <w:szCs w:val="21"/>
              </w:rPr>
            </w:pPr>
            <w:r>
              <w:rPr>
                <w:rFonts w:hint="eastAsia" w:ascii="宋体" w:hAnsi="宋体" w:eastAsia="宋体" w:cs="宋体"/>
                <w:b/>
                <w:bCs/>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sz w:val="21"/>
                <w:szCs w:val="21"/>
              </w:rPr>
            </w:pPr>
            <w:r>
              <w:rPr>
                <w:rFonts w:hint="eastAsia" w:ascii="宋体" w:hAnsi="宋体" w:eastAsia="宋体" w:cs="宋体"/>
                <w:sz w:val="21"/>
                <w:szCs w:val="21"/>
              </w:rPr>
              <w:t>项目效果</w:t>
            </w:r>
          </w:p>
          <w:p>
            <w:pPr>
              <w:spacing w:after="0"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15</w:t>
            </w:r>
            <w:r>
              <w:rPr>
                <w:rFonts w:hint="eastAsia" w:ascii="宋体" w:hAnsi="宋体" w:eastAsia="宋体" w:cs="宋体"/>
                <w:sz w:val="21"/>
                <w:szCs w:val="21"/>
              </w:rPr>
              <w:t>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sz w:val="21"/>
                <w:szCs w:val="21"/>
              </w:rPr>
            </w:pPr>
            <w:r>
              <w:rPr>
                <w:rFonts w:hint="eastAsia" w:ascii="宋体" w:hAnsi="宋体" w:eastAsia="宋体" w:cs="宋体"/>
                <w:sz w:val="21"/>
                <w:szCs w:val="21"/>
              </w:rPr>
              <w:t>履职效益</w:t>
            </w:r>
          </w:p>
          <w:p>
            <w:pPr>
              <w:spacing w:after="0" w:line="42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15</w:t>
            </w:r>
            <w:r>
              <w:rPr>
                <w:rFonts w:hint="eastAsia" w:ascii="宋体" w:hAnsi="宋体" w:eastAsia="宋体" w:cs="宋体"/>
                <w:sz w:val="21"/>
                <w:szCs w:val="21"/>
              </w:rPr>
              <w:t>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hint="eastAsia" w:ascii="宋体" w:hAnsi="宋体" w:eastAsia="宋体" w:cs="宋体"/>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ascii="宋体" w:hAnsi="宋体" w:eastAsia="宋体" w:cs="宋体"/>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sz w:val="21"/>
                <w:szCs w:val="21"/>
              </w:rPr>
            </w:pPr>
            <w:r>
              <w:rPr>
                <w:rFonts w:ascii="宋体" w:hAnsi="宋体" w:eastAsia="宋体" w:cs="宋体"/>
                <w:sz w:val="21"/>
                <w:szCs w:val="21"/>
              </w:rPr>
              <w:t>15</w:t>
            </w:r>
          </w:p>
        </w:tc>
      </w:tr>
      <w:bookmarkEnd w:id="67"/>
    </w:tbl>
    <w:p>
      <w:pPr>
        <w:spacing w:after="0" w:line="360" w:lineRule="auto"/>
        <w:ind w:firstLine="640" w:firstLineChars="200"/>
        <w:jc w:val="both"/>
        <w:textAlignment w:val="baseline"/>
        <w:rPr>
          <w:rFonts w:ascii="仿宋_GB2312" w:eastAsia="仿宋_GB2312"/>
          <w:sz w:val="32"/>
          <w:szCs w:val="32"/>
        </w:rPr>
      </w:pPr>
      <w:bookmarkStart w:id="68" w:name="_Toc464638561"/>
      <w:bookmarkStart w:id="69" w:name="_Toc492652784"/>
      <w:bookmarkStart w:id="70" w:name="_Toc465149516"/>
      <w:r>
        <w:rPr>
          <w:rFonts w:ascii="仿宋_GB2312" w:eastAsia="仿宋_GB2312" w:cs="仿宋_GB2312"/>
          <w:sz w:val="32"/>
          <w:szCs w:val="32"/>
        </w:rPr>
        <w:t>1.</w:t>
      </w:r>
      <w:r>
        <w:rPr>
          <w:rFonts w:hint="eastAsia" w:ascii="仿宋_GB2312" w:eastAsia="仿宋_GB2312" w:cs="仿宋_GB2312"/>
          <w:sz w:val="32"/>
          <w:szCs w:val="32"/>
        </w:rPr>
        <w:t>部门整体效益（</w:t>
      </w:r>
      <w:r>
        <w:rPr>
          <w:rFonts w:ascii="仿宋_GB2312" w:eastAsia="仿宋_GB2312" w:cs="仿宋_GB2312"/>
          <w:sz w:val="32"/>
          <w:szCs w:val="32"/>
        </w:rPr>
        <w:t>10</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经查看区总工会提供的相关资料，区总工会履行职责对社会发展所带来的社会效益较显著，有效的提高了社会公众的大局意识，减少了社会不稳定因素。</w:t>
      </w:r>
    </w:p>
    <w:p>
      <w:pPr>
        <w:spacing w:after="0" w:line="360" w:lineRule="auto"/>
        <w:ind w:firstLine="640" w:firstLineChars="200"/>
        <w:jc w:val="both"/>
        <w:textAlignment w:val="baseline"/>
        <w:rPr>
          <w:rFonts w:ascii="仿宋_GB2312" w:eastAsia="仿宋_GB2312"/>
          <w:sz w:val="32"/>
          <w:szCs w:val="32"/>
        </w:rPr>
      </w:pPr>
      <w:r>
        <w:rPr>
          <w:rFonts w:hint="eastAsia" w:ascii="仿宋_GB2312" w:eastAsia="仿宋_GB2312" w:cs="仿宋_GB2312"/>
          <w:sz w:val="32"/>
          <w:szCs w:val="32"/>
        </w:rPr>
        <w:t>该项指标实际得分</w:t>
      </w:r>
      <w:r>
        <w:rPr>
          <w:rFonts w:ascii="仿宋_GB2312" w:eastAsia="仿宋_GB2312" w:cs="仿宋_GB2312"/>
          <w:sz w:val="32"/>
          <w:szCs w:val="32"/>
        </w:rPr>
        <w:t>10</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考评满意度（</w:t>
      </w:r>
      <w:r>
        <w:rPr>
          <w:rFonts w:ascii="仿宋_GB2312" w:eastAsia="仿宋_GB2312" w:cs="仿宋_GB2312"/>
          <w:sz w:val="32"/>
          <w:szCs w:val="32"/>
        </w:rPr>
        <w:t>5</w:t>
      </w:r>
      <w:r>
        <w:rPr>
          <w:rFonts w:hint="eastAsia" w:ascii="仿宋_GB2312" w:eastAsia="仿宋_GB2312" w:cs="仿宋_GB2312"/>
          <w:sz w:val="32"/>
          <w:szCs w:val="32"/>
        </w:rPr>
        <w:t>分）</w:t>
      </w:r>
    </w:p>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针对该指标，我们随机选取了</w:t>
      </w:r>
      <w:r>
        <w:rPr>
          <w:rFonts w:ascii="仿宋_GB2312" w:hAnsi="宋体" w:eastAsia="仿宋_GB2312" w:cs="仿宋_GB2312"/>
          <w:sz w:val="32"/>
          <w:szCs w:val="32"/>
          <w:u w:color="000000"/>
        </w:rPr>
        <w:t>50</w:t>
      </w:r>
      <w:r>
        <w:rPr>
          <w:rFonts w:hint="eastAsia" w:ascii="仿宋_GB2312" w:hAnsi="宋体" w:eastAsia="仿宋_GB2312" w:cs="仿宋_GB2312"/>
          <w:sz w:val="32"/>
          <w:szCs w:val="32"/>
          <w:u w:color="000000"/>
        </w:rPr>
        <w:t>个调查对象进行了问卷调查，具体调查情况如下：</w:t>
      </w:r>
    </w:p>
    <w:p>
      <w:pPr>
        <w:spacing w:after="0" w:line="360" w:lineRule="auto"/>
        <w:jc w:val="center"/>
        <w:textAlignment w:val="baseline"/>
        <w:rPr>
          <w:rFonts w:ascii="宋体" w:hAnsi="宋体" w:eastAsia="宋体"/>
          <w:b/>
          <w:bCs/>
          <w:sz w:val="32"/>
          <w:szCs w:val="32"/>
          <w:u w:color="000000"/>
        </w:rPr>
      </w:pPr>
      <w:r>
        <w:rPr>
          <w:rFonts w:hint="eastAsia" w:ascii="宋体" w:hAnsi="宋体" w:eastAsia="宋体" w:cs="宋体"/>
          <w:b/>
          <w:bCs/>
          <w:sz w:val="32"/>
          <w:szCs w:val="32"/>
          <w:u w:color="000000"/>
        </w:rPr>
        <w:t>表</w:t>
      </w:r>
      <w:r>
        <w:rPr>
          <w:rFonts w:ascii="宋体" w:hAnsi="宋体" w:eastAsia="宋体" w:cs="宋体"/>
          <w:b/>
          <w:bCs/>
          <w:sz w:val="32"/>
          <w:szCs w:val="32"/>
          <w:u w:color="000000"/>
        </w:rPr>
        <w:t xml:space="preserve">6  </w:t>
      </w:r>
      <w:r>
        <w:rPr>
          <w:rFonts w:hint="eastAsia" w:ascii="宋体" w:hAnsi="宋体" w:eastAsia="宋体" w:cs="宋体"/>
          <w:b/>
          <w:bCs/>
          <w:sz w:val="32"/>
          <w:szCs w:val="32"/>
          <w:u w:color="000000"/>
        </w:rPr>
        <w:t>服务对象满意度调查问卷汇总表</w:t>
      </w:r>
    </w:p>
    <w:p>
      <w:pPr>
        <w:spacing w:after="0" w:line="540" w:lineRule="exact"/>
        <w:ind w:firstLine="6930" w:firstLineChars="3300"/>
        <w:jc w:val="both"/>
        <w:textAlignment w:val="baseline"/>
        <w:rPr>
          <w:rFonts w:ascii="仿宋_GB2312" w:hAnsi="宋体" w:eastAsia="仿宋_GB2312"/>
          <w:sz w:val="32"/>
          <w:szCs w:val="32"/>
          <w:u w:color="000000"/>
        </w:rPr>
      </w:pPr>
      <w:r>
        <w:rPr>
          <w:rFonts w:hint="eastAsia" w:ascii="宋体" w:hAnsi="宋体" w:eastAsia="宋体" w:cs="宋体"/>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ascii="宋体" w:hAnsi="宋体" w:eastAsia="宋体"/>
                <w:b/>
                <w:bCs/>
                <w:sz w:val="21"/>
                <w:szCs w:val="21"/>
                <w:u w:color="000000"/>
              </w:rPr>
            </w:pPr>
            <w:r>
              <w:rPr>
                <w:rFonts w:hint="eastAsia" w:ascii="宋体" w:hAnsi="宋体" w:eastAsia="宋体" w:cs="宋体"/>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ascii="宋体" w:hAnsi="宋体" w:eastAsia="宋体"/>
                <w:sz w:val="21"/>
                <w:szCs w:val="21"/>
                <w:u w:color="000000"/>
              </w:rPr>
            </w:pPr>
            <w:r>
              <w:rPr>
                <w:rFonts w:hint="eastAsia" w:ascii="宋体" w:hAnsi="宋体" w:eastAsia="宋体" w:cs="宋体"/>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ascii="宋体" w:hAnsi="宋体" w:eastAsia="宋体"/>
                <w:sz w:val="21"/>
                <w:szCs w:val="21"/>
                <w:u w:color="000000"/>
              </w:rPr>
            </w:pPr>
            <w:r>
              <w:rPr>
                <w:rFonts w:hint="eastAsia" w:ascii="宋体" w:hAnsi="宋体" w:eastAsia="宋体" w:cs="宋体"/>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ascii="宋体" w:hAnsi="宋体" w:eastAsia="宋体"/>
                <w:sz w:val="21"/>
                <w:szCs w:val="21"/>
                <w:u w:color="000000"/>
              </w:rPr>
            </w:pPr>
            <w:r>
              <w:rPr>
                <w:rFonts w:hint="eastAsia" w:ascii="宋体" w:hAnsi="宋体" w:eastAsia="宋体" w:cs="宋体"/>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cs="宋体"/>
                <w:sz w:val="21"/>
                <w:szCs w:val="21"/>
                <w:u w:color="000000"/>
              </w:rPr>
            </w:pPr>
            <w:r>
              <w:rPr>
                <w:rFonts w:ascii="宋体" w:hAnsi="宋体" w:eastAsia="宋体" w:cs="宋体"/>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ascii="宋体" w:hAnsi="宋体" w:eastAsia="宋体"/>
                <w:sz w:val="21"/>
                <w:szCs w:val="21"/>
                <w:u w:color="000000"/>
              </w:rPr>
            </w:pPr>
            <w:r>
              <w:rPr>
                <w:rFonts w:ascii="宋体" w:hAnsi="宋体" w:eastAsia="宋体" w:cs="宋体"/>
                <w:sz w:val="21"/>
                <w:szCs w:val="21"/>
                <w:u w:color="000000"/>
              </w:rPr>
              <w:t>50</w:t>
            </w:r>
          </w:p>
        </w:tc>
      </w:tr>
    </w:tbl>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调查问卷共分为</w:t>
      </w:r>
      <w:r>
        <w:rPr>
          <w:rFonts w:ascii="仿宋_GB2312" w:hAnsi="宋体" w:eastAsia="仿宋_GB2312" w:cs="仿宋_GB2312"/>
          <w:sz w:val="32"/>
          <w:szCs w:val="32"/>
          <w:u w:color="000000"/>
        </w:rPr>
        <w:t>3</w:t>
      </w:r>
      <w:r>
        <w:rPr>
          <w:rFonts w:hint="eastAsia" w:ascii="仿宋_GB2312" w:hAnsi="宋体" w:eastAsia="仿宋_GB2312" w:cs="仿宋_GB2312"/>
          <w:sz w:val="32"/>
          <w:szCs w:val="32"/>
          <w:u w:color="000000"/>
        </w:rPr>
        <w:t>个单项，每个单项满分为</w:t>
      </w:r>
      <w:r>
        <w:rPr>
          <w:rFonts w:ascii="仿宋_GB2312" w:hAnsi="宋体" w:eastAsia="仿宋_GB2312" w:cs="仿宋_GB2312"/>
          <w:sz w:val="32"/>
          <w:szCs w:val="32"/>
          <w:u w:color="000000"/>
        </w:rPr>
        <w:t>100</w:t>
      </w:r>
      <w:r>
        <w:rPr>
          <w:rFonts w:hint="eastAsia" w:ascii="仿宋_GB2312" w:hAnsi="宋体" w:eastAsia="仿宋_GB2312" w:cs="仿宋_GB2312"/>
          <w:sz w:val="32"/>
          <w:szCs w:val="32"/>
          <w:u w:color="000000"/>
        </w:rPr>
        <w:t>分。其中：每一单项满分为</w:t>
      </w:r>
      <w:r>
        <w:rPr>
          <w:rFonts w:ascii="仿宋_GB2312" w:hAnsi="宋体" w:eastAsia="仿宋_GB2312" w:cs="仿宋_GB2312"/>
          <w:sz w:val="32"/>
          <w:szCs w:val="32"/>
          <w:u w:color="000000"/>
        </w:rPr>
        <w:t>100</w:t>
      </w:r>
      <w:r>
        <w:rPr>
          <w:rFonts w:hint="eastAsia" w:ascii="仿宋_GB2312" w:hAnsi="宋体" w:eastAsia="仿宋_GB2312" w:cs="仿宋_GB2312"/>
          <w:sz w:val="32"/>
          <w:szCs w:val="32"/>
          <w:u w:color="000000"/>
        </w:rPr>
        <w:t>分：满意为</w:t>
      </w:r>
      <w:r>
        <w:rPr>
          <w:rFonts w:ascii="仿宋_GB2312" w:hAnsi="宋体" w:eastAsia="仿宋_GB2312" w:cs="仿宋_GB2312"/>
          <w:sz w:val="32"/>
          <w:szCs w:val="32"/>
          <w:u w:color="000000"/>
        </w:rPr>
        <w:t>100</w:t>
      </w:r>
      <w:r>
        <w:rPr>
          <w:rFonts w:hint="eastAsia" w:ascii="仿宋_GB2312" w:hAnsi="宋体" w:eastAsia="仿宋_GB2312" w:cs="仿宋_GB2312"/>
          <w:sz w:val="32"/>
          <w:szCs w:val="32"/>
          <w:u w:color="000000"/>
        </w:rPr>
        <w:t>分，一般为</w:t>
      </w:r>
      <w:r>
        <w:rPr>
          <w:rFonts w:ascii="仿宋_GB2312" w:hAnsi="宋体" w:eastAsia="仿宋_GB2312" w:cs="仿宋_GB2312"/>
          <w:sz w:val="32"/>
          <w:szCs w:val="32"/>
          <w:u w:color="000000"/>
        </w:rPr>
        <w:t>50</w:t>
      </w:r>
      <w:r>
        <w:rPr>
          <w:rFonts w:hint="eastAsia" w:ascii="仿宋_GB2312" w:hAnsi="宋体" w:eastAsia="仿宋_GB2312" w:cs="仿宋_GB2312"/>
          <w:sz w:val="32"/>
          <w:szCs w:val="32"/>
          <w:u w:color="000000"/>
        </w:rPr>
        <w:t>分，不满意为</w:t>
      </w:r>
      <w:r>
        <w:rPr>
          <w:rFonts w:ascii="仿宋_GB2312" w:hAnsi="宋体" w:eastAsia="仿宋_GB2312" w:cs="仿宋_GB2312"/>
          <w:sz w:val="32"/>
          <w:szCs w:val="32"/>
          <w:u w:color="000000"/>
        </w:rPr>
        <w:t>0</w:t>
      </w:r>
      <w:r>
        <w:rPr>
          <w:rFonts w:hint="eastAsia" w:ascii="仿宋_GB2312" w:hAnsi="宋体" w:eastAsia="仿宋_GB2312" w:cs="仿宋_GB2312"/>
          <w:sz w:val="32"/>
          <w:szCs w:val="32"/>
          <w:u w:color="000000"/>
        </w:rPr>
        <w:t>分。</w:t>
      </w:r>
    </w:p>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单项满意度得分</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总分数</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总人数</w:t>
      </w:r>
    </w:p>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总体满意度得分</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w:t>
      </w:r>
      <w:r>
        <w:rPr>
          <w:rFonts w:ascii="仿宋_GB2312" w:hAnsi="宋体" w:eastAsia="仿宋_GB2312" w:cs="仿宋_GB2312"/>
          <w:sz w:val="32"/>
          <w:szCs w:val="32"/>
          <w:u w:color="000000"/>
        </w:rPr>
        <w:t>1/3</w:t>
      </w:r>
      <w:r>
        <w:rPr>
          <w:rFonts w:hint="eastAsia" w:ascii="仿宋_GB2312" w:hAnsi="宋体" w:eastAsia="仿宋_GB2312" w:cs="仿宋_GB2312"/>
          <w:sz w:val="32"/>
          <w:szCs w:val="32"/>
          <w:u w:color="000000"/>
        </w:rPr>
        <w:t>各单项满意度得分</w:t>
      </w:r>
    </w:p>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经计算，总体得分为</w:t>
      </w:r>
      <w:r>
        <w:rPr>
          <w:rFonts w:ascii="仿宋_GB2312" w:hAnsi="宋体" w:eastAsia="仿宋_GB2312" w:cs="仿宋_GB2312"/>
          <w:sz w:val="32"/>
          <w:szCs w:val="32"/>
          <w:u w:color="000000"/>
        </w:rPr>
        <w:t>94</w:t>
      </w:r>
      <w:r>
        <w:rPr>
          <w:rFonts w:hint="eastAsia" w:ascii="仿宋_GB2312" w:hAnsi="宋体" w:eastAsia="仿宋_GB2312" w:cs="仿宋_GB2312"/>
          <w:sz w:val="32"/>
          <w:szCs w:val="32"/>
          <w:u w:color="000000"/>
        </w:rPr>
        <w:t>分，小于</w:t>
      </w:r>
      <w:r>
        <w:rPr>
          <w:rFonts w:ascii="仿宋_GB2312" w:hAnsi="宋体" w:eastAsia="仿宋_GB2312" w:cs="仿宋_GB2312"/>
          <w:sz w:val="32"/>
          <w:szCs w:val="32"/>
          <w:u w:color="000000"/>
        </w:rPr>
        <w:t>(</w:t>
      </w:r>
      <w:r>
        <w:rPr>
          <w:rFonts w:hint="eastAsia" w:ascii="仿宋_GB2312" w:hAnsi="宋体" w:eastAsia="仿宋_GB2312" w:cs="仿宋_GB2312"/>
          <w:sz w:val="32"/>
          <w:szCs w:val="32"/>
          <w:u w:color="000000"/>
        </w:rPr>
        <w:t>大于）</w:t>
      </w:r>
      <w:r>
        <w:rPr>
          <w:rFonts w:ascii="仿宋_GB2312" w:hAnsi="宋体" w:eastAsia="仿宋_GB2312" w:cs="仿宋_GB2312"/>
          <w:sz w:val="32"/>
          <w:szCs w:val="32"/>
          <w:u w:color="000000"/>
        </w:rPr>
        <w:t>90</w:t>
      </w:r>
      <w:r>
        <w:rPr>
          <w:rFonts w:hint="eastAsia" w:ascii="仿宋_GB2312" w:hAnsi="宋体" w:eastAsia="仿宋_GB2312" w:cs="仿宋_GB2312"/>
          <w:sz w:val="32"/>
          <w:szCs w:val="32"/>
          <w:u w:color="000000"/>
        </w:rPr>
        <w:t>分，评价等级为“优”。</w:t>
      </w:r>
    </w:p>
    <w:p>
      <w:pPr>
        <w:spacing w:after="0" w:line="360" w:lineRule="auto"/>
        <w:ind w:firstLine="640" w:firstLineChars="200"/>
        <w:jc w:val="both"/>
        <w:rPr>
          <w:rFonts w:ascii="仿宋_GB2312" w:hAnsi="宋体" w:eastAsia="仿宋_GB2312"/>
          <w:sz w:val="32"/>
          <w:szCs w:val="32"/>
          <w:u w:color="000000"/>
        </w:rPr>
      </w:pPr>
      <w:r>
        <w:rPr>
          <w:rFonts w:hint="eastAsia" w:ascii="仿宋_GB2312" w:hAnsi="宋体" w:eastAsia="仿宋_GB2312" w:cs="仿宋_GB2312"/>
          <w:sz w:val="32"/>
          <w:szCs w:val="32"/>
          <w:u w:color="000000"/>
        </w:rPr>
        <w:t>该指标实际得分</w:t>
      </w:r>
      <w:r>
        <w:rPr>
          <w:rFonts w:ascii="仿宋_GB2312" w:hAnsi="宋体" w:eastAsia="仿宋_GB2312" w:cs="仿宋_GB2312"/>
          <w:sz w:val="32"/>
          <w:szCs w:val="32"/>
          <w:u w:color="000000"/>
        </w:rPr>
        <w:t>5</w:t>
      </w:r>
      <w:r>
        <w:rPr>
          <w:rFonts w:hint="eastAsia" w:ascii="仿宋_GB2312" w:hAnsi="宋体" w:eastAsia="仿宋_GB2312" w:cs="仿宋_GB2312"/>
          <w:sz w:val="32"/>
          <w:szCs w:val="32"/>
          <w:u w:color="000000"/>
        </w:rPr>
        <w:t>分。</w:t>
      </w:r>
    </w:p>
    <w:p>
      <w:pPr>
        <w:pStyle w:val="3"/>
        <w:keepNext w:val="0"/>
        <w:keepLines w:val="0"/>
        <w:suppressLineNumbers/>
        <w:spacing w:before="0" w:after="0" w:line="360" w:lineRule="auto"/>
        <w:ind w:firstLine="643" w:firstLineChars="200"/>
        <w:rPr>
          <w:rFonts w:ascii="黑体" w:cs="Tahoma"/>
        </w:rPr>
      </w:pPr>
      <w:bookmarkStart w:id="71" w:name="_Toc13757"/>
      <w:r>
        <w:rPr>
          <w:rFonts w:hint="eastAsia" w:ascii="黑体" w:cs="黑体"/>
        </w:rPr>
        <w:t>五、绩效评价发现的问题</w:t>
      </w:r>
      <w:bookmarkEnd w:id="68"/>
      <w:bookmarkEnd w:id="69"/>
      <w:bookmarkEnd w:id="70"/>
      <w:bookmarkEnd w:id="71"/>
      <w:bookmarkStart w:id="72" w:name="_Toc492652789"/>
    </w:p>
    <w:p>
      <w:pPr>
        <w:spacing w:after="0" w:line="360" w:lineRule="auto"/>
        <w:ind w:firstLine="640" w:firstLineChars="200"/>
        <w:jc w:val="both"/>
        <w:textAlignment w:val="baseline"/>
        <w:rPr>
          <w:rFonts w:ascii="仿宋_GB2312" w:hAnsi="宋体" w:eastAsia="仿宋_GB2312"/>
          <w:sz w:val="32"/>
          <w:szCs w:val="32"/>
          <w:u w:color="000000"/>
        </w:rPr>
      </w:pPr>
      <w:r>
        <w:rPr>
          <w:rFonts w:hint="eastAsia" w:ascii="仿宋_GB2312" w:hAnsi="宋体" w:eastAsia="仿宋_GB2312" w:cs="仿宋_GB2312"/>
          <w:sz w:val="32"/>
          <w:szCs w:val="32"/>
          <w:u w:color="000000"/>
        </w:rPr>
        <w:t>通过对各指标得分及扣分原因的分析，</w:t>
      </w:r>
      <w:r>
        <w:rPr>
          <w:rFonts w:hint="eastAsia" w:ascii="仿宋_GB2312" w:eastAsia="仿宋_GB2312" w:cs="仿宋_GB2312"/>
          <w:sz w:val="32"/>
          <w:szCs w:val="32"/>
        </w:rPr>
        <w:t>区总工会</w:t>
      </w:r>
      <w:r>
        <w:rPr>
          <w:rFonts w:ascii="仿宋_GB2312" w:hAnsi="宋体" w:eastAsia="仿宋_GB2312" w:cs="仿宋_GB2312"/>
          <w:sz w:val="32"/>
          <w:szCs w:val="32"/>
          <w:u w:color="000000"/>
        </w:rPr>
        <w:t>202</w:t>
      </w:r>
      <w:r>
        <w:rPr>
          <w:rFonts w:hint="default" w:ascii="仿宋_GB2312" w:hAnsi="宋体" w:eastAsia="仿宋_GB2312" w:cs="仿宋_GB2312"/>
          <w:sz w:val="32"/>
          <w:szCs w:val="32"/>
          <w:u w:color="000000"/>
          <w:lang w:val="en-US"/>
        </w:rPr>
        <w:t>3</w:t>
      </w:r>
      <w:r>
        <w:rPr>
          <w:rFonts w:hint="eastAsia" w:ascii="仿宋_GB2312" w:hAnsi="宋体" w:eastAsia="仿宋_GB2312" w:cs="仿宋_GB2312"/>
          <w:sz w:val="32"/>
          <w:szCs w:val="32"/>
          <w:u w:color="000000"/>
        </w:rPr>
        <w:t>年部门整体支出基本按相关要求执行预算、决算，完成了绩效目标，资金使用效益良好。通过评价，也发现一些不足之处，具体情况如下：</w:t>
      </w:r>
      <w:bookmarkStart w:id="73" w:name="_Toc20723"/>
    </w:p>
    <w:p>
      <w:pPr>
        <w:spacing w:after="0" w:line="360" w:lineRule="auto"/>
        <w:ind w:firstLine="640" w:firstLineChars="200"/>
        <w:jc w:val="both"/>
        <w:textAlignment w:val="baseline"/>
        <w:rPr>
          <w:rFonts w:ascii="仿宋_GB2312" w:hAnsi="宋体" w:eastAsia="仿宋_GB2312"/>
          <w:sz w:val="32"/>
          <w:szCs w:val="32"/>
          <w:u w:color="000000"/>
        </w:rPr>
      </w:pPr>
      <w:r>
        <w:rPr>
          <w:rFonts w:ascii="仿宋_GB2312" w:hAnsi="宋体" w:eastAsia="仿宋_GB2312" w:cs="仿宋_GB2312"/>
          <w:sz w:val="32"/>
          <w:szCs w:val="32"/>
          <w:u w:color="000000"/>
        </w:rPr>
        <w:t>1.</w:t>
      </w:r>
      <w:r>
        <w:rPr>
          <w:rFonts w:hint="eastAsia" w:ascii="仿宋_GB2312" w:hAnsi="宋体" w:eastAsia="仿宋_GB2312" w:cs="仿宋_GB2312"/>
          <w:sz w:val="32"/>
          <w:szCs w:val="32"/>
          <w:u w:color="000000"/>
        </w:rPr>
        <w:t>部分绩效指标方面：部分绩效指标完成不理想，有待提高。</w:t>
      </w:r>
    </w:p>
    <w:p>
      <w:pPr>
        <w:spacing w:after="0" w:line="360" w:lineRule="auto"/>
        <w:ind w:firstLine="640" w:firstLineChars="200"/>
        <w:jc w:val="both"/>
        <w:textAlignment w:val="baseline"/>
        <w:rPr>
          <w:rFonts w:ascii="仿宋_GB2312" w:eastAsia="仿宋_GB2312"/>
          <w:sz w:val="32"/>
          <w:szCs w:val="32"/>
        </w:rPr>
      </w:pPr>
      <w:r>
        <w:rPr>
          <w:rFonts w:ascii="仿宋_GB2312" w:hAnsi="宋体" w:eastAsia="仿宋_GB2312" w:cs="仿宋_GB2312"/>
          <w:sz w:val="32"/>
          <w:szCs w:val="32"/>
          <w:u w:color="000000"/>
        </w:rPr>
        <w:t>2.</w:t>
      </w:r>
      <w:r>
        <w:rPr>
          <w:rFonts w:hint="eastAsia" w:ascii="仿宋_GB2312" w:hAnsi="宋体" w:eastAsia="仿宋_GB2312" w:cs="仿宋_GB2312"/>
          <w:sz w:val="32"/>
          <w:szCs w:val="32"/>
          <w:u w:color="000000"/>
        </w:rPr>
        <w:t>预算决算比较：</w:t>
      </w:r>
      <w:r>
        <w:rPr>
          <w:rFonts w:hint="eastAsia" w:ascii="仿宋_GB2312" w:eastAsia="仿宋_GB2312" w:cs="仿宋_GB2312"/>
          <w:sz w:val="32"/>
          <w:szCs w:val="32"/>
        </w:rPr>
        <w:t>预算决算比较决算小于预算，有待提高执行预算率。</w:t>
      </w:r>
    </w:p>
    <w:p>
      <w:pPr>
        <w:spacing w:after="0" w:line="360" w:lineRule="auto"/>
        <w:ind w:firstLine="640" w:firstLineChars="200"/>
        <w:jc w:val="both"/>
        <w:textAlignment w:val="baseline"/>
        <w:rPr>
          <w:rFonts w:ascii="仿宋_GB2312" w:eastAsia="仿宋_GB2312"/>
          <w:sz w:val="32"/>
          <w:szCs w:val="32"/>
        </w:rPr>
      </w:pPr>
      <w:r>
        <w:rPr>
          <w:rFonts w:ascii="仿宋_GB2312" w:hAnsi="宋体" w:eastAsia="仿宋_GB2312" w:cs="仿宋_GB2312"/>
          <w:sz w:val="32"/>
          <w:szCs w:val="32"/>
          <w:u w:color="000000"/>
        </w:rPr>
        <w:t>3.</w:t>
      </w:r>
      <w:r>
        <w:rPr>
          <w:rFonts w:hint="eastAsia" w:ascii="仿宋_GB2312" w:hAnsi="宋体" w:eastAsia="仿宋_GB2312" w:cs="仿宋_GB2312"/>
          <w:sz w:val="32"/>
          <w:szCs w:val="32"/>
          <w:u w:color="000000"/>
        </w:rPr>
        <w:t>项目资金使用率方面：</w:t>
      </w:r>
      <w:r>
        <w:rPr>
          <w:rFonts w:hint="eastAsia" w:ascii="仿宋_GB2312" w:eastAsia="仿宋_GB2312" w:cs="仿宋_GB2312"/>
          <w:sz w:val="32"/>
          <w:szCs w:val="32"/>
        </w:rPr>
        <w:t>劳模体检率</w:t>
      </w:r>
      <w:r>
        <w:rPr>
          <w:rFonts w:ascii="仿宋_GB2312" w:eastAsia="仿宋_GB2312" w:cs="仿宋_GB2312"/>
          <w:sz w:val="32"/>
          <w:szCs w:val="32"/>
        </w:rPr>
        <w:t>100%</w:t>
      </w:r>
      <w:r>
        <w:rPr>
          <w:rFonts w:hint="eastAsia" w:ascii="仿宋_GB2312" w:eastAsia="仿宋_GB2312" w:cs="仿宋_GB2312"/>
          <w:sz w:val="32"/>
          <w:szCs w:val="32"/>
        </w:rPr>
        <w:t>，由于困难职工脱贫，导致帮扶资金执行没到位，有待提高使用率。</w:t>
      </w:r>
    </w:p>
    <w:bookmarkEnd w:id="72"/>
    <w:bookmarkEnd w:id="73"/>
    <w:p>
      <w:pPr>
        <w:spacing w:after="0" w:line="360" w:lineRule="auto"/>
        <w:jc w:val="both"/>
        <w:textAlignment w:val="baseline"/>
        <w:rPr>
          <w:rFonts w:ascii="仿宋_GB2312" w:hAnsi="宋体" w:eastAsia="仿宋_GB2312"/>
          <w:sz w:val="32"/>
          <w:szCs w:val="32"/>
          <w:u w:color="000000"/>
        </w:rPr>
      </w:pPr>
      <w:bookmarkStart w:id="74" w:name="_Toc465149521"/>
      <w:r>
        <w:rPr>
          <w:rFonts w:hint="eastAsia" w:ascii="仿宋_GB2312" w:hAnsi="宋体" w:eastAsia="仿宋_GB2312" w:cs="仿宋_GB2312"/>
          <w:sz w:val="32"/>
          <w:szCs w:val="32"/>
          <w:u w:color="000000"/>
        </w:rPr>
        <w:t>附件：</w:t>
      </w:r>
      <w:r>
        <w:rPr>
          <w:rFonts w:ascii="仿宋_GB2312" w:hAnsi="宋体" w:eastAsia="仿宋_GB2312" w:cs="仿宋_GB2312"/>
          <w:sz w:val="32"/>
          <w:szCs w:val="32"/>
          <w:u w:color="000000"/>
        </w:rPr>
        <w:t>1.</w:t>
      </w:r>
      <w:r>
        <w:rPr>
          <w:rFonts w:hint="eastAsia" w:ascii="仿宋_GB2312" w:hAnsi="宋体" w:eastAsia="仿宋_GB2312" w:cs="仿宋_GB2312"/>
          <w:sz w:val="32"/>
          <w:szCs w:val="32"/>
          <w:u w:color="000000"/>
        </w:rPr>
        <w:t>保定市徐水</w:t>
      </w:r>
      <w:r>
        <w:rPr>
          <w:rFonts w:hint="eastAsia" w:ascii="仿宋_GB2312" w:eastAsia="仿宋_GB2312" w:cs="仿宋_GB2312"/>
          <w:sz w:val="32"/>
          <w:szCs w:val="32"/>
        </w:rPr>
        <w:t>区总工会</w:t>
      </w:r>
      <w:r>
        <w:rPr>
          <w:rFonts w:hint="eastAsia" w:ascii="仿宋_GB2312" w:hAnsi="宋体" w:eastAsia="仿宋_GB2312" w:cs="仿宋_GB2312"/>
          <w:sz w:val="32"/>
          <w:szCs w:val="32"/>
          <w:u w:color="000000"/>
        </w:rPr>
        <w:t>部门基本情况及主要职责</w:t>
      </w:r>
    </w:p>
    <w:p>
      <w:pPr>
        <w:spacing w:after="0" w:line="540" w:lineRule="exact"/>
        <w:ind w:firstLine="960" w:firstLineChars="300"/>
        <w:jc w:val="both"/>
        <w:textAlignment w:val="baseline"/>
        <w:rPr>
          <w:rFonts w:ascii="仿宋_GB2312" w:hAnsi="宋体" w:eastAsia="仿宋_GB2312"/>
          <w:sz w:val="32"/>
          <w:szCs w:val="32"/>
          <w:u w:color="000000"/>
        </w:rPr>
      </w:pPr>
      <w:r>
        <w:rPr>
          <w:rFonts w:ascii="仿宋_GB2312" w:hAnsi="宋体" w:eastAsia="仿宋_GB2312" w:cs="仿宋_GB2312"/>
          <w:sz w:val="32"/>
          <w:szCs w:val="32"/>
          <w:u w:color="000000"/>
        </w:rPr>
        <w:t>2.202</w:t>
      </w:r>
      <w:r>
        <w:rPr>
          <w:rFonts w:hint="default" w:ascii="仿宋_GB2312" w:hAnsi="宋体" w:eastAsia="仿宋_GB2312" w:cs="仿宋_GB2312"/>
          <w:sz w:val="32"/>
          <w:szCs w:val="32"/>
          <w:u w:color="000000"/>
          <w:lang w:val="en-US"/>
        </w:rPr>
        <w:t>3</w:t>
      </w:r>
      <w:r>
        <w:rPr>
          <w:rFonts w:hint="eastAsia" w:ascii="仿宋_GB2312" w:hAnsi="宋体" w:eastAsia="仿宋_GB2312" w:cs="仿宋_GB2312"/>
          <w:sz w:val="32"/>
          <w:szCs w:val="32"/>
          <w:u w:color="000000"/>
        </w:rPr>
        <w:t>年度保定市徐水区</w:t>
      </w:r>
      <w:r>
        <w:rPr>
          <w:rFonts w:hint="eastAsia" w:ascii="仿宋_GB2312" w:eastAsia="仿宋_GB2312" w:cs="仿宋_GB2312"/>
          <w:sz w:val="32"/>
          <w:szCs w:val="32"/>
        </w:rPr>
        <w:t>区总工会</w:t>
      </w:r>
      <w:r>
        <w:rPr>
          <w:rFonts w:hint="eastAsia" w:ascii="仿宋_GB2312" w:hAnsi="宋体" w:eastAsia="仿宋_GB2312" w:cs="仿宋_GB2312"/>
          <w:sz w:val="32"/>
          <w:szCs w:val="32"/>
          <w:u w:color="000000"/>
        </w:rPr>
        <w:t>收支预算及决算明细表</w:t>
      </w:r>
    </w:p>
    <w:p>
      <w:pPr>
        <w:spacing w:after="0" w:line="540" w:lineRule="exact"/>
        <w:ind w:firstLine="960" w:firstLineChars="300"/>
        <w:jc w:val="both"/>
        <w:textAlignment w:val="baseline"/>
        <w:rPr>
          <w:rFonts w:ascii="仿宋_GB2312" w:hAnsi="宋体" w:eastAsia="仿宋_GB2312"/>
          <w:sz w:val="32"/>
          <w:szCs w:val="32"/>
          <w:u w:color="000000"/>
        </w:rPr>
      </w:pPr>
      <w:bookmarkStart w:id="75" w:name="_Toc465149534"/>
      <w:r>
        <w:rPr>
          <w:rFonts w:ascii="仿宋_GB2312" w:hAnsi="宋体" w:eastAsia="仿宋_GB2312" w:cs="仿宋_GB2312"/>
          <w:sz w:val="32"/>
          <w:szCs w:val="32"/>
          <w:u w:color="000000"/>
        </w:rPr>
        <w:t>3.</w:t>
      </w:r>
      <w:bookmarkEnd w:id="75"/>
      <w:r>
        <w:rPr>
          <w:rFonts w:hint="eastAsia" w:ascii="仿宋_GB2312" w:hAnsi="宋体" w:eastAsia="仿宋_GB2312" w:cs="仿宋_GB2312"/>
          <w:sz w:val="32"/>
          <w:szCs w:val="32"/>
          <w:u w:color="000000"/>
        </w:rPr>
        <w:t>部门整体支出绩效评价指标体系</w:t>
      </w:r>
    </w:p>
    <w:p>
      <w:pPr>
        <w:spacing w:after="0" w:line="540" w:lineRule="exact"/>
        <w:ind w:firstLine="960" w:firstLineChars="300"/>
        <w:jc w:val="both"/>
        <w:textAlignment w:val="baseline"/>
        <w:rPr>
          <w:rFonts w:ascii="仿宋_GB2312" w:hAnsi="宋体" w:eastAsia="仿宋_GB2312"/>
          <w:sz w:val="32"/>
          <w:szCs w:val="32"/>
          <w:u w:color="000000"/>
        </w:rPr>
      </w:pPr>
      <w:bookmarkStart w:id="76" w:name="_Toc465149544"/>
      <w:r>
        <w:rPr>
          <w:rFonts w:ascii="仿宋_GB2312" w:hAnsi="宋体" w:eastAsia="仿宋_GB2312" w:cs="仿宋_GB2312"/>
          <w:sz w:val="32"/>
          <w:szCs w:val="32"/>
          <w:u w:color="000000"/>
        </w:rPr>
        <w:t>4.</w:t>
      </w:r>
      <w:bookmarkEnd w:id="76"/>
      <w:r>
        <w:rPr>
          <w:rFonts w:ascii="仿宋_GB2312" w:hAnsi="宋体" w:eastAsia="仿宋_GB2312" w:cs="仿宋_GB2312"/>
          <w:sz w:val="32"/>
          <w:szCs w:val="32"/>
          <w:u w:color="000000"/>
        </w:rPr>
        <w:t>202</w:t>
      </w:r>
      <w:r>
        <w:rPr>
          <w:rFonts w:hint="default" w:ascii="仿宋_GB2312" w:hAnsi="宋体" w:eastAsia="仿宋_GB2312" w:cs="仿宋_GB2312"/>
          <w:sz w:val="32"/>
          <w:szCs w:val="32"/>
          <w:u w:color="000000"/>
          <w:lang w:val="en-US"/>
        </w:rPr>
        <w:t>3</w:t>
      </w:r>
      <w:r>
        <w:rPr>
          <w:rFonts w:hint="eastAsia" w:ascii="仿宋_GB2312" w:hAnsi="宋体" w:eastAsia="仿宋_GB2312" w:cs="仿宋_GB2312"/>
          <w:sz w:val="32"/>
          <w:szCs w:val="32"/>
          <w:u w:color="000000"/>
        </w:rPr>
        <w:t>年徐水区</w:t>
      </w:r>
      <w:r>
        <w:rPr>
          <w:rFonts w:hint="eastAsia" w:ascii="仿宋_GB2312" w:eastAsia="仿宋_GB2312" w:cs="仿宋_GB2312"/>
          <w:sz w:val="32"/>
          <w:szCs w:val="32"/>
        </w:rPr>
        <w:t>总工会</w:t>
      </w:r>
      <w:r>
        <w:rPr>
          <w:rFonts w:hint="eastAsia" w:ascii="仿宋_GB2312" w:hAnsi="宋体" w:eastAsia="仿宋_GB2312" w:cs="仿宋_GB2312"/>
          <w:sz w:val="32"/>
          <w:szCs w:val="32"/>
          <w:u w:color="000000"/>
        </w:rPr>
        <w:t>工作活动绩效目标、绩效指标一览表</w:t>
      </w:r>
      <w:bookmarkEnd w:id="74"/>
    </w:p>
    <w:p>
      <w:pPr>
        <w:spacing w:line="540" w:lineRule="exact"/>
        <w:ind w:firstLine="640" w:firstLineChars="200"/>
        <w:jc w:val="both"/>
        <w:textAlignment w:val="baseline"/>
        <w:rPr>
          <w:rFonts w:ascii="仿宋_GB2312" w:hAnsi="宋体" w:eastAsia="仿宋_GB2312"/>
          <w:sz w:val="32"/>
          <w:szCs w:val="32"/>
          <w:u w:color="000000"/>
        </w:rPr>
      </w:pPr>
    </w:p>
    <w:p>
      <w:pPr>
        <w:spacing w:line="540" w:lineRule="exact"/>
        <w:ind w:firstLine="640" w:firstLineChars="200"/>
        <w:jc w:val="both"/>
        <w:textAlignment w:val="baseline"/>
        <w:rPr>
          <w:rFonts w:ascii="仿宋_GB2312" w:hAnsi="宋体" w:eastAsia="仿宋_GB2312"/>
          <w:sz w:val="32"/>
          <w:szCs w:val="32"/>
          <w:u w:color="000000"/>
        </w:rPr>
      </w:pPr>
    </w:p>
    <w:p>
      <w:pPr>
        <w:spacing w:line="540" w:lineRule="exact"/>
        <w:ind w:firstLine="640" w:firstLineChars="200"/>
        <w:jc w:val="both"/>
        <w:textAlignment w:val="baseline"/>
        <w:rPr>
          <w:rFonts w:ascii="仿宋_GB2312" w:hAnsi="宋体" w:eastAsia="仿宋_GB2312"/>
          <w:sz w:val="32"/>
          <w:szCs w:val="32"/>
          <w:u w:color="000000"/>
        </w:rPr>
      </w:pPr>
    </w:p>
    <w:p>
      <w:pPr>
        <w:spacing w:line="540" w:lineRule="exact"/>
        <w:ind w:firstLine="640" w:firstLineChars="200"/>
        <w:jc w:val="both"/>
        <w:textAlignment w:val="baseline"/>
        <w:rPr>
          <w:rFonts w:ascii="仿宋_GB2312" w:hAnsi="宋体" w:eastAsia="仿宋_GB2312"/>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20</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NDY4YzA1NzkzMGI3ODAwMzE4Mjg0MGQyY2Y3OWYifQ=="/>
  </w:docVars>
  <w:rsids>
    <w:rsidRoot w:val="00D31D50"/>
    <w:rsid w:val="00004179"/>
    <w:rsid w:val="0000439F"/>
    <w:rsid w:val="00005C45"/>
    <w:rsid w:val="00007CA0"/>
    <w:rsid w:val="00011687"/>
    <w:rsid w:val="000132F3"/>
    <w:rsid w:val="00015C39"/>
    <w:rsid w:val="000174D3"/>
    <w:rsid w:val="0002415F"/>
    <w:rsid w:val="00025620"/>
    <w:rsid w:val="00025DE6"/>
    <w:rsid w:val="0002705B"/>
    <w:rsid w:val="00027F13"/>
    <w:rsid w:val="000317D7"/>
    <w:rsid w:val="00032963"/>
    <w:rsid w:val="00032B03"/>
    <w:rsid w:val="000334C2"/>
    <w:rsid w:val="0003450B"/>
    <w:rsid w:val="0003465E"/>
    <w:rsid w:val="00034910"/>
    <w:rsid w:val="0003506D"/>
    <w:rsid w:val="000409C0"/>
    <w:rsid w:val="0004123E"/>
    <w:rsid w:val="00044599"/>
    <w:rsid w:val="000446E5"/>
    <w:rsid w:val="00044A25"/>
    <w:rsid w:val="00044B0A"/>
    <w:rsid w:val="00047D49"/>
    <w:rsid w:val="00047D7B"/>
    <w:rsid w:val="000509B6"/>
    <w:rsid w:val="00050A62"/>
    <w:rsid w:val="000516BA"/>
    <w:rsid w:val="00051DBC"/>
    <w:rsid w:val="00052010"/>
    <w:rsid w:val="00061096"/>
    <w:rsid w:val="000612A2"/>
    <w:rsid w:val="0006302C"/>
    <w:rsid w:val="00063117"/>
    <w:rsid w:val="0006350F"/>
    <w:rsid w:val="00063F31"/>
    <w:rsid w:val="000656FA"/>
    <w:rsid w:val="00065DEF"/>
    <w:rsid w:val="0007193D"/>
    <w:rsid w:val="00072BF5"/>
    <w:rsid w:val="00072EE3"/>
    <w:rsid w:val="000752C6"/>
    <w:rsid w:val="00075B78"/>
    <w:rsid w:val="00077648"/>
    <w:rsid w:val="00077CB7"/>
    <w:rsid w:val="000806F0"/>
    <w:rsid w:val="0008095D"/>
    <w:rsid w:val="00080E48"/>
    <w:rsid w:val="000825BA"/>
    <w:rsid w:val="00090C2D"/>
    <w:rsid w:val="00091D50"/>
    <w:rsid w:val="000935D5"/>
    <w:rsid w:val="0009618D"/>
    <w:rsid w:val="00096195"/>
    <w:rsid w:val="00096682"/>
    <w:rsid w:val="0009756F"/>
    <w:rsid w:val="000A1F67"/>
    <w:rsid w:val="000A2079"/>
    <w:rsid w:val="000A3052"/>
    <w:rsid w:val="000A5467"/>
    <w:rsid w:val="000B09F3"/>
    <w:rsid w:val="000B0C4A"/>
    <w:rsid w:val="000B23E8"/>
    <w:rsid w:val="000B62FE"/>
    <w:rsid w:val="000B72BC"/>
    <w:rsid w:val="000B72D7"/>
    <w:rsid w:val="000B78D7"/>
    <w:rsid w:val="000C1EA5"/>
    <w:rsid w:val="000C36B8"/>
    <w:rsid w:val="000C52FB"/>
    <w:rsid w:val="000C55E6"/>
    <w:rsid w:val="000C6D5A"/>
    <w:rsid w:val="000D09B2"/>
    <w:rsid w:val="000D510F"/>
    <w:rsid w:val="000D7C38"/>
    <w:rsid w:val="000E0902"/>
    <w:rsid w:val="000E1A0B"/>
    <w:rsid w:val="000E3830"/>
    <w:rsid w:val="000E4098"/>
    <w:rsid w:val="000F070B"/>
    <w:rsid w:val="000F0C40"/>
    <w:rsid w:val="000F3158"/>
    <w:rsid w:val="000F364D"/>
    <w:rsid w:val="000F4432"/>
    <w:rsid w:val="000F465E"/>
    <w:rsid w:val="000F5E8C"/>
    <w:rsid w:val="001000B2"/>
    <w:rsid w:val="0010435E"/>
    <w:rsid w:val="00104C6C"/>
    <w:rsid w:val="0010560E"/>
    <w:rsid w:val="0010612A"/>
    <w:rsid w:val="00106FF7"/>
    <w:rsid w:val="00107111"/>
    <w:rsid w:val="001073D6"/>
    <w:rsid w:val="00107819"/>
    <w:rsid w:val="00110850"/>
    <w:rsid w:val="0011574B"/>
    <w:rsid w:val="00116132"/>
    <w:rsid w:val="00117B9C"/>
    <w:rsid w:val="00117E7D"/>
    <w:rsid w:val="00120EA6"/>
    <w:rsid w:val="00122196"/>
    <w:rsid w:val="0012439D"/>
    <w:rsid w:val="0012587C"/>
    <w:rsid w:val="0013591D"/>
    <w:rsid w:val="00141463"/>
    <w:rsid w:val="001417AB"/>
    <w:rsid w:val="00141DE8"/>
    <w:rsid w:val="00144105"/>
    <w:rsid w:val="00145B4E"/>
    <w:rsid w:val="001544E1"/>
    <w:rsid w:val="001551CE"/>
    <w:rsid w:val="00164732"/>
    <w:rsid w:val="00164905"/>
    <w:rsid w:val="00164FE1"/>
    <w:rsid w:val="001703D7"/>
    <w:rsid w:val="0017130D"/>
    <w:rsid w:val="001719D0"/>
    <w:rsid w:val="00172245"/>
    <w:rsid w:val="0017403C"/>
    <w:rsid w:val="001741E8"/>
    <w:rsid w:val="00174241"/>
    <w:rsid w:val="001751E6"/>
    <w:rsid w:val="00176E7D"/>
    <w:rsid w:val="001804B7"/>
    <w:rsid w:val="001827F5"/>
    <w:rsid w:val="00183C43"/>
    <w:rsid w:val="00184F8E"/>
    <w:rsid w:val="00185652"/>
    <w:rsid w:val="00187750"/>
    <w:rsid w:val="00190292"/>
    <w:rsid w:val="001926B8"/>
    <w:rsid w:val="0019341A"/>
    <w:rsid w:val="001952EC"/>
    <w:rsid w:val="001A0F7A"/>
    <w:rsid w:val="001A1677"/>
    <w:rsid w:val="001A402E"/>
    <w:rsid w:val="001A5FD3"/>
    <w:rsid w:val="001A7A06"/>
    <w:rsid w:val="001B0380"/>
    <w:rsid w:val="001B04A4"/>
    <w:rsid w:val="001B0A74"/>
    <w:rsid w:val="001B30D5"/>
    <w:rsid w:val="001B382A"/>
    <w:rsid w:val="001B5C88"/>
    <w:rsid w:val="001B6CE6"/>
    <w:rsid w:val="001C046D"/>
    <w:rsid w:val="001C0EA5"/>
    <w:rsid w:val="001C1412"/>
    <w:rsid w:val="001C391F"/>
    <w:rsid w:val="001C5135"/>
    <w:rsid w:val="001C796E"/>
    <w:rsid w:val="001D1367"/>
    <w:rsid w:val="001D5041"/>
    <w:rsid w:val="001D5A7C"/>
    <w:rsid w:val="001D76AA"/>
    <w:rsid w:val="001E21EA"/>
    <w:rsid w:val="001E288A"/>
    <w:rsid w:val="001E3ABB"/>
    <w:rsid w:val="001E4C24"/>
    <w:rsid w:val="001E5C43"/>
    <w:rsid w:val="001E7745"/>
    <w:rsid w:val="001F07B6"/>
    <w:rsid w:val="001F0B92"/>
    <w:rsid w:val="001F1094"/>
    <w:rsid w:val="001F2F0E"/>
    <w:rsid w:val="001F32AD"/>
    <w:rsid w:val="001F33AA"/>
    <w:rsid w:val="001F6236"/>
    <w:rsid w:val="001F6BC3"/>
    <w:rsid w:val="00200051"/>
    <w:rsid w:val="00202D5A"/>
    <w:rsid w:val="00205F02"/>
    <w:rsid w:val="00207701"/>
    <w:rsid w:val="0021307B"/>
    <w:rsid w:val="002142B8"/>
    <w:rsid w:val="002161F4"/>
    <w:rsid w:val="00216E75"/>
    <w:rsid w:val="00221907"/>
    <w:rsid w:val="00222FA8"/>
    <w:rsid w:val="0022532A"/>
    <w:rsid w:val="00227AF3"/>
    <w:rsid w:val="00227AFB"/>
    <w:rsid w:val="00235741"/>
    <w:rsid w:val="00236B18"/>
    <w:rsid w:val="002401EA"/>
    <w:rsid w:val="00240A04"/>
    <w:rsid w:val="00241B9D"/>
    <w:rsid w:val="002439D4"/>
    <w:rsid w:val="00245CB2"/>
    <w:rsid w:val="00246A44"/>
    <w:rsid w:val="00250BAC"/>
    <w:rsid w:val="00251C23"/>
    <w:rsid w:val="002527E1"/>
    <w:rsid w:val="00260245"/>
    <w:rsid w:val="002602C3"/>
    <w:rsid w:val="0026252A"/>
    <w:rsid w:val="00262BB1"/>
    <w:rsid w:val="00263D3A"/>
    <w:rsid w:val="002643BE"/>
    <w:rsid w:val="00265325"/>
    <w:rsid w:val="00266E84"/>
    <w:rsid w:val="002715FC"/>
    <w:rsid w:val="002736FD"/>
    <w:rsid w:val="00274CFA"/>
    <w:rsid w:val="00275677"/>
    <w:rsid w:val="00275A3F"/>
    <w:rsid w:val="00277113"/>
    <w:rsid w:val="0028068C"/>
    <w:rsid w:val="00282A89"/>
    <w:rsid w:val="00282FF8"/>
    <w:rsid w:val="00283F8F"/>
    <w:rsid w:val="00286358"/>
    <w:rsid w:val="002869F9"/>
    <w:rsid w:val="00292F98"/>
    <w:rsid w:val="002939A0"/>
    <w:rsid w:val="002959A3"/>
    <w:rsid w:val="0029626E"/>
    <w:rsid w:val="00296E59"/>
    <w:rsid w:val="002979B7"/>
    <w:rsid w:val="00297CEF"/>
    <w:rsid w:val="002A0364"/>
    <w:rsid w:val="002A1661"/>
    <w:rsid w:val="002A1A25"/>
    <w:rsid w:val="002A3508"/>
    <w:rsid w:val="002A563C"/>
    <w:rsid w:val="002A7617"/>
    <w:rsid w:val="002B05EF"/>
    <w:rsid w:val="002B2388"/>
    <w:rsid w:val="002B2E34"/>
    <w:rsid w:val="002B560E"/>
    <w:rsid w:val="002B76FA"/>
    <w:rsid w:val="002C029E"/>
    <w:rsid w:val="002C2C71"/>
    <w:rsid w:val="002C4966"/>
    <w:rsid w:val="002C4EFF"/>
    <w:rsid w:val="002C5A65"/>
    <w:rsid w:val="002C71F3"/>
    <w:rsid w:val="002D2112"/>
    <w:rsid w:val="002D53D7"/>
    <w:rsid w:val="002D5508"/>
    <w:rsid w:val="002D5FC1"/>
    <w:rsid w:val="002D6668"/>
    <w:rsid w:val="002D7AB3"/>
    <w:rsid w:val="002E1D3C"/>
    <w:rsid w:val="002E1F73"/>
    <w:rsid w:val="002E269D"/>
    <w:rsid w:val="002E3460"/>
    <w:rsid w:val="002E3C97"/>
    <w:rsid w:val="002E62BF"/>
    <w:rsid w:val="002E70AE"/>
    <w:rsid w:val="002F0C41"/>
    <w:rsid w:val="002F5B6A"/>
    <w:rsid w:val="002F5BF5"/>
    <w:rsid w:val="002F5ECA"/>
    <w:rsid w:val="00301311"/>
    <w:rsid w:val="00303D41"/>
    <w:rsid w:val="00306572"/>
    <w:rsid w:val="003079C7"/>
    <w:rsid w:val="0031159D"/>
    <w:rsid w:val="0031318C"/>
    <w:rsid w:val="003144FB"/>
    <w:rsid w:val="003169F3"/>
    <w:rsid w:val="00316A0F"/>
    <w:rsid w:val="00317436"/>
    <w:rsid w:val="0032078D"/>
    <w:rsid w:val="00321CE0"/>
    <w:rsid w:val="0032231F"/>
    <w:rsid w:val="00323B43"/>
    <w:rsid w:val="00325BCC"/>
    <w:rsid w:val="00326FA5"/>
    <w:rsid w:val="003309A3"/>
    <w:rsid w:val="003345BC"/>
    <w:rsid w:val="00343662"/>
    <w:rsid w:val="0035365E"/>
    <w:rsid w:val="00355403"/>
    <w:rsid w:val="003569A8"/>
    <w:rsid w:val="003603D7"/>
    <w:rsid w:val="00361FFF"/>
    <w:rsid w:val="00362340"/>
    <w:rsid w:val="003653A5"/>
    <w:rsid w:val="00366971"/>
    <w:rsid w:val="00367DF7"/>
    <w:rsid w:val="00370AFA"/>
    <w:rsid w:val="0037120F"/>
    <w:rsid w:val="003715C3"/>
    <w:rsid w:val="0037242E"/>
    <w:rsid w:val="003743E9"/>
    <w:rsid w:val="0037737B"/>
    <w:rsid w:val="0038005F"/>
    <w:rsid w:val="003803CC"/>
    <w:rsid w:val="00382949"/>
    <w:rsid w:val="00391AE3"/>
    <w:rsid w:val="00393C77"/>
    <w:rsid w:val="00396D4C"/>
    <w:rsid w:val="003A02BE"/>
    <w:rsid w:val="003A1721"/>
    <w:rsid w:val="003A1765"/>
    <w:rsid w:val="003A3917"/>
    <w:rsid w:val="003A3C32"/>
    <w:rsid w:val="003A4AC3"/>
    <w:rsid w:val="003A4D02"/>
    <w:rsid w:val="003A4D52"/>
    <w:rsid w:val="003A536E"/>
    <w:rsid w:val="003A718D"/>
    <w:rsid w:val="003B02A3"/>
    <w:rsid w:val="003B6DEC"/>
    <w:rsid w:val="003B79D3"/>
    <w:rsid w:val="003C2B92"/>
    <w:rsid w:val="003D004B"/>
    <w:rsid w:val="003D126B"/>
    <w:rsid w:val="003D1382"/>
    <w:rsid w:val="003D1D33"/>
    <w:rsid w:val="003D22C9"/>
    <w:rsid w:val="003D28AC"/>
    <w:rsid w:val="003D3733"/>
    <w:rsid w:val="003D37D8"/>
    <w:rsid w:val="003D7663"/>
    <w:rsid w:val="003D7B2A"/>
    <w:rsid w:val="003E266C"/>
    <w:rsid w:val="003E3C05"/>
    <w:rsid w:val="003E6F2A"/>
    <w:rsid w:val="003F13DD"/>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37865"/>
    <w:rsid w:val="0044247E"/>
    <w:rsid w:val="00445C28"/>
    <w:rsid w:val="004468B5"/>
    <w:rsid w:val="00451E9F"/>
    <w:rsid w:val="00452F10"/>
    <w:rsid w:val="004551F1"/>
    <w:rsid w:val="004554CD"/>
    <w:rsid w:val="00456648"/>
    <w:rsid w:val="00457E00"/>
    <w:rsid w:val="00461E7C"/>
    <w:rsid w:val="004639CB"/>
    <w:rsid w:val="004639E0"/>
    <w:rsid w:val="00463A6D"/>
    <w:rsid w:val="00465A21"/>
    <w:rsid w:val="004676B4"/>
    <w:rsid w:val="0047029F"/>
    <w:rsid w:val="0047047F"/>
    <w:rsid w:val="00472532"/>
    <w:rsid w:val="0047276D"/>
    <w:rsid w:val="00472C49"/>
    <w:rsid w:val="00474702"/>
    <w:rsid w:val="00474DE3"/>
    <w:rsid w:val="00476219"/>
    <w:rsid w:val="00477959"/>
    <w:rsid w:val="00477D75"/>
    <w:rsid w:val="00486217"/>
    <w:rsid w:val="00486A56"/>
    <w:rsid w:val="00486D58"/>
    <w:rsid w:val="0049169E"/>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80A"/>
    <w:rsid w:val="004C7C48"/>
    <w:rsid w:val="004D21B9"/>
    <w:rsid w:val="004D21FF"/>
    <w:rsid w:val="004D2DD5"/>
    <w:rsid w:val="004D41F0"/>
    <w:rsid w:val="004D55F1"/>
    <w:rsid w:val="004D578A"/>
    <w:rsid w:val="004D656B"/>
    <w:rsid w:val="004D7523"/>
    <w:rsid w:val="004E0AA9"/>
    <w:rsid w:val="004E1AEF"/>
    <w:rsid w:val="004E1F6A"/>
    <w:rsid w:val="004E3774"/>
    <w:rsid w:val="004E446B"/>
    <w:rsid w:val="004E5448"/>
    <w:rsid w:val="004E5DFC"/>
    <w:rsid w:val="004E642E"/>
    <w:rsid w:val="004E7ADC"/>
    <w:rsid w:val="004F26B4"/>
    <w:rsid w:val="004F4875"/>
    <w:rsid w:val="004F5681"/>
    <w:rsid w:val="005024D5"/>
    <w:rsid w:val="005031BA"/>
    <w:rsid w:val="00507211"/>
    <w:rsid w:val="00507934"/>
    <w:rsid w:val="005105FB"/>
    <w:rsid w:val="005108E7"/>
    <w:rsid w:val="0051171B"/>
    <w:rsid w:val="00512D1D"/>
    <w:rsid w:val="005131A5"/>
    <w:rsid w:val="00515160"/>
    <w:rsid w:val="00515C9F"/>
    <w:rsid w:val="00516D5A"/>
    <w:rsid w:val="005170FB"/>
    <w:rsid w:val="00517898"/>
    <w:rsid w:val="0052025E"/>
    <w:rsid w:val="0052300D"/>
    <w:rsid w:val="00523B77"/>
    <w:rsid w:val="0052474C"/>
    <w:rsid w:val="00525074"/>
    <w:rsid w:val="00525520"/>
    <w:rsid w:val="005319EE"/>
    <w:rsid w:val="00531BE2"/>
    <w:rsid w:val="0053701E"/>
    <w:rsid w:val="005417A8"/>
    <w:rsid w:val="005421AC"/>
    <w:rsid w:val="00544C1A"/>
    <w:rsid w:val="00546D1B"/>
    <w:rsid w:val="0055027D"/>
    <w:rsid w:val="00553A8B"/>
    <w:rsid w:val="00554FA1"/>
    <w:rsid w:val="00556934"/>
    <w:rsid w:val="0055755C"/>
    <w:rsid w:val="005607DF"/>
    <w:rsid w:val="00564377"/>
    <w:rsid w:val="00564538"/>
    <w:rsid w:val="00565BCC"/>
    <w:rsid w:val="00566A89"/>
    <w:rsid w:val="00567E07"/>
    <w:rsid w:val="0057630F"/>
    <w:rsid w:val="005771F7"/>
    <w:rsid w:val="00577B7B"/>
    <w:rsid w:val="0058247E"/>
    <w:rsid w:val="005825ED"/>
    <w:rsid w:val="00583F7F"/>
    <w:rsid w:val="0058600B"/>
    <w:rsid w:val="00586B71"/>
    <w:rsid w:val="00587913"/>
    <w:rsid w:val="00593428"/>
    <w:rsid w:val="00593B65"/>
    <w:rsid w:val="005A15D6"/>
    <w:rsid w:val="005A1FD8"/>
    <w:rsid w:val="005A317D"/>
    <w:rsid w:val="005A79F9"/>
    <w:rsid w:val="005C04A7"/>
    <w:rsid w:val="005C04E0"/>
    <w:rsid w:val="005C3594"/>
    <w:rsid w:val="005C46B7"/>
    <w:rsid w:val="005C7C8B"/>
    <w:rsid w:val="005D4C1F"/>
    <w:rsid w:val="005D5617"/>
    <w:rsid w:val="005D6591"/>
    <w:rsid w:val="005D6869"/>
    <w:rsid w:val="005D7446"/>
    <w:rsid w:val="005E5F88"/>
    <w:rsid w:val="005E722A"/>
    <w:rsid w:val="005F06F5"/>
    <w:rsid w:val="005F46C0"/>
    <w:rsid w:val="005F471D"/>
    <w:rsid w:val="005F720A"/>
    <w:rsid w:val="005F7467"/>
    <w:rsid w:val="005F78E7"/>
    <w:rsid w:val="006007F3"/>
    <w:rsid w:val="0060402C"/>
    <w:rsid w:val="006050E8"/>
    <w:rsid w:val="00605975"/>
    <w:rsid w:val="0061252A"/>
    <w:rsid w:val="00613338"/>
    <w:rsid w:val="006133CD"/>
    <w:rsid w:val="006135B3"/>
    <w:rsid w:val="006138D4"/>
    <w:rsid w:val="00616C03"/>
    <w:rsid w:val="00616F30"/>
    <w:rsid w:val="006215A2"/>
    <w:rsid w:val="00621BB8"/>
    <w:rsid w:val="00621F7D"/>
    <w:rsid w:val="00622AD1"/>
    <w:rsid w:val="00623267"/>
    <w:rsid w:val="00625428"/>
    <w:rsid w:val="00626421"/>
    <w:rsid w:val="0062670B"/>
    <w:rsid w:val="00630B86"/>
    <w:rsid w:val="00630F5B"/>
    <w:rsid w:val="00634C66"/>
    <w:rsid w:val="006352D1"/>
    <w:rsid w:val="00636E1A"/>
    <w:rsid w:val="00642BA5"/>
    <w:rsid w:val="006434E0"/>
    <w:rsid w:val="00650C90"/>
    <w:rsid w:val="0065172D"/>
    <w:rsid w:val="0065287D"/>
    <w:rsid w:val="00652EB8"/>
    <w:rsid w:val="00654649"/>
    <w:rsid w:val="0065671B"/>
    <w:rsid w:val="00656A5A"/>
    <w:rsid w:val="00663A42"/>
    <w:rsid w:val="0066418E"/>
    <w:rsid w:val="0066469F"/>
    <w:rsid w:val="00664DC7"/>
    <w:rsid w:val="00671AD4"/>
    <w:rsid w:val="00676566"/>
    <w:rsid w:val="0067780F"/>
    <w:rsid w:val="00680B9F"/>
    <w:rsid w:val="0068140F"/>
    <w:rsid w:val="00681A20"/>
    <w:rsid w:val="00684287"/>
    <w:rsid w:val="0068432B"/>
    <w:rsid w:val="00684DA5"/>
    <w:rsid w:val="00686C30"/>
    <w:rsid w:val="00687252"/>
    <w:rsid w:val="00690FA3"/>
    <w:rsid w:val="0069331D"/>
    <w:rsid w:val="00694BC9"/>
    <w:rsid w:val="00696DF8"/>
    <w:rsid w:val="0069783E"/>
    <w:rsid w:val="00697E26"/>
    <w:rsid w:val="006A0330"/>
    <w:rsid w:val="006A3AE1"/>
    <w:rsid w:val="006A3B57"/>
    <w:rsid w:val="006A6958"/>
    <w:rsid w:val="006A6AB2"/>
    <w:rsid w:val="006B117D"/>
    <w:rsid w:val="006B19B7"/>
    <w:rsid w:val="006B392C"/>
    <w:rsid w:val="006B4CC0"/>
    <w:rsid w:val="006B65B0"/>
    <w:rsid w:val="006B6F7A"/>
    <w:rsid w:val="006B706A"/>
    <w:rsid w:val="006B7B84"/>
    <w:rsid w:val="006C5198"/>
    <w:rsid w:val="006C6A07"/>
    <w:rsid w:val="006E0A3D"/>
    <w:rsid w:val="006E1D69"/>
    <w:rsid w:val="006E27F1"/>
    <w:rsid w:val="006E5BC8"/>
    <w:rsid w:val="006E7CBA"/>
    <w:rsid w:val="006F222F"/>
    <w:rsid w:val="006F4EDD"/>
    <w:rsid w:val="006F551B"/>
    <w:rsid w:val="006F7B69"/>
    <w:rsid w:val="0070241F"/>
    <w:rsid w:val="007024A9"/>
    <w:rsid w:val="00703C96"/>
    <w:rsid w:val="00704C98"/>
    <w:rsid w:val="007130D7"/>
    <w:rsid w:val="00713E98"/>
    <w:rsid w:val="00715591"/>
    <w:rsid w:val="00715AE8"/>
    <w:rsid w:val="00722103"/>
    <w:rsid w:val="00724206"/>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56E1F"/>
    <w:rsid w:val="00761D80"/>
    <w:rsid w:val="0076364A"/>
    <w:rsid w:val="00766FC5"/>
    <w:rsid w:val="00770E5B"/>
    <w:rsid w:val="00772930"/>
    <w:rsid w:val="00776E20"/>
    <w:rsid w:val="00777599"/>
    <w:rsid w:val="00780704"/>
    <w:rsid w:val="007814AF"/>
    <w:rsid w:val="007825F0"/>
    <w:rsid w:val="00787F88"/>
    <w:rsid w:val="0079487D"/>
    <w:rsid w:val="00794E35"/>
    <w:rsid w:val="00795732"/>
    <w:rsid w:val="0079721A"/>
    <w:rsid w:val="007A095C"/>
    <w:rsid w:val="007A0AF8"/>
    <w:rsid w:val="007A283A"/>
    <w:rsid w:val="007A65C8"/>
    <w:rsid w:val="007A6B16"/>
    <w:rsid w:val="007A7AC4"/>
    <w:rsid w:val="007B639C"/>
    <w:rsid w:val="007B7036"/>
    <w:rsid w:val="007C0870"/>
    <w:rsid w:val="007C2D10"/>
    <w:rsid w:val="007C3118"/>
    <w:rsid w:val="007C3D0B"/>
    <w:rsid w:val="007C457D"/>
    <w:rsid w:val="007C4A22"/>
    <w:rsid w:val="007D02A9"/>
    <w:rsid w:val="007D166D"/>
    <w:rsid w:val="007D17C7"/>
    <w:rsid w:val="007D2766"/>
    <w:rsid w:val="007D2961"/>
    <w:rsid w:val="007D2FF7"/>
    <w:rsid w:val="007D38E6"/>
    <w:rsid w:val="007D49F0"/>
    <w:rsid w:val="007D6C20"/>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451"/>
    <w:rsid w:val="0081657E"/>
    <w:rsid w:val="00816990"/>
    <w:rsid w:val="00817981"/>
    <w:rsid w:val="008219D5"/>
    <w:rsid w:val="00822851"/>
    <w:rsid w:val="00824A75"/>
    <w:rsid w:val="0082509A"/>
    <w:rsid w:val="00825A51"/>
    <w:rsid w:val="00825D53"/>
    <w:rsid w:val="008272DF"/>
    <w:rsid w:val="00830918"/>
    <w:rsid w:val="00831065"/>
    <w:rsid w:val="00832639"/>
    <w:rsid w:val="008337A7"/>
    <w:rsid w:val="00835998"/>
    <w:rsid w:val="00835BCB"/>
    <w:rsid w:val="00836773"/>
    <w:rsid w:val="00836E6A"/>
    <w:rsid w:val="008410D0"/>
    <w:rsid w:val="00841559"/>
    <w:rsid w:val="0084558B"/>
    <w:rsid w:val="00845924"/>
    <w:rsid w:val="00846107"/>
    <w:rsid w:val="00847E07"/>
    <w:rsid w:val="00851297"/>
    <w:rsid w:val="0085146C"/>
    <w:rsid w:val="00852C43"/>
    <w:rsid w:val="00853737"/>
    <w:rsid w:val="008541B8"/>
    <w:rsid w:val="008552AB"/>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4A25"/>
    <w:rsid w:val="008857CC"/>
    <w:rsid w:val="00892BB0"/>
    <w:rsid w:val="0089314F"/>
    <w:rsid w:val="0089328E"/>
    <w:rsid w:val="00893689"/>
    <w:rsid w:val="00894E40"/>
    <w:rsid w:val="0089513A"/>
    <w:rsid w:val="00896069"/>
    <w:rsid w:val="00896786"/>
    <w:rsid w:val="0089711A"/>
    <w:rsid w:val="008976AB"/>
    <w:rsid w:val="008A2C15"/>
    <w:rsid w:val="008A3DBA"/>
    <w:rsid w:val="008A483E"/>
    <w:rsid w:val="008A5601"/>
    <w:rsid w:val="008A6383"/>
    <w:rsid w:val="008B2F03"/>
    <w:rsid w:val="008B3F82"/>
    <w:rsid w:val="008B7726"/>
    <w:rsid w:val="008C08EC"/>
    <w:rsid w:val="008C2997"/>
    <w:rsid w:val="008C443B"/>
    <w:rsid w:val="008C538A"/>
    <w:rsid w:val="008D0618"/>
    <w:rsid w:val="008D1AEB"/>
    <w:rsid w:val="008D1E23"/>
    <w:rsid w:val="008D2A7C"/>
    <w:rsid w:val="008D3031"/>
    <w:rsid w:val="008D4F00"/>
    <w:rsid w:val="008D6EDB"/>
    <w:rsid w:val="008D7DBC"/>
    <w:rsid w:val="008E08B2"/>
    <w:rsid w:val="008E0AFC"/>
    <w:rsid w:val="008E1E43"/>
    <w:rsid w:val="008E3116"/>
    <w:rsid w:val="008E3EC4"/>
    <w:rsid w:val="008E637F"/>
    <w:rsid w:val="008E64A5"/>
    <w:rsid w:val="008E66FE"/>
    <w:rsid w:val="008F0026"/>
    <w:rsid w:val="008F1187"/>
    <w:rsid w:val="008F27DB"/>
    <w:rsid w:val="008F2D87"/>
    <w:rsid w:val="008F3386"/>
    <w:rsid w:val="008F5B6F"/>
    <w:rsid w:val="009002A3"/>
    <w:rsid w:val="0090038C"/>
    <w:rsid w:val="009007EC"/>
    <w:rsid w:val="00900DDD"/>
    <w:rsid w:val="00900EF5"/>
    <w:rsid w:val="00901EE5"/>
    <w:rsid w:val="0090421D"/>
    <w:rsid w:val="00906447"/>
    <w:rsid w:val="0091349D"/>
    <w:rsid w:val="00913EE3"/>
    <w:rsid w:val="009141C7"/>
    <w:rsid w:val="009160EA"/>
    <w:rsid w:val="00917E0F"/>
    <w:rsid w:val="00920597"/>
    <w:rsid w:val="00921E42"/>
    <w:rsid w:val="00922872"/>
    <w:rsid w:val="0092425B"/>
    <w:rsid w:val="00924D39"/>
    <w:rsid w:val="00924FFE"/>
    <w:rsid w:val="009263C3"/>
    <w:rsid w:val="009268AB"/>
    <w:rsid w:val="009364FF"/>
    <w:rsid w:val="00937FC7"/>
    <w:rsid w:val="00942397"/>
    <w:rsid w:val="009425B4"/>
    <w:rsid w:val="00946F52"/>
    <w:rsid w:val="00950F44"/>
    <w:rsid w:val="00952A7D"/>
    <w:rsid w:val="00952BF8"/>
    <w:rsid w:val="00953747"/>
    <w:rsid w:val="0095565A"/>
    <w:rsid w:val="00955918"/>
    <w:rsid w:val="00960439"/>
    <w:rsid w:val="009606DF"/>
    <w:rsid w:val="00961D67"/>
    <w:rsid w:val="00962D93"/>
    <w:rsid w:val="009636EF"/>
    <w:rsid w:val="0096408D"/>
    <w:rsid w:val="009651A8"/>
    <w:rsid w:val="009657E9"/>
    <w:rsid w:val="0096666B"/>
    <w:rsid w:val="009719C3"/>
    <w:rsid w:val="00971F94"/>
    <w:rsid w:val="0097578E"/>
    <w:rsid w:val="00976E55"/>
    <w:rsid w:val="009814B0"/>
    <w:rsid w:val="00984D41"/>
    <w:rsid w:val="009852BB"/>
    <w:rsid w:val="009853C4"/>
    <w:rsid w:val="0098547C"/>
    <w:rsid w:val="009860B4"/>
    <w:rsid w:val="00986724"/>
    <w:rsid w:val="0098718E"/>
    <w:rsid w:val="00994269"/>
    <w:rsid w:val="0099439A"/>
    <w:rsid w:val="00994737"/>
    <w:rsid w:val="009A0E53"/>
    <w:rsid w:val="009A0F00"/>
    <w:rsid w:val="009A37AE"/>
    <w:rsid w:val="009A4059"/>
    <w:rsid w:val="009A47EF"/>
    <w:rsid w:val="009B1979"/>
    <w:rsid w:val="009B1E1B"/>
    <w:rsid w:val="009B2CC0"/>
    <w:rsid w:val="009B4C38"/>
    <w:rsid w:val="009C0DAB"/>
    <w:rsid w:val="009C1E20"/>
    <w:rsid w:val="009D0378"/>
    <w:rsid w:val="009D0F18"/>
    <w:rsid w:val="009D1A68"/>
    <w:rsid w:val="009D1EFB"/>
    <w:rsid w:val="009D5964"/>
    <w:rsid w:val="009D6A0C"/>
    <w:rsid w:val="009E03CB"/>
    <w:rsid w:val="009E0725"/>
    <w:rsid w:val="009E1492"/>
    <w:rsid w:val="009E39C5"/>
    <w:rsid w:val="009E4B3F"/>
    <w:rsid w:val="009E5877"/>
    <w:rsid w:val="009E666E"/>
    <w:rsid w:val="009F41E9"/>
    <w:rsid w:val="009F69B0"/>
    <w:rsid w:val="00A01001"/>
    <w:rsid w:val="00A0310D"/>
    <w:rsid w:val="00A073F4"/>
    <w:rsid w:val="00A07BBE"/>
    <w:rsid w:val="00A11F73"/>
    <w:rsid w:val="00A14A5A"/>
    <w:rsid w:val="00A16439"/>
    <w:rsid w:val="00A21057"/>
    <w:rsid w:val="00A217CE"/>
    <w:rsid w:val="00A21E86"/>
    <w:rsid w:val="00A22DFB"/>
    <w:rsid w:val="00A26B47"/>
    <w:rsid w:val="00A27301"/>
    <w:rsid w:val="00A305E3"/>
    <w:rsid w:val="00A318CB"/>
    <w:rsid w:val="00A353F1"/>
    <w:rsid w:val="00A357B0"/>
    <w:rsid w:val="00A35B22"/>
    <w:rsid w:val="00A40CA6"/>
    <w:rsid w:val="00A42B99"/>
    <w:rsid w:val="00A479B6"/>
    <w:rsid w:val="00A50D3C"/>
    <w:rsid w:val="00A51750"/>
    <w:rsid w:val="00A532E3"/>
    <w:rsid w:val="00A54512"/>
    <w:rsid w:val="00A54D9C"/>
    <w:rsid w:val="00A56663"/>
    <w:rsid w:val="00A57200"/>
    <w:rsid w:val="00A573AD"/>
    <w:rsid w:val="00A57865"/>
    <w:rsid w:val="00A61F7B"/>
    <w:rsid w:val="00A62B31"/>
    <w:rsid w:val="00A62EFB"/>
    <w:rsid w:val="00A64850"/>
    <w:rsid w:val="00A65003"/>
    <w:rsid w:val="00A65202"/>
    <w:rsid w:val="00A65B30"/>
    <w:rsid w:val="00A73299"/>
    <w:rsid w:val="00A7536B"/>
    <w:rsid w:val="00A80356"/>
    <w:rsid w:val="00A816B6"/>
    <w:rsid w:val="00A82D81"/>
    <w:rsid w:val="00A96E79"/>
    <w:rsid w:val="00AA0E63"/>
    <w:rsid w:val="00AA2033"/>
    <w:rsid w:val="00AA2102"/>
    <w:rsid w:val="00AA4A07"/>
    <w:rsid w:val="00AA6230"/>
    <w:rsid w:val="00AB2617"/>
    <w:rsid w:val="00AB2AEC"/>
    <w:rsid w:val="00AB632D"/>
    <w:rsid w:val="00AC2691"/>
    <w:rsid w:val="00AC3A38"/>
    <w:rsid w:val="00AC5444"/>
    <w:rsid w:val="00AC70E1"/>
    <w:rsid w:val="00AD1D29"/>
    <w:rsid w:val="00AD328E"/>
    <w:rsid w:val="00AD3D95"/>
    <w:rsid w:val="00AD5147"/>
    <w:rsid w:val="00AD524E"/>
    <w:rsid w:val="00AE0837"/>
    <w:rsid w:val="00AE106F"/>
    <w:rsid w:val="00AE11C8"/>
    <w:rsid w:val="00AE355C"/>
    <w:rsid w:val="00AE4EFC"/>
    <w:rsid w:val="00AE5731"/>
    <w:rsid w:val="00AE7127"/>
    <w:rsid w:val="00AF15EB"/>
    <w:rsid w:val="00AF4698"/>
    <w:rsid w:val="00AF6BA2"/>
    <w:rsid w:val="00AF7801"/>
    <w:rsid w:val="00B019E2"/>
    <w:rsid w:val="00B020ED"/>
    <w:rsid w:val="00B036CB"/>
    <w:rsid w:val="00B105CA"/>
    <w:rsid w:val="00B130D5"/>
    <w:rsid w:val="00B13566"/>
    <w:rsid w:val="00B13A54"/>
    <w:rsid w:val="00B14220"/>
    <w:rsid w:val="00B153A8"/>
    <w:rsid w:val="00B16868"/>
    <w:rsid w:val="00B17251"/>
    <w:rsid w:val="00B2128A"/>
    <w:rsid w:val="00B2159A"/>
    <w:rsid w:val="00B21D32"/>
    <w:rsid w:val="00B251FA"/>
    <w:rsid w:val="00B30DBD"/>
    <w:rsid w:val="00B313B2"/>
    <w:rsid w:val="00B334AD"/>
    <w:rsid w:val="00B34A43"/>
    <w:rsid w:val="00B36912"/>
    <w:rsid w:val="00B404A0"/>
    <w:rsid w:val="00B4256A"/>
    <w:rsid w:val="00B432AB"/>
    <w:rsid w:val="00B47A0B"/>
    <w:rsid w:val="00B52131"/>
    <w:rsid w:val="00B526E3"/>
    <w:rsid w:val="00B54D75"/>
    <w:rsid w:val="00B60C2A"/>
    <w:rsid w:val="00B64061"/>
    <w:rsid w:val="00B65FC0"/>
    <w:rsid w:val="00B707DD"/>
    <w:rsid w:val="00B719F4"/>
    <w:rsid w:val="00B73995"/>
    <w:rsid w:val="00B74DBC"/>
    <w:rsid w:val="00B75E08"/>
    <w:rsid w:val="00B76684"/>
    <w:rsid w:val="00B7698F"/>
    <w:rsid w:val="00B854FE"/>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53B3"/>
    <w:rsid w:val="00BC550D"/>
    <w:rsid w:val="00BC60E6"/>
    <w:rsid w:val="00BC6230"/>
    <w:rsid w:val="00BD227D"/>
    <w:rsid w:val="00BD68D0"/>
    <w:rsid w:val="00BE66AA"/>
    <w:rsid w:val="00BE73B9"/>
    <w:rsid w:val="00BF444F"/>
    <w:rsid w:val="00BF77F5"/>
    <w:rsid w:val="00BF7D4B"/>
    <w:rsid w:val="00C008A0"/>
    <w:rsid w:val="00C01D8A"/>
    <w:rsid w:val="00C023EF"/>
    <w:rsid w:val="00C125B4"/>
    <w:rsid w:val="00C15415"/>
    <w:rsid w:val="00C16FE4"/>
    <w:rsid w:val="00C172EB"/>
    <w:rsid w:val="00C21DDB"/>
    <w:rsid w:val="00C22F98"/>
    <w:rsid w:val="00C2363B"/>
    <w:rsid w:val="00C25385"/>
    <w:rsid w:val="00C26560"/>
    <w:rsid w:val="00C3062F"/>
    <w:rsid w:val="00C32E7A"/>
    <w:rsid w:val="00C340A6"/>
    <w:rsid w:val="00C407EC"/>
    <w:rsid w:val="00C408D9"/>
    <w:rsid w:val="00C42DB9"/>
    <w:rsid w:val="00C447FD"/>
    <w:rsid w:val="00C44B90"/>
    <w:rsid w:val="00C47B15"/>
    <w:rsid w:val="00C51434"/>
    <w:rsid w:val="00C51743"/>
    <w:rsid w:val="00C51A61"/>
    <w:rsid w:val="00C51E2E"/>
    <w:rsid w:val="00C53956"/>
    <w:rsid w:val="00C57393"/>
    <w:rsid w:val="00C60383"/>
    <w:rsid w:val="00C64C71"/>
    <w:rsid w:val="00C6528B"/>
    <w:rsid w:val="00C661B3"/>
    <w:rsid w:val="00C70300"/>
    <w:rsid w:val="00C7037D"/>
    <w:rsid w:val="00C70637"/>
    <w:rsid w:val="00C71DC8"/>
    <w:rsid w:val="00C735E0"/>
    <w:rsid w:val="00C73E69"/>
    <w:rsid w:val="00C74592"/>
    <w:rsid w:val="00C767BA"/>
    <w:rsid w:val="00C80157"/>
    <w:rsid w:val="00C8048C"/>
    <w:rsid w:val="00C80C68"/>
    <w:rsid w:val="00C81C09"/>
    <w:rsid w:val="00C86E9A"/>
    <w:rsid w:val="00C90C02"/>
    <w:rsid w:val="00C93A3D"/>
    <w:rsid w:val="00C94F0A"/>
    <w:rsid w:val="00CA3203"/>
    <w:rsid w:val="00CA394E"/>
    <w:rsid w:val="00CA6058"/>
    <w:rsid w:val="00CA6BD1"/>
    <w:rsid w:val="00CB1B1B"/>
    <w:rsid w:val="00CB3E03"/>
    <w:rsid w:val="00CB3FC2"/>
    <w:rsid w:val="00CB580D"/>
    <w:rsid w:val="00CB6098"/>
    <w:rsid w:val="00CB623E"/>
    <w:rsid w:val="00CB6C47"/>
    <w:rsid w:val="00CC0BA5"/>
    <w:rsid w:val="00CC125A"/>
    <w:rsid w:val="00CC1B92"/>
    <w:rsid w:val="00CC1F3E"/>
    <w:rsid w:val="00CC236E"/>
    <w:rsid w:val="00CC2B2A"/>
    <w:rsid w:val="00CC6216"/>
    <w:rsid w:val="00CC6A8D"/>
    <w:rsid w:val="00CC70FA"/>
    <w:rsid w:val="00CD37C3"/>
    <w:rsid w:val="00CD3911"/>
    <w:rsid w:val="00CD48EF"/>
    <w:rsid w:val="00CD4BA1"/>
    <w:rsid w:val="00CD59A6"/>
    <w:rsid w:val="00CD7672"/>
    <w:rsid w:val="00CE06C9"/>
    <w:rsid w:val="00CE33C1"/>
    <w:rsid w:val="00CE3834"/>
    <w:rsid w:val="00CF148C"/>
    <w:rsid w:val="00CF3D94"/>
    <w:rsid w:val="00CF48A3"/>
    <w:rsid w:val="00CF5081"/>
    <w:rsid w:val="00D03076"/>
    <w:rsid w:val="00D058E4"/>
    <w:rsid w:val="00D0662C"/>
    <w:rsid w:val="00D07178"/>
    <w:rsid w:val="00D075F0"/>
    <w:rsid w:val="00D11C0B"/>
    <w:rsid w:val="00D11EE9"/>
    <w:rsid w:val="00D13F47"/>
    <w:rsid w:val="00D14E66"/>
    <w:rsid w:val="00D17631"/>
    <w:rsid w:val="00D17CD3"/>
    <w:rsid w:val="00D17D15"/>
    <w:rsid w:val="00D21B22"/>
    <w:rsid w:val="00D24AEB"/>
    <w:rsid w:val="00D24AFD"/>
    <w:rsid w:val="00D27902"/>
    <w:rsid w:val="00D27984"/>
    <w:rsid w:val="00D31D50"/>
    <w:rsid w:val="00D323E9"/>
    <w:rsid w:val="00D34F5B"/>
    <w:rsid w:val="00D35023"/>
    <w:rsid w:val="00D3706E"/>
    <w:rsid w:val="00D403B8"/>
    <w:rsid w:val="00D45C1B"/>
    <w:rsid w:val="00D45E14"/>
    <w:rsid w:val="00D51C9A"/>
    <w:rsid w:val="00D5318C"/>
    <w:rsid w:val="00D53371"/>
    <w:rsid w:val="00D53BD5"/>
    <w:rsid w:val="00D54899"/>
    <w:rsid w:val="00D55621"/>
    <w:rsid w:val="00D57419"/>
    <w:rsid w:val="00D6000E"/>
    <w:rsid w:val="00D623E1"/>
    <w:rsid w:val="00D713D6"/>
    <w:rsid w:val="00D72DAF"/>
    <w:rsid w:val="00D75BB9"/>
    <w:rsid w:val="00D76276"/>
    <w:rsid w:val="00D77919"/>
    <w:rsid w:val="00D77B62"/>
    <w:rsid w:val="00D8083C"/>
    <w:rsid w:val="00D85F8D"/>
    <w:rsid w:val="00D87F81"/>
    <w:rsid w:val="00D90E39"/>
    <w:rsid w:val="00D94E5A"/>
    <w:rsid w:val="00D97E89"/>
    <w:rsid w:val="00DA3738"/>
    <w:rsid w:val="00DA45EE"/>
    <w:rsid w:val="00DA58A3"/>
    <w:rsid w:val="00DB2F5B"/>
    <w:rsid w:val="00DB3B4D"/>
    <w:rsid w:val="00DB46CB"/>
    <w:rsid w:val="00DB622D"/>
    <w:rsid w:val="00DB695F"/>
    <w:rsid w:val="00DC03E7"/>
    <w:rsid w:val="00DC170D"/>
    <w:rsid w:val="00DC3710"/>
    <w:rsid w:val="00DC3B9E"/>
    <w:rsid w:val="00DC4FB9"/>
    <w:rsid w:val="00DC545F"/>
    <w:rsid w:val="00DC54A9"/>
    <w:rsid w:val="00DC6139"/>
    <w:rsid w:val="00DC6686"/>
    <w:rsid w:val="00DC6D84"/>
    <w:rsid w:val="00DC7F68"/>
    <w:rsid w:val="00DD1D7F"/>
    <w:rsid w:val="00DD360A"/>
    <w:rsid w:val="00DD540C"/>
    <w:rsid w:val="00DD7F91"/>
    <w:rsid w:val="00DE0985"/>
    <w:rsid w:val="00DE12E6"/>
    <w:rsid w:val="00DE206D"/>
    <w:rsid w:val="00DE22C5"/>
    <w:rsid w:val="00DE42BF"/>
    <w:rsid w:val="00DE4A1A"/>
    <w:rsid w:val="00DE4E11"/>
    <w:rsid w:val="00DE53FE"/>
    <w:rsid w:val="00DE6ED8"/>
    <w:rsid w:val="00DF06A1"/>
    <w:rsid w:val="00DF53D8"/>
    <w:rsid w:val="00DF77EE"/>
    <w:rsid w:val="00E0060F"/>
    <w:rsid w:val="00E00A5F"/>
    <w:rsid w:val="00E02962"/>
    <w:rsid w:val="00E05D64"/>
    <w:rsid w:val="00E07ABB"/>
    <w:rsid w:val="00E07D8F"/>
    <w:rsid w:val="00E11B2B"/>
    <w:rsid w:val="00E12F0C"/>
    <w:rsid w:val="00E13762"/>
    <w:rsid w:val="00E14E2F"/>
    <w:rsid w:val="00E154CF"/>
    <w:rsid w:val="00E1552D"/>
    <w:rsid w:val="00E1640B"/>
    <w:rsid w:val="00E17978"/>
    <w:rsid w:val="00E2036D"/>
    <w:rsid w:val="00E216AE"/>
    <w:rsid w:val="00E317A6"/>
    <w:rsid w:val="00E31879"/>
    <w:rsid w:val="00E3190E"/>
    <w:rsid w:val="00E31F05"/>
    <w:rsid w:val="00E32285"/>
    <w:rsid w:val="00E34295"/>
    <w:rsid w:val="00E3667E"/>
    <w:rsid w:val="00E4228D"/>
    <w:rsid w:val="00E4254E"/>
    <w:rsid w:val="00E4608C"/>
    <w:rsid w:val="00E502A2"/>
    <w:rsid w:val="00E51CE4"/>
    <w:rsid w:val="00E521B6"/>
    <w:rsid w:val="00E52931"/>
    <w:rsid w:val="00E53ACE"/>
    <w:rsid w:val="00E5519B"/>
    <w:rsid w:val="00E55FEE"/>
    <w:rsid w:val="00E57BD3"/>
    <w:rsid w:val="00E57D38"/>
    <w:rsid w:val="00E62C30"/>
    <w:rsid w:val="00E65332"/>
    <w:rsid w:val="00E6556B"/>
    <w:rsid w:val="00E65F77"/>
    <w:rsid w:val="00E670CD"/>
    <w:rsid w:val="00E67EA9"/>
    <w:rsid w:val="00E74653"/>
    <w:rsid w:val="00E7727F"/>
    <w:rsid w:val="00E7778C"/>
    <w:rsid w:val="00E83519"/>
    <w:rsid w:val="00E843EE"/>
    <w:rsid w:val="00E8498E"/>
    <w:rsid w:val="00E91889"/>
    <w:rsid w:val="00E91948"/>
    <w:rsid w:val="00E91F0F"/>
    <w:rsid w:val="00E944E2"/>
    <w:rsid w:val="00E95C54"/>
    <w:rsid w:val="00E96103"/>
    <w:rsid w:val="00EA027D"/>
    <w:rsid w:val="00EB1511"/>
    <w:rsid w:val="00EB22CF"/>
    <w:rsid w:val="00EB3414"/>
    <w:rsid w:val="00EB39DD"/>
    <w:rsid w:val="00EB40E4"/>
    <w:rsid w:val="00EB67BA"/>
    <w:rsid w:val="00EC149F"/>
    <w:rsid w:val="00EC16F8"/>
    <w:rsid w:val="00EC197F"/>
    <w:rsid w:val="00EC306F"/>
    <w:rsid w:val="00EC408E"/>
    <w:rsid w:val="00EC41F2"/>
    <w:rsid w:val="00EC4EB3"/>
    <w:rsid w:val="00EC5617"/>
    <w:rsid w:val="00EC5E46"/>
    <w:rsid w:val="00EC7C9E"/>
    <w:rsid w:val="00ED230D"/>
    <w:rsid w:val="00ED2440"/>
    <w:rsid w:val="00EE1C0B"/>
    <w:rsid w:val="00EE482C"/>
    <w:rsid w:val="00EE58DB"/>
    <w:rsid w:val="00EE59D0"/>
    <w:rsid w:val="00EE6AD7"/>
    <w:rsid w:val="00EE7FF3"/>
    <w:rsid w:val="00EF0F92"/>
    <w:rsid w:val="00EF26BF"/>
    <w:rsid w:val="00EF4861"/>
    <w:rsid w:val="00EF50C7"/>
    <w:rsid w:val="00EF5E19"/>
    <w:rsid w:val="00EF5F5D"/>
    <w:rsid w:val="00EF779D"/>
    <w:rsid w:val="00EF7E82"/>
    <w:rsid w:val="00F00533"/>
    <w:rsid w:val="00F01970"/>
    <w:rsid w:val="00F01B91"/>
    <w:rsid w:val="00F06AF6"/>
    <w:rsid w:val="00F079A5"/>
    <w:rsid w:val="00F07F69"/>
    <w:rsid w:val="00F107F9"/>
    <w:rsid w:val="00F10CED"/>
    <w:rsid w:val="00F111E0"/>
    <w:rsid w:val="00F117D4"/>
    <w:rsid w:val="00F16475"/>
    <w:rsid w:val="00F22D55"/>
    <w:rsid w:val="00F24A9A"/>
    <w:rsid w:val="00F2592D"/>
    <w:rsid w:val="00F25C5F"/>
    <w:rsid w:val="00F3182D"/>
    <w:rsid w:val="00F33944"/>
    <w:rsid w:val="00F34EF2"/>
    <w:rsid w:val="00F3580F"/>
    <w:rsid w:val="00F373A5"/>
    <w:rsid w:val="00F4035E"/>
    <w:rsid w:val="00F406BB"/>
    <w:rsid w:val="00F44AD0"/>
    <w:rsid w:val="00F45FAB"/>
    <w:rsid w:val="00F47BC7"/>
    <w:rsid w:val="00F50379"/>
    <w:rsid w:val="00F5205A"/>
    <w:rsid w:val="00F55102"/>
    <w:rsid w:val="00F55291"/>
    <w:rsid w:val="00F57115"/>
    <w:rsid w:val="00F6298B"/>
    <w:rsid w:val="00F63B02"/>
    <w:rsid w:val="00F65350"/>
    <w:rsid w:val="00F65C21"/>
    <w:rsid w:val="00F66517"/>
    <w:rsid w:val="00F700A6"/>
    <w:rsid w:val="00F760D1"/>
    <w:rsid w:val="00F761F7"/>
    <w:rsid w:val="00F8007E"/>
    <w:rsid w:val="00F8151A"/>
    <w:rsid w:val="00F81BEC"/>
    <w:rsid w:val="00F83788"/>
    <w:rsid w:val="00F84D69"/>
    <w:rsid w:val="00F85054"/>
    <w:rsid w:val="00F87AEF"/>
    <w:rsid w:val="00F87C14"/>
    <w:rsid w:val="00F94F61"/>
    <w:rsid w:val="00FA17B4"/>
    <w:rsid w:val="00FA17BA"/>
    <w:rsid w:val="00FA3581"/>
    <w:rsid w:val="00FA6136"/>
    <w:rsid w:val="00FB10B8"/>
    <w:rsid w:val="00FB24BA"/>
    <w:rsid w:val="00FB28C8"/>
    <w:rsid w:val="00FB381D"/>
    <w:rsid w:val="00FB4700"/>
    <w:rsid w:val="00FB6172"/>
    <w:rsid w:val="00FB6492"/>
    <w:rsid w:val="00FC007D"/>
    <w:rsid w:val="00FC131A"/>
    <w:rsid w:val="00FC17D2"/>
    <w:rsid w:val="00FC224A"/>
    <w:rsid w:val="00FC43D6"/>
    <w:rsid w:val="00FC5740"/>
    <w:rsid w:val="00FC784C"/>
    <w:rsid w:val="00FD2208"/>
    <w:rsid w:val="00FD2EC4"/>
    <w:rsid w:val="00FD3ADC"/>
    <w:rsid w:val="00FD5C09"/>
    <w:rsid w:val="00FD63D3"/>
    <w:rsid w:val="00FD717D"/>
    <w:rsid w:val="00FD77F2"/>
    <w:rsid w:val="00FE44CF"/>
    <w:rsid w:val="00FF1239"/>
    <w:rsid w:val="00FF1AC1"/>
    <w:rsid w:val="00FF30A3"/>
    <w:rsid w:val="00FF5B16"/>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CA68F3"/>
    <w:rsid w:val="06F06056"/>
    <w:rsid w:val="07021FF9"/>
    <w:rsid w:val="071C7BC7"/>
    <w:rsid w:val="075A67A2"/>
    <w:rsid w:val="07841FFA"/>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20609F7"/>
    <w:rsid w:val="239D5FD7"/>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1C1EED"/>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1F22B8"/>
    <w:rsid w:val="3728049C"/>
    <w:rsid w:val="37CD3E9A"/>
    <w:rsid w:val="37D03480"/>
    <w:rsid w:val="37D87189"/>
    <w:rsid w:val="37E83A4A"/>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CE12FD7"/>
    <w:rsid w:val="3DA13722"/>
    <w:rsid w:val="3E2A5A13"/>
    <w:rsid w:val="3E6A5C1B"/>
    <w:rsid w:val="3E951BD3"/>
    <w:rsid w:val="3E9D70B5"/>
    <w:rsid w:val="3EB91E59"/>
    <w:rsid w:val="3FA23A80"/>
    <w:rsid w:val="3FB75DF9"/>
    <w:rsid w:val="4081713C"/>
    <w:rsid w:val="418368ED"/>
    <w:rsid w:val="425C64FC"/>
    <w:rsid w:val="4278675D"/>
    <w:rsid w:val="431F105C"/>
    <w:rsid w:val="43685675"/>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682323"/>
    <w:rsid w:val="4DBE15DE"/>
    <w:rsid w:val="4DFF45BC"/>
    <w:rsid w:val="4E61428A"/>
    <w:rsid w:val="4E7B705D"/>
    <w:rsid w:val="4ECB455C"/>
    <w:rsid w:val="4EF16D21"/>
    <w:rsid w:val="4F4E6BEF"/>
    <w:rsid w:val="4F6745C5"/>
    <w:rsid w:val="4F751E54"/>
    <w:rsid w:val="4FA9510C"/>
    <w:rsid w:val="50891C17"/>
    <w:rsid w:val="520E7D39"/>
    <w:rsid w:val="527310FD"/>
    <w:rsid w:val="52A50412"/>
    <w:rsid w:val="52C145B3"/>
    <w:rsid w:val="532C19FA"/>
    <w:rsid w:val="536C046F"/>
    <w:rsid w:val="53777260"/>
    <w:rsid w:val="53BD324D"/>
    <w:rsid w:val="53DA3FDB"/>
    <w:rsid w:val="546551FE"/>
    <w:rsid w:val="54B52F23"/>
    <w:rsid w:val="559025B5"/>
    <w:rsid w:val="55BE6F35"/>
    <w:rsid w:val="56376618"/>
    <w:rsid w:val="56AB5747"/>
    <w:rsid w:val="57466A30"/>
    <w:rsid w:val="57C27C03"/>
    <w:rsid w:val="57E7750E"/>
    <w:rsid w:val="582C3304"/>
    <w:rsid w:val="583E683E"/>
    <w:rsid w:val="584263FC"/>
    <w:rsid w:val="58AA248A"/>
    <w:rsid w:val="592757C1"/>
    <w:rsid w:val="5A097D45"/>
    <w:rsid w:val="5A232744"/>
    <w:rsid w:val="5A3141FA"/>
    <w:rsid w:val="5A8E433F"/>
    <w:rsid w:val="5ACC5639"/>
    <w:rsid w:val="5AFE0937"/>
    <w:rsid w:val="5B022AFF"/>
    <w:rsid w:val="5B1C238B"/>
    <w:rsid w:val="5BB72396"/>
    <w:rsid w:val="5BDA2541"/>
    <w:rsid w:val="5C8E70AE"/>
    <w:rsid w:val="5C9700DF"/>
    <w:rsid w:val="5CFF5AEE"/>
    <w:rsid w:val="5D5260D6"/>
    <w:rsid w:val="5D9A13E6"/>
    <w:rsid w:val="5E4106DA"/>
    <w:rsid w:val="5E4B362D"/>
    <w:rsid w:val="5E4B3828"/>
    <w:rsid w:val="5EC32979"/>
    <w:rsid w:val="5EFC5263"/>
    <w:rsid w:val="5F2B51D9"/>
    <w:rsid w:val="5F37440C"/>
    <w:rsid w:val="60066955"/>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13FC3"/>
    <w:rsid w:val="6C867767"/>
    <w:rsid w:val="6CA34648"/>
    <w:rsid w:val="6CAF0E55"/>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AB24DD7"/>
    <w:rsid w:val="7B1F1C18"/>
    <w:rsid w:val="7B387938"/>
    <w:rsid w:val="7C341C52"/>
    <w:rsid w:val="7D033238"/>
    <w:rsid w:val="7D2F6ABF"/>
    <w:rsid w:val="7D50024E"/>
    <w:rsid w:val="7D637EF4"/>
    <w:rsid w:val="7E341B98"/>
    <w:rsid w:val="7E51328E"/>
    <w:rsid w:val="7F14576E"/>
    <w:rsid w:val="7F6F000F"/>
    <w:rsid w:val="7FB735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36"/>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Arial"/>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0"/>
      <w:u w:color="000000"/>
    </w:rPr>
  </w:style>
  <w:style w:type="paragraph" w:styleId="5">
    <w:name w:val="heading 4"/>
    <w:basedOn w:val="1"/>
    <w:next w:val="1"/>
    <w:link w:val="34"/>
    <w:qFormat/>
    <w:uiPriority w:val="99"/>
    <w:pPr>
      <w:keepNext/>
      <w:keepLines/>
      <w:widowControl w:val="0"/>
      <w:adjustRightInd/>
      <w:snapToGrid/>
      <w:spacing w:before="280" w:after="290" w:line="376" w:lineRule="auto"/>
      <w:jc w:val="both"/>
      <w:outlineLvl w:val="3"/>
    </w:pPr>
    <w:rPr>
      <w:rFonts w:ascii="Cambria" w:hAnsi="Cambria" w:eastAsia="宋体" w:cs="Cambria"/>
      <w:b/>
      <w:bCs/>
      <w:kern w:val="2"/>
      <w:sz w:val="28"/>
      <w:szCs w:val="28"/>
    </w:rPr>
  </w:style>
  <w:style w:type="paragraph" w:styleId="6">
    <w:name w:val="heading 5"/>
    <w:basedOn w:val="1"/>
    <w:next w:val="1"/>
    <w:link w:val="35"/>
    <w:qFormat/>
    <w:uiPriority w:val="99"/>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qFormat/>
    <w:uiPriority w:val="99"/>
    <w:pPr>
      <w:keepNext/>
      <w:keepLines/>
      <w:widowControl w:val="0"/>
      <w:adjustRightInd/>
      <w:snapToGrid/>
      <w:spacing w:before="240" w:after="64" w:line="320" w:lineRule="auto"/>
      <w:jc w:val="both"/>
      <w:outlineLvl w:val="5"/>
    </w:pPr>
    <w:rPr>
      <w:rFonts w:ascii="Cambria" w:hAnsi="Cambria" w:eastAsia="宋体" w:cs="Cambria"/>
      <w:b/>
      <w:bCs/>
      <w:kern w:val="2"/>
      <w:sz w:val="24"/>
      <w:szCs w:val="24"/>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7"/>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1"/>
    </w:rPr>
  </w:style>
  <w:style w:type="paragraph" w:styleId="9">
    <w:name w:val="annotation text"/>
    <w:basedOn w:val="1"/>
    <w:link w:val="38"/>
    <w:semiHidden/>
    <w:qFormat/>
    <w:uiPriority w:val="99"/>
  </w:style>
  <w:style w:type="paragraph" w:styleId="10">
    <w:name w:val="Body Text"/>
    <w:basedOn w:val="1"/>
    <w:link w:val="39"/>
    <w:qFormat/>
    <w:uiPriority w:val="99"/>
    <w:pPr>
      <w:widowControl w:val="0"/>
      <w:adjustRightInd/>
      <w:snapToGrid/>
      <w:spacing w:after="120"/>
      <w:jc w:val="both"/>
    </w:pPr>
    <w:rPr>
      <w:rFonts w:ascii="Times New Roman" w:hAnsi="Times New Roman" w:eastAsia="宋体" w:cs="Times New Roman"/>
      <w:kern w:val="2"/>
      <w:sz w:val="21"/>
      <w:szCs w:val="21"/>
    </w:rPr>
  </w:style>
  <w:style w:type="paragraph" w:styleId="11">
    <w:name w:val="toc 3"/>
    <w:basedOn w:val="1"/>
    <w:next w:val="1"/>
    <w:semiHidden/>
    <w:qFormat/>
    <w:uiPriority w:val="99"/>
    <w:pPr>
      <w:widowControl w:val="0"/>
      <w:adjustRightInd/>
      <w:snapToGrid/>
      <w:spacing w:after="0"/>
      <w:ind w:left="840" w:leftChars="400"/>
      <w:jc w:val="both"/>
    </w:pPr>
    <w:rPr>
      <w:rFonts w:ascii="Times New Roman" w:hAnsi="Times New Roman" w:eastAsia="宋体" w:cs="Times New Roman"/>
      <w:kern w:val="2"/>
      <w:sz w:val="28"/>
      <w:szCs w:val="28"/>
    </w:rPr>
  </w:style>
  <w:style w:type="paragraph" w:styleId="12">
    <w:name w:val="Plain Text"/>
    <w:basedOn w:val="1"/>
    <w:link w:val="40"/>
    <w:qFormat/>
    <w:uiPriority w:val="99"/>
    <w:pPr>
      <w:adjustRightInd/>
      <w:snapToGrid/>
      <w:spacing w:after="0" w:line="351" w:lineRule="atLeast"/>
      <w:ind w:firstLine="419"/>
      <w:jc w:val="both"/>
      <w:textAlignment w:val="baseline"/>
    </w:pPr>
    <w:rPr>
      <w:rFonts w:ascii="宋体" w:hAnsi="Times New Roman" w:eastAsia="宋体" w:cs="宋体"/>
      <w:color w:val="000000"/>
      <w:sz w:val="21"/>
      <w:szCs w:val="21"/>
      <w:u w:color="000000"/>
    </w:rPr>
  </w:style>
  <w:style w:type="paragraph" w:styleId="13">
    <w:name w:val="Balloon Text"/>
    <w:basedOn w:val="1"/>
    <w:link w:val="41"/>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42"/>
    <w:qFormat/>
    <w:uiPriority w:val="99"/>
    <w:pPr>
      <w:tabs>
        <w:tab w:val="center" w:pos="4153"/>
        <w:tab w:val="right" w:pos="8306"/>
      </w:tabs>
    </w:pPr>
    <w:rPr>
      <w:sz w:val="18"/>
      <w:szCs w:val="18"/>
    </w:rPr>
  </w:style>
  <w:style w:type="paragraph" w:styleId="15">
    <w:name w:val="header"/>
    <w:basedOn w:val="1"/>
    <w:link w:val="43"/>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semiHidden/>
    <w:qFormat/>
    <w:uiPriority w:val="9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4"/>
    <w:semiHidden/>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semiHidden/>
    <w:qFormat/>
    <w:uiPriority w:val="99"/>
    <w:pPr>
      <w:widowControl w:val="0"/>
      <w:adjustRightInd/>
      <w:snapToGrid/>
      <w:spacing w:after="0"/>
      <w:ind w:left="420" w:leftChars="200"/>
      <w:jc w:val="both"/>
    </w:pPr>
    <w:rPr>
      <w:rFonts w:ascii="Times New Roman" w:hAnsi="Times New Roman" w:eastAsia="宋体" w:cs="Times New Roman"/>
      <w:kern w:val="2"/>
      <w:sz w:val="30"/>
      <w:szCs w:val="30"/>
    </w:rPr>
  </w:style>
  <w:style w:type="paragraph" w:styleId="19">
    <w:name w:val="HTML Preformatted"/>
    <w:basedOn w:val="1"/>
    <w:link w:val="4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46"/>
    <w:qFormat/>
    <w:uiPriority w:val="99"/>
    <w:pPr>
      <w:widowControl w:val="0"/>
      <w:adjustRightInd/>
      <w:snapToGrid/>
      <w:spacing w:before="240" w:after="60"/>
      <w:jc w:val="center"/>
      <w:outlineLvl w:val="0"/>
    </w:pPr>
    <w:rPr>
      <w:rFonts w:ascii="Cambria" w:hAnsi="Cambria" w:eastAsia="宋体" w:cs="Cambria"/>
      <w:b/>
      <w:bCs/>
      <w:kern w:val="2"/>
      <w:sz w:val="32"/>
      <w:szCs w:val="32"/>
    </w:rPr>
  </w:style>
  <w:style w:type="paragraph" w:styleId="22">
    <w:name w:val="annotation subject"/>
    <w:basedOn w:val="9"/>
    <w:next w:val="9"/>
    <w:link w:val="47"/>
    <w:semiHidden/>
    <w:qFormat/>
    <w:uiPriority w:val="99"/>
    <w:pPr>
      <w:widowControl w:val="0"/>
      <w:adjustRightInd/>
      <w:snapToGrid/>
      <w:spacing w:after="0"/>
    </w:pPr>
    <w:rPr>
      <w:rFonts w:ascii="Times New Roman" w:hAnsi="Times New Roman" w:eastAsia="宋体" w:cs="Times New Roman"/>
      <w:b/>
      <w:bCs/>
      <w:kern w:val="2"/>
      <w:sz w:val="21"/>
      <w:szCs w:val="21"/>
    </w:rPr>
  </w:style>
  <w:style w:type="character" w:styleId="25">
    <w:name w:val="page number"/>
    <w:basedOn w:val="24"/>
    <w:qFormat/>
    <w:uiPriority w:val="99"/>
  </w:style>
  <w:style w:type="character" w:styleId="26">
    <w:name w:val="FollowedHyperlink"/>
    <w:qFormat/>
    <w:uiPriority w:val="99"/>
    <w:rPr>
      <w:color w:val="800080"/>
      <w:u w:val="single"/>
    </w:rPr>
  </w:style>
  <w:style w:type="character" w:styleId="27">
    <w:name w:val="Emphasis"/>
    <w:qFormat/>
    <w:uiPriority w:val="99"/>
    <w:rPr>
      <w:color w:val="auto"/>
    </w:rPr>
  </w:style>
  <w:style w:type="character" w:styleId="28">
    <w:name w:val="Hyperlink"/>
    <w:qFormat/>
    <w:uiPriority w:val="99"/>
    <w:rPr>
      <w:color w:val="0000FF"/>
      <w:u w:val="single"/>
    </w:rPr>
  </w:style>
  <w:style w:type="character" w:styleId="29">
    <w:name w:val="annotation reference"/>
    <w:semiHidden/>
    <w:qFormat/>
    <w:uiPriority w:val="99"/>
    <w:rPr>
      <w:sz w:val="21"/>
      <w:szCs w:val="21"/>
    </w:rPr>
  </w:style>
  <w:style w:type="character" w:styleId="30">
    <w:name w:val="footnote reference"/>
    <w:semiHidden/>
    <w:qFormat/>
    <w:uiPriority w:val="99"/>
    <w:rPr>
      <w:vertAlign w:val="superscript"/>
    </w:rPr>
  </w:style>
  <w:style w:type="character" w:customStyle="1" w:styleId="31">
    <w:name w:val="标题 1 字符"/>
    <w:link w:val="2"/>
    <w:qFormat/>
    <w:locked/>
    <w:uiPriority w:val="99"/>
    <w:rPr>
      <w:rFonts w:ascii="Times New Roman" w:hAnsi="Times New Roman" w:eastAsia="黑体" w:cs="Times New Roman"/>
      <w:b/>
      <w:bCs/>
      <w:color w:val="000000"/>
      <w:kern w:val="44"/>
      <w:sz w:val="44"/>
      <w:szCs w:val="44"/>
      <w:u w:color="000000"/>
    </w:rPr>
  </w:style>
  <w:style w:type="character" w:customStyle="1" w:styleId="32">
    <w:name w:val="标题 2 字符"/>
    <w:link w:val="3"/>
    <w:qFormat/>
    <w:locked/>
    <w:uiPriority w:val="99"/>
    <w:rPr>
      <w:rFonts w:ascii="Arial" w:hAnsi="Arial" w:eastAsia="黑体" w:cs="Arial"/>
      <w:b/>
      <w:bCs/>
      <w:kern w:val="2"/>
      <w:sz w:val="32"/>
      <w:szCs w:val="32"/>
    </w:rPr>
  </w:style>
  <w:style w:type="character" w:customStyle="1" w:styleId="33">
    <w:name w:val="标题 3 字符"/>
    <w:link w:val="4"/>
    <w:qFormat/>
    <w:locked/>
    <w:uiPriority w:val="99"/>
    <w:rPr>
      <w:rFonts w:ascii="Times New Roman" w:hAnsi="Times New Roman" w:eastAsia="仿宋_GB2312" w:cs="Times New Roman"/>
      <w:b/>
      <w:bCs/>
      <w:sz w:val="32"/>
      <w:szCs w:val="32"/>
      <w:u w:color="000000"/>
    </w:rPr>
  </w:style>
  <w:style w:type="character" w:customStyle="1" w:styleId="34">
    <w:name w:val="标题 4 字符"/>
    <w:link w:val="5"/>
    <w:qFormat/>
    <w:locked/>
    <w:uiPriority w:val="99"/>
    <w:rPr>
      <w:rFonts w:ascii="Cambria" w:hAnsi="Cambria" w:eastAsia="宋体" w:cs="Cambria"/>
      <w:b/>
      <w:bCs/>
      <w:kern w:val="2"/>
      <w:sz w:val="28"/>
      <w:szCs w:val="28"/>
    </w:rPr>
  </w:style>
  <w:style w:type="character" w:customStyle="1" w:styleId="35">
    <w:name w:val="标题 5 字符"/>
    <w:link w:val="6"/>
    <w:qFormat/>
    <w:locked/>
    <w:uiPriority w:val="99"/>
    <w:rPr>
      <w:rFonts w:ascii="Times New Roman" w:hAnsi="Times New Roman" w:eastAsia="宋体" w:cs="Times New Roman"/>
      <w:b/>
      <w:bCs/>
      <w:kern w:val="2"/>
      <w:sz w:val="28"/>
      <w:szCs w:val="28"/>
    </w:rPr>
  </w:style>
  <w:style w:type="character" w:customStyle="1" w:styleId="36">
    <w:name w:val="标题 6 字符"/>
    <w:link w:val="7"/>
    <w:qFormat/>
    <w:locked/>
    <w:uiPriority w:val="99"/>
    <w:rPr>
      <w:rFonts w:ascii="Cambria" w:hAnsi="Cambria" w:eastAsia="宋体" w:cs="Cambria"/>
      <w:b/>
      <w:bCs/>
      <w:kern w:val="2"/>
      <w:sz w:val="24"/>
      <w:szCs w:val="24"/>
    </w:rPr>
  </w:style>
  <w:style w:type="character" w:customStyle="1" w:styleId="37">
    <w:name w:val="文档结构图 字符"/>
    <w:link w:val="8"/>
    <w:semiHidden/>
    <w:qFormat/>
    <w:locked/>
    <w:uiPriority w:val="99"/>
    <w:rPr>
      <w:rFonts w:ascii="Times New Roman" w:hAnsi="Times New Roman" w:eastAsia="宋体" w:cs="Times New Roman"/>
      <w:kern w:val="2"/>
      <w:sz w:val="24"/>
      <w:szCs w:val="24"/>
      <w:shd w:val="clear" w:color="auto" w:fill="000080"/>
    </w:rPr>
  </w:style>
  <w:style w:type="character" w:customStyle="1" w:styleId="38">
    <w:name w:val="批注文字 字符"/>
    <w:link w:val="9"/>
    <w:qFormat/>
    <w:locked/>
    <w:uiPriority w:val="99"/>
    <w:rPr>
      <w:rFonts w:ascii="Tahoma" w:hAnsi="Tahoma" w:cs="Tahoma"/>
    </w:rPr>
  </w:style>
  <w:style w:type="character" w:customStyle="1" w:styleId="39">
    <w:name w:val="正文文本 字符"/>
    <w:link w:val="10"/>
    <w:qFormat/>
    <w:locked/>
    <w:uiPriority w:val="99"/>
    <w:rPr>
      <w:rFonts w:ascii="Times New Roman" w:hAnsi="Times New Roman" w:eastAsia="宋体" w:cs="Times New Roman"/>
      <w:kern w:val="2"/>
      <w:sz w:val="24"/>
      <w:szCs w:val="24"/>
    </w:rPr>
  </w:style>
  <w:style w:type="character" w:customStyle="1" w:styleId="40">
    <w:name w:val="纯文本 字符"/>
    <w:link w:val="12"/>
    <w:qFormat/>
    <w:locked/>
    <w:uiPriority w:val="99"/>
    <w:rPr>
      <w:rFonts w:ascii="宋体" w:hAnsi="Times New Roman" w:eastAsia="宋体" w:cs="宋体"/>
      <w:color w:val="000000"/>
      <w:sz w:val="20"/>
      <w:szCs w:val="20"/>
      <w:u w:color="000000"/>
    </w:rPr>
  </w:style>
  <w:style w:type="character" w:customStyle="1" w:styleId="41">
    <w:name w:val="批注框文本 字符"/>
    <w:link w:val="13"/>
    <w:qFormat/>
    <w:locked/>
    <w:uiPriority w:val="99"/>
    <w:rPr>
      <w:rFonts w:ascii="Times New Roman" w:hAnsi="Times New Roman" w:eastAsia="宋体" w:cs="Times New Roman"/>
      <w:kern w:val="2"/>
      <w:sz w:val="18"/>
      <w:szCs w:val="18"/>
    </w:rPr>
  </w:style>
  <w:style w:type="character" w:customStyle="1" w:styleId="42">
    <w:name w:val="页脚 字符"/>
    <w:link w:val="14"/>
    <w:qFormat/>
    <w:locked/>
    <w:uiPriority w:val="99"/>
    <w:rPr>
      <w:rFonts w:ascii="Tahoma" w:hAnsi="Tahoma" w:cs="Tahoma"/>
      <w:sz w:val="18"/>
      <w:szCs w:val="18"/>
    </w:rPr>
  </w:style>
  <w:style w:type="character" w:customStyle="1" w:styleId="43">
    <w:name w:val="页眉 字符"/>
    <w:link w:val="15"/>
    <w:qFormat/>
    <w:locked/>
    <w:uiPriority w:val="99"/>
    <w:rPr>
      <w:rFonts w:ascii="Tahoma" w:hAnsi="Tahoma" w:cs="Tahoma"/>
      <w:sz w:val="18"/>
      <w:szCs w:val="18"/>
    </w:rPr>
  </w:style>
  <w:style w:type="character" w:customStyle="1" w:styleId="44">
    <w:name w:val="脚注文本 字符"/>
    <w:link w:val="17"/>
    <w:qFormat/>
    <w:locked/>
    <w:uiPriority w:val="99"/>
    <w:rPr>
      <w:rFonts w:ascii="Times New Roman" w:hAnsi="Times New Roman" w:eastAsia="宋体" w:cs="Times New Roman"/>
      <w:kern w:val="2"/>
      <w:sz w:val="18"/>
      <w:szCs w:val="18"/>
    </w:rPr>
  </w:style>
  <w:style w:type="character" w:customStyle="1" w:styleId="45">
    <w:name w:val="HTML 预设格式 字符"/>
    <w:link w:val="19"/>
    <w:qFormat/>
    <w:locked/>
    <w:uiPriority w:val="99"/>
    <w:rPr>
      <w:rFonts w:ascii="宋体" w:hAnsi="宋体" w:eastAsia="宋体" w:cs="宋体"/>
      <w:sz w:val="24"/>
      <w:szCs w:val="24"/>
    </w:rPr>
  </w:style>
  <w:style w:type="character" w:customStyle="1" w:styleId="46">
    <w:name w:val="标题 字符"/>
    <w:link w:val="21"/>
    <w:qFormat/>
    <w:locked/>
    <w:uiPriority w:val="99"/>
    <w:rPr>
      <w:rFonts w:ascii="Cambria" w:hAnsi="Cambria" w:eastAsia="宋体" w:cs="Cambria"/>
      <w:b/>
      <w:bCs/>
      <w:kern w:val="2"/>
      <w:sz w:val="32"/>
      <w:szCs w:val="32"/>
    </w:rPr>
  </w:style>
  <w:style w:type="character" w:customStyle="1" w:styleId="47">
    <w:name w:val="批注主题 字符"/>
    <w:link w:val="22"/>
    <w:qFormat/>
    <w:locked/>
    <w:uiPriority w:val="99"/>
    <w:rPr>
      <w:rFonts w:ascii="Times New Roman" w:hAnsi="Times New Roman" w:eastAsia="宋体" w:cs="Times New Roman"/>
      <w:b/>
      <w:bCs/>
      <w:kern w:val="2"/>
      <w:sz w:val="24"/>
      <w:szCs w:val="24"/>
    </w:rPr>
  </w:style>
  <w:style w:type="paragraph" w:customStyle="1" w:styleId="48">
    <w:name w:val="标题1"/>
    <w:basedOn w:val="1"/>
    <w:qFormat/>
    <w:uiPriority w:val="99"/>
    <w:pPr>
      <w:widowControl w:val="0"/>
      <w:adjustRightInd/>
      <w:snapToGrid/>
      <w:spacing w:after="0"/>
      <w:ind w:firstLine="640" w:firstLineChars="200"/>
      <w:jc w:val="center"/>
    </w:pPr>
    <w:rPr>
      <w:rFonts w:ascii="Times New Roman" w:hAnsi="Times New Roman" w:eastAsia="黑体" w:cs="Times New Roman"/>
      <w:kern w:val="2"/>
      <w:sz w:val="32"/>
      <w:szCs w:val="32"/>
    </w:rPr>
  </w:style>
  <w:style w:type="paragraph" w:styleId="49">
    <w:name w:val="List Paragraph"/>
    <w:basedOn w:val="1"/>
    <w:qFormat/>
    <w:uiPriority w:val="99"/>
    <w:pPr>
      <w:ind w:firstLine="420" w:firstLineChars="200"/>
    </w:pPr>
  </w:style>
  <w:style w:type="paragraph" w:customStyle="1" w:styleId="50">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1">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2">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3">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4">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5">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6">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7">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8">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9">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0">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1"/>
    </w:rPr>
  </w:style>
  <w:style w:type="paragraph" w:customStyle="1" w:styleId="61">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2">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5">
    <w:name w:val="样式 标题 2 + 行距: 固定值 30 磅"/>
    <w:basedOn w:val="3"/>
    <w:qFormat/>
    <w:uiPriority w:val="99"/>
    <w:pPr>
      <w:widowControl/>
      <w:spacing w:line="600" w:lineRule="exact"/>
      <w:jc w:val="left"/>
      <w:textAlignment w:val="baseline"/>
    </w:pPr>
    <w:rPr>
      <w:rFonts w:eastAsia="楷体_GB2312"/>
      <w:color w:val="000000"/>
      <w:kern w:val="0"/>
      <w:u w:color="000000"/>
    </w:rPr>
  </w:style>
  <w:style w:type="paragraph" w:customStyle="1" w:styleId="66">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67">
    <w:name w:val="Char Char"/>
    <w:basedOn w:val="1"/>
    <w:qFormat/>
    <w:uiPriority w:val="99"/>
    <w:pPr>
      <w:widowControl w:val="0"/>
      <w:adjustRightInd/>
      <w:snapToGrid/>
      <w:spacing w:after="0"/>
      <w:jc w:val="both"/>
    </w:pPr>
    <w:rPr>
      <w:rFonts w:ascii="Times New Roman" w:hAnsi="Times New Roman" w:eastAsia="宋体" w:cs="Times New Roman"/>
      <w:kern w:val="2"/>
      <w:sz w:val="21"/>
      <w:szCs w:val="21"/>
    </w:rPr>
  </w:style>
  <w:style w:type="paragraph" w:customStyle="1" w:styleId="68">
    <w:name w:val="Char"/>
    <w:basedOn w:val="1"/>
    <w:qFormat/>
    <w:uiPriority w:val="99"/>
    <w:pPr>
      <w:adjustRightInd/>
      <w:snapToGrid/>
      <w:spacing w:after="160" w:line="240" w:lineRule="exact"/>
    </w:pPr>
    <w:rPr>
      <w:rFonts w:ascii="Calibri" w:hAnsi="Calibri" w:eastAsia="宋体" w:cs="Calibri"/>
      <w:kern w:val="2"/>
      <w:sz w:val="21"/>
      <w:szCs w:val="21"/>
    </w:rPr>
  </w:style>
  <w:style w:type="paragraph" w:customStyle="1" w:styleId="69">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0">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1"/>
      <w:lang w:eastAsia="en-US"/>
    </w:rPr>
  </w:style>
  <w:style w:type="paragraph" w:customStyle="1" w:styleId="71">
    <w:name w:val="TOC 标题1"/>
    <w:basedOn w:val="2"/>
    <w:next w:val="1"/>
    <w:qFormat/>
    <w:uiPriority w:val="99"/>
    <w:pPr>
      <w:spacing w:before="480" w:after="0" w:line="276" w:lineRule="auto"/>
      <w:jc w:val="left"/>
      <w:textAlignment w:val="auto"/>
      <w:outlineLvl w:val="9"/>
    </w:pPr>
    <w:rPr>
      <w:rFonts w:ascii="Cambria" w:hAnsi="Cambria" w:eastAsia="宋体" w:cs="Cambria"/>
      <w:color w:val="365F91"/>
      <w:kern w:val="0"/>
      <w:sz w:val="28"/>
      <w:szCs w:val="28"/>
    </w:rPr>
  </w:style>
  <w:style w:type="character" w:customStyle="1" w:styleId="72">
    <w:name w:val="font01"/>
    <w:qFormat/>
    <w:uiPriority w:val="99"/>
    <w:rPr>
      <w:rFonts w:ascii="宋体" w:hAnsi="宋体" w:eastAsia="宋体" w:cs="宋体"/>
      <w:b/>
      <w:bCs/>
      <w:color w:val="000000"/>
      <w:sz w:val="32"/>
      <w:szCs w:val="32"/>
      <w:u w:val="none"/>
    </w:rPr>
  </w:style>
  <w:style w:type="character" w:customStyle="1" w:styleId="73">
    <w:name w:val="font21"/>
    <w:qFormat/>
    <w:uiPriority w:val="99"/>
    <w:rPr>
      <w:rFonts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88CD8-4774-47D1-AB0C-6A346B885C2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2036</Words>
  <Characters>11606</Characters>
  <Lines>96</Lines>
  <Paragraphs>27</Paragraphs>
  <TotalTime>5</TotalTime>
  <ScaleCrop>false</ScaleCrop>
  <LinksUpToDate>false</LinksUpToDate>
  <CharactersWithSpaces>13615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2023-08-17T03:57:00Z</dcterms:created>
  <dc:creator>Administrator</dc:creator>
  <cp:lastModifiedBy>user</cp:lastModifiedBy>
  <cp:lastPrinted>2023-08-17T09:15:00Z</cp:lastPrinted>
  <dcterms:modified xsi:type="dcterms:W3CDTF">2024-11-22T09:18:08Z</dcterms:modified>
  <dc:title>附件3：</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FA52F43C4A0C4D48861A513EFF47E2E6</vt:lpwstr>
  </property>
</Properties>
</file>