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36"/>
          <w:szCs w:val="36"/>
        </w:rPr>
      </w:pPr>
      <w:bookmarkStart w:id="18" w:name="_GoBack"/>
      <w:r>
        <w:rPr>
          <w:rFonts w:hint="eastAsia" w:ascii="方正小标宋简体" w:hAnsi="方正小标宋简体" w:eastAsia="方正小标宋简体" w:cs="方正小标宋简体"/>
          <w:b/>
          <w:color w:val="000000"/>
          <w:sz w:val="36"/>
          <w:szCs w:val="36"/>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default"/>
          <w:lang w:val="en-US"/>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eastAsia"/>
          <w:lang w:val="en-US" w:eastAsia="zh-CN"/>
        </w:rPr>
        <w:t>7</w:t>
      </w:r>
    </w:p>
    <w:p>
      <w:pPr>
        <w:pStyle w:val="32"/>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rPr>
          <w:rFonts w:hint="eastAsia"/>
          <w:lang w:val="en-US" w:eastAsia="zh-CN"/>
        </w:rPr>
        <w:t>19</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2</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eastAsia"/>
          <w:lang w:val="en-US"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eastAsia"/>
          <w:lang w:val="en-US" w:eastAsia="zh-CN"/>
        </w:rPr>
        <w:t>7</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default"/>
          <w:lang w:val="en-US"/>
        </w:rPr>
        <w:t>5</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default"/>
          <w:lang w:val="en-US"/>
        </w:rPr>
        <w:t>5</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default"/>
          <w:lang w:val="en-US"/>
        </w:rPr>
        <w:t>5</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default"/>
          <w:lang w:val="en-US"/>
        </w:rPr>
        <w:t>5</w:t>
      </w:r>
      <w:r>
        <w:fldChar w:fldCharType="end"/>
      </w:r>
      <w:r>
        <w:rPr>
          <w:rFonts w:hint="eastAsia"/>
          <w:lang w:val="en-US" w:eastAsia="zh-CN"/>
        </w:rPr>
        <w:t>6</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1"/>
        <w:rPr>
          <w:color w:val="auto"/>
        </w:rPr>
      </w:pPr>
      <w:bookmarkStart w:id="0" w:name="_Toc_2_2_0000000001"/>
      <w:r>
        <w:rPr>
          <w:rFonts w:ascii="方正小标宋_GBK" w:hAnsi="方正小标宋_GBK" w:eastAsia="方正小标宋_GBK" w:cs="方正小标宋_GBK"/>
          <w:color w:val="auto"/>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1074.58</w:t>
            </w:r>
          </w:p>
        </w:tc>
        <w:tc>
          <w:tcPr>
            <w:tcW w:w="4535" w:type="dxa"/>
            <w:vAlign w:val="center"/>
          </w:tcPr>
          <w:p>
            <w:pPr>
              <w:pStyle w:val="12"/>
            </w:pPr>
            <w:r>
              <w:t>一、一般公共服务支出</w:t>
            </w:r>
          </w:p>
        </w:tc>
        <w:tc>
          <w:tcPr>
            <w:tcW w:w="2126" w:type="dxa"/>
            <w:vAlign w:val="center"/>
          </w:tcPr>
          <w:p>
            <w:pPr>
              <w:pStyle w:val="11"/>
            </w:pPr>
            <w:r>
              <w:t>720.42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13.40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r>
              <w:t>0.10</w:t>
            </w: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1088.08</w:t>
            </w:r>
          </w:p>
        </w:tc>
        <w:tc>
          <w:tcPr>
            <w:tcW w:w="4535" w:type="dxa"/>
            <w:vAlign w:val="center"/>
          </w:tcPr>
          <w:p>
            <w:pPr>
              <w:pStyle w:val="14"/>
            </w:pPr>
            <w:r>
              <w:t>本年支出合计</w:t>
            </w:r>
          </w:p>
        </w:tc>
        <w:tc>
          <w:tcPr>
            <w:tcW w:w="2126" w:type="dxa"/>
            <w:vAlign w:val="center"/>
          </w:tcPr>
          <w:p>
            <w:pPr>
              <w:pStyle w:val="15"/>
            </w:pPr>
            <w:r>
              <w:t>1088.08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1088.08</w:t>
            </w:r>
          </w:p>
        </w:tc>
        <w:tc>
          <w:tcPr>
            <w:tcW w:w="4535" w:type="dxa"/>
            <w:vAlign w:val="center"/>
          </w:tcPr>
          <w:p>
            <w:pPr>
              <w:pStyle w:val="14"/>
            </w:pPr>
            <w:r>
              <w:t>支出总计</w:t>
            </w:r>
          </w:p>
        </w:tc>
        <w:tc>
          <w:tcPr>
            <w:tcW w:w="2126" w:type="dxa"/>
            <w:vAlign w:val="center"/>
          </w:tcPr>
          <w:p>
            <w:pPr>
              <w:pStyle w:val="15"/>
            </w:pPr>
            <w:r>
              <w:t>1088.08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1088.08</w:t>
            </w:r>
          </w:p>
        </w:tc>
        <w:tc>
          <w:tcPr>
            <w:tcW w:w="1134" w:type="dxa"/>
            <w:vAlign w:val="center"/>
          </w:tcPr>
          <w:p>
            <w:pPr>
              <w:pStyle w:val="15"/>
            </w:pPr>
            <w:r>
              <w:t>1088.08</w:t>
            </w:r>
          </w:p>
        </w:tc>
        <w:tc>
          <w:tcPr>
            <w:tcW w:w="1134" w:type="dxa"/>
            <w:vAlign w:val="center"/>
          </w:tcPr>
          <w:p>
            <w:pPr>
              <w:pStyle w:val="15"/>
            </w:pPr>
            <w:r>
              <w:t>1087.98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0.10</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720.42</w:t>
            </w:r>
          </w:p>
        </w:tc>
        <w:tc>
          <w:tcPr>
            <w:tcW w:w="1134" w:type="dxa"/>
            <w:vAlign w:val="center"/>
          </w:tcPr>
          <w:p>
            <w:pPr>
              <w:pStyle w:val="11"/>
            </w:pPr>
            <w:r>
              <w:t>720.42</w:t>
            </w:r>
          </w:p>
        </w:tc>
        <w:tc>
          <w:tcPr>
            <w:tcW w:w="1134" w:type="dxa"/>
            <w:vAlign w:val="center"/>
          </w:tcPr>
          <w:p>
            <w:pPr>
              <w:pStyle w:val="11"/>
            </w:pPr>
            <w:r>
              <w:t>720.32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718.42</w:t>
            </w:r>
          </w:p>
        </w:tc>
        <w:tc>
          <w:tcPr>
            <w:tcW w:w="1134" w:type="dxa"/>
            <w:vAlign w:val="center"/>
          </w:tcPr>
          <w:p>
            <w:pPr>
              <w:pStyle w:val="11"/>
            </w:pPr>
            <w:r>
              <w:t>718.42</w:t>
            </w:r>
          </w:p>
        </w:tc>
        <w:tc>
          <w:tcPr>
            <w:tcW w:w="1134" w:type="dxa"/>
            <w:vAlign w:val="center"/>
          </w:tcPr>
          <w:p>
            <w:pPr>
              <w:pStyle w:val="11"/>
            </w:pPr>
            <w:r>
              <w:t>718.32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310.36</w:t>
            </w:r>
          </w:p>
        </w:tc>
        <w:tc>
          <w:tcPr>
            <w:tcW w:w="1134" w:type="dxa"/>
            <w:vAlign w:val="center"/>
          </w:tcPr>
          <w:p>
            <w:pPr>
              <w:pStyle w:val="11"/>
            </w:pPr>
            <w:r>
              <w:t>310.36</w:t>
            </w:r>
          </w:p>
        </w:tc>
        <w:tc>
          <w:tcPr>
            <w:tcW w:w="1134" w:type="dxa"/>
            <w:vAlign w:val="center"/>
          </w:tcPr>
          <w:p>
            <w:pPr>
              <w:pStyle w:val="11"/>
            </w:pPr>
            <w:r>
              <w:t>310.26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0.10</w:t>
            </w: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37.33</w:t>
            </w:r>
          </w:p>
        </w:tc>
        <w:tc>
          <w:tcPr>
            <w:tcW w:w="1134" w:type="dxa"/>
            <w:vAlign w:val="center"/>
          </w:tcPr>
          <w:p>
            <w:pPr>
              <w:pStyle w:val="11"/>
            </w:pPr>
            <w:r>
              <w:t>37.33</w:t>
            </w:r>
          </w:p>
        </w:tc>
        <w:tc>
          <w:tcPr>
            <w:tcW w:w="1134" w:type="dxa"/>
            <w:vAlign w:val="center"/>
          </w:tcPr>
          <w:p>
            <w:pPr>
              <w:pStyle w:val="11"/>
            </w:pPr>
            <w:r>
              <w:t>37.33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370.73</w:t>
            </w:r>
          </w:p>
        </w:tc>
        <w:tc>
          <w:tcPr>
            <w:tcW w:w="1134" w:type="dxa"/>
            <w:vAlign w:val="center"/>
          </w:tcPr>
          <w:p>
            <w:pPr>
              <w:pStyle w:val="11"/>
            </w:pPr>
            <w:r>
              <w:t>370.73</w:t>
            </w:r>
          </w:p>
        </w:tc>
        <w:tc>
          <w:tcPr>
            <w:tcW w:w="1134" w:type="dxa"/>
            <w:vAlign w:val="center"/>
          </w:tcPr>
          <w:p>
            <w:pPr>
              <w:pStyle w:val="11"/>
            </w:pPr>
            <w:r>
              <w:t>370.73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131.67</w:t>
            </w:r>
          </w:p>
        </w:tc>
        <w:tc>
          <w:tcPr>
            <w:tcW w:w="1134" w:type="dxa"/>
            <w:vAlign w:val="center"/>
          </w:tcPr>
          <w:p>
            <w:pPr>
              <w:pStyle w:val="11"/>
            </w:pPr>
            <w:r>
              <w:t>131.67</w:t>
            </w:r>
          </w:p>
        </w:tc>
        <w:tc>
          <w:tcPr>
            <w:tcW w:w="1134" w:type="dxa"/>
            <w:vAlign w:val="center"/>
          </w:tcPr>
          <w:p>
            <w:pPr>
              <w:pStyle w:val="11"/>
            </w:pPr>
            <w:r>
              <w:t>131.67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122.79</w:t>
            </w:r>
          </w:p>
        </w:tc>
        <w:tc>
          <w:tcPr>
            <w:tcW w:w="1134" w:type="dxa"/>
            <w:vAlign w:val="center"/>
          </w:tcPr>
          <w:p>
            <w:pPr>
              <w:pStyle w:val="11"/>
            </w:pPr>
            <w:r>
              <w:t>122.79</w:t>
            </w:r>
          </w:p>
        </w:tc>
        <w:tc>
          <w:tcPr>
            <w:tcW w:w="1134" w:type="dxa"/>
            <w:vAlign w:val="center"/>
          </w:tcPr>
          <w:p>
            <w:pPr>
              <w:pStyle w:val="11"/>
            </w:pPr>
            <w:r>
              <w:t>122.79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r>
              <w:t>14.54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18.83</w:t>
            </w:r>
          </w:p>
        </w:tc>
        <w:tc>
          <w:tcPr>
            <w:tcW w:w="1134" w:type="dxa"/>
            <w:vAlign w:val="center"/>
          </w:tcPr>
          <w:p>
            <w:pPr>
              <w:pStyle w:val="11"/>
            </w:pPr>
            <w:r>
              <w:t>18.83</w:t>
            </w:r>
          </w:p>
        </w:tc>
        <w:tc>
          <w:tcPr>
            <w:tcW w:w="1134" w:type="dxa"/>
            <w:vAlign w:val="center"/>
          </w:tcPr>
          <w:p>
            <w:pPr>
              <w:pStyle w:val="11"/>
            </w:pPr>
            <w:r>
              <w:t>18.83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68.62</w:t>
            </w:r>
          </w:p>
        </w:tc>
        <w:tc>
          <w:tcPr>
            <w:tcW w:w="1134" w:type="dxa"/>
            <w:vAlign w:val="center"/>
          </w:tcPr>
          <w:p>
            <w:pPr>
              <w:pStyle w:val="11"/>
            </w:pPr>
            <w:r>
              <w:t>68.62</w:t>
            </w:r>
          </w:p>
        </w:tc>
        <w:tc>
          <w:tcPr>
            <w:tcW w:w="1134" w:type="dxa"/>
            <w:vAlign w:val="center"/>
          </w:tcPr>
          <w:p>
            <w:pPr>
              <w:pStyle w:val="11"/>
            </w:pPr>
            <w:r>
              <w:t>68.62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r>
              <w:t>20.80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r>
              <w:t>8.88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r>
              <w:t>26.04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r>
              <w:t>13.40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r>
              <w:t>10.40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130.50</w:t>
            </w:r>
          </w:p>
        </w:tc>
        <w:tc>
          <w:tcPr>
            <w:tcW w:w="1134" w:type="dxa"/>
            <w:vAlign w:val="center"/>
          </w:tcPr>
          <w:p>
            <w:pPr>
              <w:pStyle w:val="11"/>
            </w:pPr>
            <w:r>
              <w:t>130.50</w:t>
            </w:r>
          </w:p>
        </w:tc>
        <w:tc>
          <w:tcPr>
            <w:tcW w:w="1134" w:type="dxa"/>
            <w:vAlign w:val="center"/>
          </w:tcPr>
          <w:p>
            <w:pPr>
              <w:pStyle w:val="11"/>
            </w:pPr>
            <w:r>
              <w:t>130.50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21305</w:t>
            </w:r>
          </w:p>
        </w:tc>
        <w:tc>
          <w:tcPr>
            <w:tcW w:w="1559" w:type="dxa"/>
            <w:vAlign w:val="center"/>
          </w:tcPr>
          <w:p>
            <w:pPr>
              <w:pStyle w:val="12"/>
            </w:pPr>
            <w:r>
              <w:rPr>
                <w:rFonts w:hint="eastAsia"/>
                <w:lang w:eastAsia="zh-CN"/>
              </w:rPr>
              <w:t>巩固拓展脱贫攻坚成果</w:t>
            </w:r>
            <w:r>
              <w:t>衔接乡村振兴</w:t>
            </w:r>
          </w:p>
        </w:tc>
        <w:tc>
          <w:tcPr>
            <w:tcW w:w="1134" w:type="dxa"/>
            <w:vAlign w:val="center"/>
          </w:tcPr>
          <w:p>
            <w:pPr>
              <w:pStyle w:val="11"/>
            </w:pPr>
            <w:r>
              <w:t>19.17</w:t>
            </w:r>
          </w:p>
        </w:tc>
        <w:tc>
          <w:tcPr>
            <w:tcW w:w="1134" w:type="dxa"/>
            <w:vAlign w:val="center"/>
          </w:tcPr>
          <w:p>
            <w:pPr>
              <w:pStyle w:val="11"/>
            </w:pPr>
            <w:r>
              <w:t>19.17</w:t>
            </w:r>
          </w:p>
        </w:tc>
        <w:tc>
          <w:tcPr>
            <w:tcW w:w="1134" w:type="dxa"/>
            <w:vAlign w:val="center"/>
          </w:tcPr>
          <w:p>
            <w:pPr>
              <w:pStyle w:val="11"/>
            </w:pPr>
            <w:r>
              <w:t>19.17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2130599</w:t>
            </w:r>
          </w:p>
        </w:tc>
        <w:tc>
          <w:tcPr>
            <w:tcW w:w="1559" w:type="dxa"/>
            <w:vAlign w:val="center"/>
          </w:tcPr>
          <w:p>
            <w:pPr>
              <w:pStyle w:val="12"/>
            </w:pPr>
            <w:r>
              <w:t>其他</w:t>
            </w:r>
            <w:r>
              <w:rPr>
                <w:rFonts w:hint="eastAsia"/>
                <w:lang w:eastAsia="zh-CN"/>
              </w:rPr>
              <w:t>巩固拓展脱贫攻坚成果</w:t>
            </w:r>
            <w:r>
              <w:t>衔接乡村振兴支出</w:t>
            </w:r>
          </w:p>
        </w:tc>
        <w:tc>
          <w:tcPr>
            <w:tcW w:w="1134" w:type="dxa"/>
            <w:vAlign w:val="center"/>
          </w:tcPr>
          <w:p>
            <w:pPr>
              <w:pStyle w:val="11"/>
            </w:pPr>
            <w:r>
              <w:t>19.17</w:t>
            </w:r>
          </w:p>
        </w:tc>
        <w:tc>
          <w:tcPr>
            <w:tcW w:w="1134" w:type="dxa"/>
            <w:vAlign w:val="center"/>
          </w:tcPr>
          <w:p>
            <w:pPr>
              <w:pStyle w:val="11"/>
            </w:pPr>
            <w:r>
              <w:t>19.17</w:t>
            </w:r>
          </w:p>
        </w:tc>
        <w:tc>
          <w:tcPr>
            <w:tcW w:w="1134" w:type="dxa"/>
            <w:vAlign w:val="center"/>
          </w:tcPr>
          <w:p>
            <w:pPr>
              <w:pStyle w:val="11"/>
            </w:pPr>
            <w:r>
              <w:t>19.17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r>
              <w:t>111.33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r>
              <w:t>56.88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1088.08</w:t>
            </w:r>
          </w:p>
        </w:tc>
        <w:tc>
          <w:tcPr>
            <w:tcW w:w="1361" w:type="dxa"/>
            <w:vAlign w:val="center"/>
          </w:tcPr>
          <w:p>
            <w:pPr>
              <w:pStyle w:val="15"/>
            </w:pPr>
            <w:r>
              <w:t>886.71</w:t>
            </w:r>
          </w:p>
        </w:tc>
        <w:tc>
          <w:tcPr>
            <w:tcW w:w="1361" w:type="dxa"/>
            <w:vAlign w:val="center"/>
          </w:tcPr>
          <w:p>
            <w:pPr>
              <w:pStyle w:val="15"/>
            </w:pPr>
            <w:r>
              <w:t>201.37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720.42</w:t>
            </w:r>
          </w:p>
        </w:tc>
        <w:tc>
          <w:tcPr>
            <w:tcW w:w="1361" w:type="dxa"/>
            <w:vAlign w:val="center"/>
          </w:tcPr>
          <w:p>
            <w:pPr>
              <w:pStyle w:val="11"/>
            </w:pPr>
            <w:r>
              <w:t>680.99</w:t>
            </w:r>
          </w:p>
        </w:tc>
        <w:tc>
          <w:tcPr>
            <w:tcW w:w="1361" w:type="dxa"/>
            <w:vAlign w:val="center"/>
          </w:tcPr>
          <w:p>
            <w:pPr>
              <w:pStyle w:val="11"/>
            </w:pPr>
            <w:r>
              <w:t>39.43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718.42</w:t>
            </w:r>
          </w:p>
        </w:tc>
        <w:tc>
          <w:tcPr>
            <w:tcW w:w="1361" w:type="dxa"/>
            <w:vAlign w:val="center"/>
          </w:tcPr>
          <w:p>
            <w:pPr>
              <w:pStyle w:val="11"/>
            </w:pPr>
            <w:r>
              <w:t>680.99</w:t>
            </w:r>
          </w:p>
        </w:tc>
        <w:tc>
          <w:tcPr>
            <w:tcW w:w="1361" w:type="dxa"/>
            <w:vAlign w:val="center"/>
          </w:tcPr>
          <w:p>
            <w:pPr>
              <w:pStyle w:val="11"/>
            </w:pPr>
            <w:r>
              <w:t>37.43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310.36</w:t>
            </w:r>
          </w:p>
        </w:tc>
        <w:tc>
          <w:tcPr>
            <w:tcW w:w="1361" w:type="dxa"/>
            <w:vAlign w:val="center"/>
          </w:tcPr>
          <w:p>
            <w:pPr>
              <w:pStyle w:val="11"/>
            </w:pPr>
            <w:r>
              <w:t>310.26</w:t>
            </w:r>
          </w:p>
        </w:tc>
        <w:tc>
          <w:tcPr>
            <w:tcW w:w="1361" w:type="dxa"/>
            <w:vAlign w:val="center"/>
          </w:tcPr>
          <w:p>
            <w:pPr>
              <w:pStyle w:val="11"/>
            </w:pPr>
            <w:r>
              <w:t>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37.33</w:t>
            </w:r>
          </w:p>
        </w:tc>
        <w:tc>
          <w:tcPr>
            <w:tcW w:w="1361" w:type="dxa"/>
            <w:vAlign w:val="center"/>
          </w:tcPr>
          <w:p>
            <w:pPr>
              <w:pStyle w:val="11"/>
            </w:pPr>
          </w:p>
        </w:tc>
        <w:tc>
          <w:tcPr>
            <w:tcW w:w="1361" w:type="dxa"/>
            <w:vAlign w:val="center"/>
          </w:tcPr>
          <w:p>
            <w:pPr>
              <w:pStyle w:val="11"/>
            </w:pPr>
            <w:r>
              <w:t>37.33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370.73</w:t>
            </w:r>
          </w:p>
        </w:tc>
        <w:tc>
          <w:tcPr>
            <w:tcW w:w="1361" w:type="dxa"/>
            <w:vAlign w:val="center"/>
          </w:tcPr>
          <w:p>
            <w:pPr>
              <w:pStyle w:val="11"/>
            </w:pPr>
            <w:r>
              <w:t>370.73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131.67</w:t>
            </w:r>
          </w:p>
        </w:tc>
        <w:tc>
          <w:tcPr>
            <w:tcW w:w="1361" w:type="dxa"/>
            <w:vAlign w:val="center"/>
          </w:tcPr>
          <w:p>
            <w:pPr>
              <w:pStyle w:val="11"/>
            </w:pPr>
            <w:r>
              <w:t>122.79</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122.79</w:t>
            </w:r>
          </w:p>
        </w:tc>
        <w:tc>
          <w:tcPr>
            <w:tcW w:w="1361" w:type="dxa"/>
            <w:vAlign w:val="center"/>
          </w:tcPr>
          <w:p>
            <w:pPr>
              <w:pStyle w:val="11"/>
            </w:pPr>
            <w:r>
              <w:t>122.79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14.54</w:t>
            </w:r>
          </w:p>
        </w:tc>
        <w:tc>
          <w:tcPr>
            <w:tcW w:w="1361" w:type="dxa"/>
            <w:vAlign w:val="center"/>
          </w:tcPr>
          <w:p>
            <w:pPr>
              <w:pStyle w:val="11"/>
            </w:pPr>
            <w:r>
              <w:t>14.54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18.83</w:t>
            </w:r>
          </w:p>
        </w:tc>
        <w:tc>
          <w:tcPr>
            <w:tcW w:w="1361" w:type="dxa"/>
            <w:vAlign w:val="center"/>
          </w:tcPr>
          <w:p>
            <w:pPr>
              <w:pStyle w:val="11"/>
            </w:pPr>
            <w:r>
              <w:t>18.83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68.62</w:t>
            </w:r>
          </w:p>
        </w:tc>
        <w:tc>
          <w:tcPr>
            <w:tcW w:w="1361" w:type="dxa"/>
            <w:vAlign w:val="center"/>
          </w:tcPr>
          <w:p>
            <w:pPr>
              <w:pStyle w:val="11"/>
            </w:pPr>
            <w:r>
              <w:t>68.62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20.80</w:t>
            </w:r>
          </w:p>
        </w:tc>
        <w:tc>
          <w:tcPr>
            <w:tcW w:w="1361" w:type="dxa"/>
            <w:vAlign w:val="center"/>
          </w:tcPr>
          <w:p>
            <w:pPr>
              <w:pStyle w:val="11"/>
            </w:pPr>
            <w:r>
              <w:t>20.80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r>
              <w:t>8.88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26.04</w:t>
            </w:r>
          </w:p>
        </w:tc>
        <w:tc>
          <w:tcPr>
            <w:tcW w:w="1361" w:type="dxa"/>
            <w:vAlign w:val="center"/>
          </w:tcPr>
          <w:p>
            <w:pPr>
              <w:pStyle w:val="11"/>
            </w:pPr>
            <w:r>
              <w:t>26.04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26.04</w:t>
            </w:r>
          </w:p>
        </w:tc>
        <w:tc>
          <w:tcPr>
            <w:tcW w:w="1361" w:type="dxa"/>
            <w:vAlign w:val="center"/>
          </w:tcPr>
          <w:p>
            <w:pPr>
              <w:pStyle w:val="11"/>
            </w:pPr>
            <w:r>
              <w:t>26.04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26.04</w:t>
            </w:r>
          </w:p>
        </w:tc>
        <w:tc>
          <w:tcPr>
            <w:tcW w:w="1361" w:type="dxa"/>
            <w:vAlign w:val="center"/>
          </w:tcPr>
          <w:p>
            <w:pPr>
              <w:pStyle w:val="11"/>
            </w:pPr>
            <w:r>
              <w:t>26.04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r>
              <w:t>13.40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r>
              <w:t>10.40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2121302</w:t>
            </w:r>
          </w:p>
        </w:tc>
        <w:tc>
          <w:tcPr>
            <w:tcW w:w="4535" w:type="dxa"/>
            <w:vAlign w:val="center"/>
          </w:tcPr>
          <w:p>
            <w:pPr>
              <w:pStyle w:val="12"/>
            </w:pPr>
            <w:r>
              <w:t>城市环境卫生</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130.50</w:t>
            </w:r>
          </w:p>
        </w:tc>
        <w:tc>
          <w:tcPr>
            <w:tcW w:w="1361" w:type="dxa"/>
            <w:vAlign w:val="center"/>
          </w:tcPr>
          <w:p>
            <w:pPr>
              <w:pStyle w:val="11"/>
            </w:pPr>
          </w:p>
        </w:tc>
        <w:tc>
          <w:tcPr>
            <w:tcW w:w="1361" w:type="dxa"/>
            <w:vAlign w:val="center"/>
          </w:tcPr>
          <w:p>
            <w:pPr>
              <w:pStyle w:val="11"/>
            </w:pPr>
            <w:r>
              <w:t>130.50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1361" w:type="dxa"/>
            <w:vAlign w:val="center"/>
          </w:tcPr>
          <w:p>
            <w:pPr>
              <w:pStyle w:val="11"/>
            </w:pPr>
            <w:r>
              <w:t>19.17</w:t>
            </w:r>
          </w:p>
        </w:tc>
        <w:tc>
          <w:tcPr>
            <w:tcW w:w="1361" w:type="dxa"/>
            <w:vAlign w:val="center"/>
          </w:tcPr>
          <w:p>
            <w:pPr>
              <w:pStyle w:val="11"/>
            </w:pPr>
          </w:p>
        </w:tc>
        <w:tc>
          <w:tcPr>
            <w:tcW w:w="1361" w:type="dxa"/>
            <w:vAlign w:val="center"/>
          </w:tcPr>
          <w:p>
            <w:pPr>
              <w:pStyle w:val="11"/>
            </w:pPr>
            <w:r>
              <w:t>19.17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1361" w:type="dxa"/>
            <w:vAlign w:val="center"/>
          </w:tcPr>
          <w:p>
            <w:pPr>
              <w:pStyle w:val="11"/>
            </w:pPr>
            <w:r>
              <w:t>19.17</w:t>
            </w:r>
          </w:p>
        </w:tc>
        <w:tc>
          <w:tcPr>
            <w:tcW w:w="1361" w:type="dxa"/>
            <w:vAlign w:val="center"/>
          </w:tcPr>
          <w:p>
            <w:pPr>
              <w:pStyle w:val="11"/>
            </w:pPr>
          </w:p>
        </w:tc>
        <w:tc>
          <w:tcPr>
            <w:tcW w:w="1361" w:type="dxa"/>
            <w:vAlign w:val="center"/>
          </w:tcPr>
          <w:p>
            <w:pPr>
              <w:pStyle w:val="11"/>
            </w:pPr>
            <w:r>
              <w:t>19.17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r>
              <w:t>111.33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56.88</w:t>
            </w:r>
          </w:p>
        </w:tc>
        <w:tc>
          <w:tcPr>
            <w:tcW w:w="1361" w:type="dxa"/>
            <w:vAlign w:val="center"/>
          </w:tcPr>
          <w:p>
            <w:pPr>
              <w:pStyle w:val="11"/>
            </w:pPr>
            <w:r>
              <w:t>56.88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56.88</w:t>
            </w:r>
          </w:p>
        </w:tc>
        <w:tc>
          <w:tcPr>
            <w:tcW w:w="1361" w:type="dxa"/>
            <w:vAlign w:val="center"/>
          </w:tcPr>
          <w:p>
            <w:pPr>
              <w:pStyle w:val="11"/>
            </w:pPr>
            <w:r>
              <w:t>56.88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56.88</w:t>
            </w:r>
          </w:p>
        </w:tc>
        <w:tc>
          <w:tcPr>
            <w:tcW w:w="1361" w:type="dxa"/>
            <w:vAlign w:val="center"/>
          </w:tcPr>
          <w:p>
            <w:pPr>
              <w:pStyle w:val="11"/>
            </w:pPr>
            <w:r>
              <w:t>56.88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1074.58</w:t>
            </w:r>
          </w:p>
        </w:tc>
        <w:tc>
          <w:tcPr>
            <w:tcW w:w="3402" w:type="dxa"/>
            <w:vAlign w:val="center"/>
          </w:tcPr>
          <w:p>
            <w:pPr>
              <w:pStyle w:val="12"/>
            </w:pPr>
            <w:r>
              <w:t>一、一般公共服务支出</w:t>
            </w:r>
          </w:p>
        </w:tc>
        <w:tc>
          <w:tcPr>
            <w:tcW w:w="1474" w:type="dxa"/>
            <w:vAlign w:val="center"/>
          </w:tcPr>
          <w:p>
            <w:pPr>
              <w:pStyle w:val="11"/>
            </w:pPr>
            <w:r>
              <w:t>720.32</w:t>
            </w:r>
          </w:p>
        </w:tc>
        <w:tc>
          <w:tcPr>
            <w:tcW w:w="1474" w:type="dxa"/>
            <w:vAlign w:val="center"/>
          </w:tcPr>
          <w:p>
            <w:pPr>
              <w:pStyle w:val="11"/>
            </w:pPr>
            <w:r>
              <w:t>720.32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13.40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131.67</w:t>
            </w:r>
          </w:p>
        </w:tc>
        <w:tc>
          <w:tcPr>
            <w:tcW w:w="1474" w:type="dxa"/>
            <w:vAlign w:val="center"/>
          </w:tcPr>
          <w:p>
            <w:pPr>
              <w:pStyle w:val="11"/>
            </w:pPr>
            <w:r>
              <w:t>131.67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26.04</w:t>
            </w:r>
          </w:p>
        </w:tc>
        <w:tc>
          <w:tcPr>
            <w:tcW w:w="1474" w:type="dxa"/>
            <w:vAlign w:val="center"/>
          </w:tcPr>
          <w:p>
            <w:pPr>
              <w:pStyle w:val="11"/>
            </w:pPr>
            <w:r>
              <w:t>26.04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13.40</w:t>
            </w:r>
          </w:p>
        </w:tc>
        <w:tc>
          <w:tcPr>
            <w:tcW w:w="1474" w:type="dxa"/>
            <w:vAlign w:val="center"/>
          </w:tcPr>
          <w:p>
            <w:pPr>
              <w:pStyle w:val="11"/>
            </w:pPr>
          </w:p>
        </w:tc>
        <w:tc>
          <w:tcPr>
            <w:tcW w:w="1474" w:type="dxa"/>
            <w:vAlign w:val="center"/>
          </w:tcPr>
          <w:p>
            <w:pPr>
              <w:pStyle w:val="11"/>
            </w:pPr>
            <w:r>
              <w:t>13.40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130.50</w:t>
            </w:r>
          </w:p>
        </w:tc>
        <w:tc>
          <w:tcPr>
            <w:tcW w:w="1474" w:type="dxa"/>
            <w:vAlign w:val="center"/>
          </w:tcPr>
          <w:p>
            <w:pPr>
              <w:pStyle w:val="11"/>
            </w:pPr>
            <w:r>
              <w:t>130.50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2.80</w:t>
            </w:r>
          </w:p>
        </w:tc>
        <w:tc>
          <w:tcPr>
            <w:tcW w:w="1474" w:type="dxa"/>
            <w:vAlign w:val="center"/>
          </w:tcPr>
          <w:p>
            <w:pPr>
              <w:pStyle w:val="11"/>
            </w:pPr>
            <w:r>
              <w:t>2.80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56.88</w:t>
            </w:r>
          </w:p>
        </w:tc>
        <w:tc>
          <w:tcPr>
            <w:tcW w:w="1474" w:type="dxa"/>
            <w:vAlign w:val="center"/>
          </w:tcPr>
          <w:p>
            <w:pPr>
              <w:pStyle w:val="11"/>
            </w:pPr>
            <w:r>
              <w:t>56.88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1087.98</w:t>
            </w:r>
          </w:p>
        </w:tc>
        <w:tc>
          <w:tcPr>
            <w:tcW w:w="3402" w:type="dxa"/>
            <w:vAlign w:val="center"/>
          </w:tcPr>
          <w:p>
            <w:pPr>
              <w:pStyle w:val="14"/>
            </w:pPr>
            <w:r>
              <w:t>本年支出合计</w:t>
            </w:r>
          </w:p>
        </w:tc>
        <w:tc>
          <w:tcPr>
            <w:tcW w:w="1474" w:type="dxa"/>
            <w:vAlign w:val="center"/>
          </w:tcPr>
          <w:p>
            <w:pPr>
              <w:pStyle w:val="15"/>
            </w:pPr>
            <w:r>
              <w:t>1087.98</w:t>
            </w:r>
          </w:p>
        </w:tc>
        <w:tc>
          <w:tcPr>
            <w:tcW w:w="1474" w:type="dxa"/>
            <w:vAlign w:val="center"/>
          </w:tcPr>
          <w:p>
            <w:pPr>
              <w:pStyle w:val="15"/>
            </w:pPr>
            <w:r>
              <w:t>1074.58</w:t>
            </w:r>
          </w:p>
        </w:tc>
        <w:tc>
          <w:tcPr>
            <w:tcW w:w="1474" w:type="dxa"/>
            <w:vAlign w:val="center"/>
          </w:tcPr>
          <w:p>
            <w:pPr>
              <w:pStyle w:val="15"/>
            </w:pPr>
            <w:r>
              <w:t>13.40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1087.98</w:t>
            </w:r>
          </w:p>
        </w:tc>
        <w:tc>
          <w:tcPr>
            <w:tcW w:w="3402" w:type="dxa"/>
            <w:vAlign w:val="center"/>
          </w:tcPr>
          <w:p>
            <w:pPr>
              <w:pStyle w:val="14"/>
            </w:pPr>
            <w:r>
              <w:t>支出总计</w:t>
            </w:r>
          </w:p>
        </w:tc>
        <w:tc>
          <w:tcPr>
            <w:tcW w:w="1474" w:type="dxa"/>
            <w:vAlign w:val="center"/>
          </w:tcPr>
          <w:p>
            <w:pPr>
              <w:pStyle w:val="15"/>
            </w:pPr>
            <w:r>
              <w:t>1087.98</w:t>
            </w:r>
          </w:p>
        </w:tc>
        <w:tc>
          <w:tcPr>
            <w:tcW w:w="1474" w:type="dxa"/>
            <w:vAlign w:val="center"/>
          </w:tcPr>
          <w:p>
            <w:pPr>
              <w:pStyle w:val="15"/>
            </w:pPr>
            <w:r>
              <w:t>1074.58</w:t>
            </w:r>
          </w:p>
        </w:tc>
        <w:tc>
          <w:tcPr>
            <w:tcW w:w="1474" w:type="dxa"/>
            <w:vAlign w:val="center"/>
          </w:tcPr>
          <w:p>
            <w:pPr>
              <w:pStyle w:val="15"/>
            </w:pPr>
            <w:r>
              <w:t>13.40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1074.58</w:t>
            </w:r>
          </w:p>
        </w:tc>
        <w:tc>
          <w:tcPr>
            <w:tcW w:w="2551" w:type="dxa"/>
            <w:vAlign w:val="center"/>
          </w:tcPr>
          <w:p>
            <w:pPr>
              <w:pStyle w:val="15"/>
            </w:pPr>
            <w:r>
              <w:t>886.71</w:t>
            </w:r>
          </w:p>
        </w:tc>
        <w:tc>
          <w:tcPr>
            <w:tcW w:w="2551" w:type="dxa"/>
            <w:vAlign w:val="center"/>
          </w:tcPr>
          <w:p>
            <w:pPr>
              <w:pStyle w:val="15"/>
            </w:pPr>
            <w:r>
              <w:t>187.87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720.32</w:t>
            </w:r>
          </w:p>
        </w:tc>
        <w:tc>
          <w:tcPr>
            <w:tcW w:w="2551" w:type="dxa"/>
            <w:vAlign w:val="center"/>
          </w:tcPr>
          <w:p>
            <w:pPr>
              <w:pStyle w:val="11"/>
            </w:pPr>
            <w:r>
              <w:t>680.99</w:t>
            </w:r>
          </w:p>
        </w:tc>
        <w:tc>
          <w:tcPr>
            <w:tcW w:w="2551" w:type="dxa"/>
            <w:vAlign w:val="center"/>
          </w:tcPr>
          <w:p>
            <w:pPr>
              <w:pStyle w:val="11"/>
            </w:pPr>
            <w:r>
              <w:t>39.33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718.32</w:t>
            </w:r>
          </w:p>
        </w:tc>
        <w:tc>
          <w:tcPr>
            <w:tcW w:w="2551" w:type="dxa"/>
            <w:vAlign w:val="center"/>
          </w:tcPr>
          <w:p>
            <w:pPr>
              <w:pStyle w:val="11"/>
            </w:pPr>
            <w:r>
              <w:t>680.99</w:t>
            </w:r>
          </w:p>
        </w:tc>
        <w:tc>
          <w:tcPr>
            <w:tcW w:w="2551" w:type="dxa"/>
            <w:vAlign w:val="center"/>
          </w:tcPr>
          <w:p>
            <w:pPr>
              <w:pStyle w:val="11"/>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310.26</w:t>
            </w:r>
          </w:p>
        </w:tc>
        <w:tc>
          <w:tcPr>
            <w:tcW w:w="2551" w:type="dxa"/>
            <w:vAlign w:val="center"/>
          </w:tcPr>
          <w:p>
            <w:pPr>
              <w:pStyle w:val="11"/>
            </w:pPr>
            <w:r>
              <w:t>310.26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37.33</w:t>
            </w:r>
          </w:p>
        </w:tc>
        <w:tc>
          <w:tcPr>
            <w:tcW w:w="2551" w:type="dxa"/>
            <w:vAlign w:val="center"/>
          </w:tcPr>
          <w:p>
            <w:pPr>
              <w:pStyle w:val="11"/>
            </w:pPr>
          </w:p>
        </w:tc>
        <w:tc>
          <w:tcPr>
            <w:tcW w:w="2551" w:type="dxa"/>
            <w:vAlign w:val="center"/>
          </w:tcPr>
          <w:p>
            <w:pPr>
              <w:pStyle w:val="11"/>
            </w:pPr>
            <w:r>
              <w:t>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370.73</w:t>
            </w:r>
          </w:p>
        </w:tc>
        <w:tc>
          <w:tcPr>
            <w:tcW w:w="2551" w:type="dxa"/>
            <w:vAlign w:val="center"/>
          </w:tcPr>
          <w:p>
            <w:pPr>
              <w:pStyle w:val="11"/>
            </w:pPr>
            <w:r>
              <w:t>370.73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131.67</w:t>
            </w:r>
          </w:p>
        </w:tc>
        <w:tc>
          <w:tcPr>
            <w:tcW w:w="2551" w:type="dxa"/>
            <w:vAlign w:val="center"/>
          </w:tcPr>
          <w:p>
            <w:pPr>
              <w:pStyle w:val="11"/>
            </w:pPr>
            <w:r>
              <w:t>122.79</w:t>
            </w:r>
          </w:p>
        </w:tc>
        <w:tc>
          <w:tcPr>
            <w:tcW w:w="2551"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122.79</w:t>
            </w:r>
          </w:p>
        </w:tc>
        <w:tc>
          <w:tcPr>
            <w:tcW w:w="2551" w:type="dxa"/>
            <w:vAlign w:val="center"/>
          </w:tcPr>
          <w:p>
            <w:pPr>
              <w:pStyle w:val="11"/>
            </w:pPr>
            <w:r>
              <w:t>122.79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14.54</w:t>
            </w:r>
          </w:p>
        </w:tc>
        <w:tc>
          <w:tcPr>
            <w:tcW w:w="2551" w:type="dxa"/>
            <w:vAlign w:val="center"/>
          </w:tcPr>
          <w:p>
            <w:pPr>
              <w:pStyle w:val="11"/>
            </w:pPr>
            <w:r>
              <w:t>14.54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18.83</w:t>
            </w:r>
          </w:p>
        </w:tc>
        <w:tc>
          <w:tcPr>
            <w:tcW w:w="2551" w:type="dxa"/>
            <w:vAlign w:val="center"/>
          </w:tcPr>
          <w:p>
            <w:pPr>
              <w:pStyle w:val="11"/>
            </w:pPr>
            <w:r>
              <w:t>18.83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68.62</w:t>
            </w:r>
          </w:p>
        </w:tc>
        <w:tc>
          <w:tcPr>
            <w:tcW w:w="2551" w:type="dxa"/>
            <w:vAlign w:val="center"/>
          </w:tcPr>
          <w:p>
            <w:pPr>
              <w:pStyle w:val="11"/>
            </w:pPr>
            <w:r>
              <w:t>68.62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20.80</w:t>
            </w:r>
          </w:p>
        </w:tc>
        <w:tc>
          <w:tcPr>
            <w:tcW w:w="2551" w:type="dxa"/>
            <w:vAlign w:val="center"/>
          </w:tcPr>
          <w:p>
            <w:pPr>
              <w:pStyle w:val="11"/>
            </w:pPr>
            <w:r>
              <w:t>20.80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8.88</w:t>
            </w:r>
          </w:p>
        </w:tc>
        <w:tc>
          <w:tcPr>
            <w:tcW w:w="2551" w:type="dxa"/>
            <w:vAlign w:val="center"/>
          </w:tcPr>
          <w:p>
            <w:pPr>
              <w:pStyle w:val="11"/>
            </w:pPr>
          </w:p>
        </w:tc>
        <w:tc>
          <w:tcPr>
            <w:tcW w:w="2551"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8.88</w:t>
            </w:r>
          </w:p>
        </w:tc>
        <w:tc>
          <w:tcPr>
            <w:tcW w:w="2551" w:type="dxa"/>
            <w:vAlign w:val="center"/>
          </w:tcPr>
          <w:p>
            <w:pPr>
              <w:pStyle w:val="11"/>
            </w:pPr>
          </w:p>
        </w:tc>
        <w:tc>
          <w:tcPr>
            <w:tcW w:w="2551" w:type="dxa"/>
            <w:vAlign w:val="center"/>
          </w:tcPr>
          <w:p>
            <w:pPr>
              <w:pStyle w:val="11"/>
            </w:pPr>
            <w:r>
              <w:t>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26.04</w:t>
            </w:r>
          </w:p>
        </w:tc>
        <w:tc>
          <w:tcPr>
            <w:tcW w:w="2551" w:type="dxa"/>
            <w:vAlign w:val="center"/>
          </w:tcPr>
          <w:p>
            <w:pPr>
              <w:pStyle w:val="11"/>
            </w:pPr>
            <w:r>
              <w:t>26.04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26.04</w:t>
            </w:r>
          </w:p>
        </w:tc>
        <w:tc>
          <w:tcPr>
            <w:tcW w:w="2551" w:type="dxa"/>
            <w:vAlign w:val="center"/>
          </w:tcPr>
          <w:p>
            <w:pPr>
              <w:pStyle w:val="11"/>
            </w:pPr>
            <w:r>
              <w:t>26.04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26.04</w:t>
            </w:r>
          </w:p>
        </w:tc>
        <w:tc>
          <w:tcPr>
            <w:tcW w:w="2551" w:type="dxa"/>
            <w:vAlign w:val="center"/>
          </w:tcPr>
          <w:p>
            <w:pPr>
              <w:pStyle w:val="11"/>
            </w:pPr>
            <w:r>
              <w:t>26.04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130.50</w:t>
            </w:r>
          </w:p>
        </w:tc>
        <w:tc>
          <w:tcPr>
            <w:tcW w:w="2551" w:type="dxa"/>
            <w:vAlign w:val="center"/>
          </w:tcPr>
          <w:p>
            <w:pPr>
              <w:pStyle w:val="11"/>
            </w:pPr>
          </w:p>
        </w:tc>
        <w:tc>
          <w:tcPr>
            <w:tcW w:w="2551" w:type="dxa"/>
            <w:vAlign w:val="center"/>
          </w:tcPr>
          <w:p>
            <w:pPr>
              <w:pStyle w:val="11"/>
            </w:pPr>
            <w:r>
              <w:t>130.50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rPr>
                <w:rFonts w:hint="eastAsia"/>
                <w:lang w:eastAsia="zh-CN"/>
              </w:rPr>
              <w:t>巩固拓展脱贫攻坚成果</w:t>
            </w:r>
            <w:r>
              <w:t>衔接乡村振兴</w:t>
            </w:r>
          </w:p>
        </w:tc>
        <w:tc>
          <w:tcPr>
            <w:tcW w:w="2551" w:type="dxa"/>
            <w:vAlign w:val="center"/>
          </w:tcPr>
          <w:p>
            <w:pPr>
              <w:pStyle w:val="11"/>
            </w:pPr>
            <w:r>
              <w:t>19.17</w:t>
            </w:r>
          </w:p>
        </w:tc>
        <w:tc>
          <w:tcPr>
            <w:tcW w:w="2551" w:type="dxa"/>
            <w:vAlign w:val="center"/>
          </w:tcPr>
          <w:p>
            <w:pPr>
              <w:pStyle w:val="11"/>
            </w:pPr>
          </w:p>
        </w:tc>
        <w:tc>
          <w:tcPr>
            <w:tcW w:w="2551" w:type="dxa"/>
            <w:vAlign w:val="center"/>
          </w:tcPr>
          <w:p>
            <w:pPr>
              <w:pStyle w:val="11"/>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w:t>
            </w:r>
            <w:r>
              <w:rPr>
                <w:rFonts w:hint="eastAsia"/>
                <w:lang w:eastAsia="zh-CN"/>
              </w:rPr>
              <w:t>巩固拓展脱贫攻坚成果</w:t>
            </w:r>
            <w:r>
              <w:t>衔接乡村振兴支出</w:t>
            </w:r>
          </w:p>
        </w:tc>
        <w:tc>
          <w:tcPr>
            <w:tcW w:w="2551" w:type="dxa"/>
            <w:vAlign w:val="center"/>
          </w:tcPr>
          <w:p>
            <w:pPr>
              <w:pStyle w:val="11"/>
            </w:pPr>
            <w:r>
              <w:t>19.17</w:t>
            </w:r>
          </w:p>
        </w:tc>
        <w:tc>
          <w:tcPr>
            <w:tcW w:w="2551" w:type="dxa"/>
            <w:vAlign w:val="center"/>
          </w:tcPr>
          <w:p>
            <w:pPr>
              <w:pStyle w:val="11"/>
            </w:pPr>
          </w:p>
        </w:tc>
        <w:tc>
          <w:tcPr>
            <w:tcW w:w="2551" w:type="dxa"/>
            <w:vAlign w:val="center"/>
          </w:tcPr>
          <w:p>
            <w:pPr>
              <w:pStyle w:val="11"/>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111.33</w:t>
            </w:r>
          </w:p>
        </w:tc>
        <w:tc>
          <w:tcPr>
            <w:tcW w:w="2551" w:type="dxa"/>
            <w:vAlign w:val="center"/>
          </w:tcPr>
          <w:p>
            <w:pPr>
              <w:pStyle w:val="11"/>
            </w:pPr>
          </w:p>
        </w:tc>
        <w:tc>
          <w:tcPr>
            <w:tcW w:w="2551" w:type="dxa"/>
            <w:vAlign w:val="center"/>
          </w:tcPr>
          <w:p>
            <w:pPr>
              <w:pStyle w:val="11"/>
            </w:pPr>
            <w:r>
              <w:t>111.33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111.33</w:t>
            </w:r>
          </w:p>
        </w:tc>
        <w:tc>
          <w:tcPr>
            <w:tcW w:w="2551" w:type="dxa"/>
            <w:vAlign w:val="center"/>
          </w:tcPr>
          <w:p>
            <w:pPr>
              <w:pStyle w:val="11"/>
            </w:pPr>
          </w:p>
        </w:tc>
        <w:tc>
          <w:tcPr>
            <w:tcW w:w="2551" w:type="dxa"/>
            <w:vAlign w:val="center"/>
          </w:tcPr>
          <w:p>
            <w:pPr>
              <w:pStyle w:val="11"/>
            </w:pPr>
            <w:r>
              <w:t>111.33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56.88</w:t>
            </w:r>
          </w:p>
        </w:tc>
        <w:tc>
          <w:tcPr>
            <w:tcW w:w="2551" w:type="dxa"/>
            <w:vAlign w:val="center"/>
          </w:tcPr>
          <w:p>
            <w:pPr>
              <w:pStyle w:val="11"/>
            </w:pPr>
            <w:r>
              <w:t>56.88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56.88</w:t>
            </w:r>
          </w:p>
        </w:tc>
        <w:tc>
          <w:tcPr>
            <w:tcW w:w="2551" w:type="dxa"/>
            <w:vAlign w:val="center"/>
          </w:tcPr>
          <w:p>
            <w:pPr>
              <w:pStyle w:val="11"/>
            </w:pPr>
            <w:r>
              <w:t>56.88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56.88</w:t>
            </w:r>
          </w:p>
        </w:tc>
        <w:tc>
          <w:tcPr>
            <w:tcW w:w="2551" w:type="dxa"/>
            <w:vAlign w:val="center"/>
          </w:tcPr>
          <w:p>
            <w:pPr>
              <w:pStyle w:val="11"/>
            </w:pPr>
            <w:r>
              <w:t>56.88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886.71</w:t>
            </w:r>
          </w:p>
        </w:tc>
        <w:tc>
          <w:tcPr>
            <w:tcW w:w="2551" w:type="dxa"/>
            <w:vAlign w:val="center"/>
          </w:tcPr>
          <w:p>
            <w:pPr>
              <w:pStyle w:val="15"/>
            </w:pPr>
            <w:r>
              <w:t>816.15</w:t>
            </w:r>
          </w:p>
        </w:tc>
        <w:tc>
          <w:tcPr>
            <w:tcW w:w="2551" w:type="dxa"/>
            <w:vAlign w:val="center"/>
          </w:tcPr>
          <w:p>
            <w:pPr>
              <w:pStyle w:val="15"/>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777.32</w:t>
            </w:r>
          </w:p>
        </w:tc>
        <w:tc>
          <w:tcPr>
            <w:tcW w:w="2551" w:type="dxa"/>
            <w:vAlign w:val="center"/>
          </w:tcPr>
          <w:p>
            <w:pPr>
              <w:pStyle w:val="11"/>
            </w:pPr>
            <w:r>
              <w:t>777.32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185.81</w:t>
            </w:r>
          </w:p>
        </w:tc>
        <w:tc>
          <w:tcPr>
            <w:tcW w:w="2551" w:type="dxa"/>
            <w:vAlign w:val="center"/>
          </w:tcPr>
          <w:p>
            <w:pPr>
              <w:pStyle w:val="11"/>
            </w:pPr>
            <w:r>
              <w:t>185.81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114.24</w:t>
            </w:r>
          </w:p>
        </w:tc>
        <w:tc>
          <w:tcPr>
            <w:tcW w:w="2551" w:type="dxa"/>
            <w:vAlign w:val="center"/>
          </w:tcPr>
          <w:p>
            <w:pPr>
              <w:pStyle w:val="11"/>
            </w:pPr>
            <w:r>
              <w:t>114.24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91.17</w:t>
            </w:r>
          </w:p>
        </w:tc>
        <w:tc>
          <w:tcPr>
            <w:tcW w:w="2551" w:type="dxa"/>
            <w:vAlign w:val="center"/>
          </w:tcPr>
          <w:p>
            <w:pPr>
              <w:pStyle w:val="11"/>
            </w:pPr>
            <w:r>
              <w:t>91.17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93.58</w:t>
            </w:r>
          </w:p>
        </w:tc>
        <w:tc>
          <w:tcPr>
            <w:tcW w:w="2551" w:type="dxa"/>
            <w:vAlign w:val="center"/>
          </w:tcPr>
          <w:p>
            <w:pPr>
              <w:pStyle w:val="11"/>
            </w:pPr>
            <w:r>
              <w:t>93.58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68.62</w:t>
            </w:r>
          </w:p>
        </w:tc>
        <w:tc>
          <w:tcPr>
            <w:tcW w:w="2551" w:type="dxa"/>
            <w:vAlign w:val="center"/>
          </w:tcPr>
          <w:p>
            <w:pPr>
              <w:pStyle w:val="11"/>
            </w:pPr>
            <w:r>
              <w:t>68.62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20.80</w:t>
            </w:r>
          </w:p>
        </w:tc>
        <w:tc>
          <w:tcPr>
            <w:tcW w:w="2551" w:type="dxa"/>
            <w:vAlign w:val="center"/>
          </w:tcPr>
          <w:p>
            <w:pPr>
              <w:pStyle w:val="11"/>
            </w:pPr>
            <w:r>
              <w:t>20.80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25.65</w:t>
            </w:r>
          </w:p>
        </w:tc>
        <w:tc>
          <w:tcPr>
            <w:tcW w:w="2551" w:type="dxa"/>
            <w:vAlign w:val="center"/>
          </w:tcPr>
          <w:p>
            <w:pPr>
              <w:pStyle w:val="11"/>
            </w:pPr>
            <w:r>
              <w:t>25.65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3.58</w:t>
            </w:r>
          </w:p>
        </w:tc>
        <w:tc>
          <w:tcPr>
            <w:tcW w:w="2551" w:type="dxa"/>
            <w:vAlign w:val="center"/>
          </w:tcPr>
          <w:p>
            <w:pPr>
              <w:pStyle w:val="11"/>
            </w:pPr>
            <w:r>
              <w:t>3.58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56.88</w:t>
            </w:r>
          </w:p>
        </w:tc>
        <w:tc>
          <w:tcPr>
            <w:tcW w:w="2551" w:type="dxa"/>
            <w:vAlign w:val="center"/>
          </w:tcPr>
          <w:p>
            <w:pPr>
              <w:pStyle w:val="11"/>
            </w:pPr>
            <w:r>
              <w:t>56.88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116.98</w:t>
            </w:r>
          </w:p>
        </w:tc>
        <w:tc>
          <w:tcPr>
            <w:tcW w:w="2551" w:type="dxa"/>
            <w:vAlign w:val="center"/>
          </w:tcPr>
          <w:p>
            <w:pPr>
              <w:pStyle w:val="11"/>
            </w:pPr>
            <w:r>
              <w:t>116.98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70.55</w:t>
            </w:r>
          </w:p>
        </w:tc>
        <w:tc>
          <w:tcPr>
            <w:tcW w:w="2551" w:type="dxa"/>
            <w:vAlign w:val="center"/>
          </w:tcPr>
          <w:p>
            <w:pPr>
              <w:pStyle w:val="11"/>
            </w:pPr>
          </w:p>
        </w:tc>
        <w:tc>
          <w:tcPr>
            <w:tcW w:w="2551" w:type="dxa"/>
            <w:vAlign w:val="center"/>
          </w:tcPr>
          <w:p>
            <w:pPr>
              <w:pStyle w:val="11"/>
            </w:pPr>
            <w:r>
              <w:t>70.55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16.52</w:t>
            </w:r>
          </w:p>
        </w:tc>
        <w:tc>
          <w:tcPr>
            <w:tcW w:w="2551" w:type="dxa"/>
            <w:vAlign w:val="center"/>
          </w:tcPr>
          <w:p>
            <w:pPr>
              <w:pStyle w:val="11"/>
            </w:pPr>
          </w:p>
        </w:tc>
        <w:tc>
          <w:tcPr>
            <w:tcW w:w="2551" w:type="dxa"/>
            <w:vAlign w:val="center"/>
          </w:tcPr>
          <w:p>
            <w:pPr>
              <w:pStyle w:val="11"/>
            </w:pPr>
            <w: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11.47</w:t>
            </w:r>
          </w:p>
        </w:tc>
        <w:tc>
          <w:tcPr>
            <w:tcW w:w="2551" w:type="dxa"/>
            <w:vAlign w:val="center"/>
          </w:tcPr>
          <w:p>
            <w:pPr>
              <w:pStyle w:val="11"/>
            </w:pPr>
          </w:p>
        </w:tc>
        <w:tc>
          <w:tcPr>
            <w:tcW w:w="2551" w:type="dxa"/>
            <w:vAlign w:val="center"/>
          </w:tcPr>
          <w:p>
            <w:pPr>
              <w:pStyle w:val="11"/>
            </w:pPr>
            <w: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4.57</w:t>
            </w:r>
          </w:p>
        </w:tc>
        <w:tc>
          <w:tcPr>
            <w:tcW w:w="2551" w:type="dxa"/>
            <w:vAlign w:val="center"/>
          </w:tcPr>
          <w:p>
            <w:pPr>
              <w:pStyle w:val="11"/>
            </w:pPr>
          </w:p>
        </w:tc>
        <w:tc>
          <w:tcPr>
            <w:tcW w:w="2551" w:type="dxa"/>
            <w:vAlign w:val="center"/>
          </w:tcPr>
          <w:p>
            <w:pPr>
              <w:pStyle w:val="11"/>
            </w:pPr>
            <w:r>
              <w:t>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6.87</w:t>
            </w:r>
          </w:p>
        </w:tc>
        <w:tc>
          <w:tcPr>
            <w:tcW w:w="2551" w:type="dxa"/>
            <w:vAlign w:val="center"/>
          </w:tcPr>
          <w:p>
            <w:pPr>
              <w:pStyle w:val="11"/>
            </w:pPr>
          </w:p>
        </w:tc>
        <w:tc>
          <w:tcPr>
            <w:tcW w:w="2551" w:type="dxa"/>
            <w:vAlign w:val="center"/>
          </w:tcPr>
          <w:p>
            <w:pPr>
              <w:pStyle w:val="11"/>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4.65</w:t>
            </w:r>
          </w:p>
        </w:tc>
        <w:tc>
          <w:tcPr>
            <w:tcW w:w="2551" w:type="dxa"/>
            <w:vAlign w:val="center"/>
          </w:tcPr>
          <w:p>
            <w:pPr>
              <w:pStyle w:val="11"/>
            </w:pPr>
          </w:p>
        </w:tc>
        <w:tc>
          <w:tcPr>
            <w:tcW w:w="2551" w:type="dxa"/>
            <w:vAlign w:val="center"/>
          </w:tcPr>
          <w:p>
            <w:pPr>
              <w:pStyle w:val="11"/>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38.83</w:t>
            </w:r>
          </w:p>
        </w:tc>
        <w:tc>
          <w:tcPr>
            <w:tcW w:w="2551" w:type="dxa"/>
            <w:vAlign w:val="center"/>
          </w:tcPr>
          <w:p>
            <w:pPr>
              <w:pStyle w:val="11"/>
            </w:pPr>
            <w:r>
              <w:t>38.83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32.25</w:t>
            </w:r>
          </w:p>
        </w:tc>
        <w:tc>
          <w:tcPr>
            <w:tcW w:w="2551" w:type="dxa"/>
            <w:vAlign w:val="center"/>
          </w:tcPr>
          <w:p>
            <w:pPr>
              <w:pStyle w:val="11"/>
            </w:pPr>
            <w:r>
              <w:t>32.25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6.53</w:t>
            </w:r>
          </w:p>
        </w:tc>
        <w:tc>
          <w:tcPr>
            <w:tcW w:w="2551" w:type="dxa"/>
            <w:vAlign w:val="center"/>
          </w:tcPr>
          <w:p>
            <w:pPr>
              <w:pStyle w:val="11"/>
            </w:pPr>
            <w:r>
              <w:t>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13.40</w:t>
            </w:r>
          </w:p>
        </w:tc>
        <w:tc>
          <w:tcPr>
            <w:tcW w:w="2551" w:type="dxa"/>
            <w:vAlign w:val="center"/>
          </w:tcPr>
          <w:p>
            <w:pPr>
              <w:pStyle w:val="15"/>
            </w:pPr>
          </w:p>
        </w:tc>
        <w:tc>
          <w:tcPr>
            <w:tcW w:w="2551" w:type="dxa"/>
            <w:vAlign w:val="center"/>
          </w:tcPr>
          <w:p>
            <w:pPr>
              <w:pStyle w:val="15"/>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13.40</w:t>
            </w:r>
          </w:p>
        </w:tc>
        <w:tc>
          <w:tcPr>
            <w:tcW w:w="2551" w:type="dxa"/>
            <w:vAlign w:val="center"/>
          </w:tcPr>
          <w:p>
            <w:pPr>
              <w:pStyle w:val="11"/>
            </w:pPr>
          </w:p>
        </w:tc>
        <w:tc>
          <w:tcPr>
            <w:tcW w:w="2551" w:type="dxa"/>
            <w:vAlign w:val="center"/>
          </w:tcPr>
          <w:p>
            <w:pPr>
              <w:pStyle w:val="11"/>
            </w:pPr>
            <w:r>
              <w:t>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10.40</w:t>
            </w:r>
          </w:p>
        </w:tc>
        <w:tc>
          <w:tcPr>
            <w:tcW w:w="2551" w:type="dxa"/>
            <w:vAlign w:val="center"/>
          </w:tcPr>
          <w:p>
            <w:pPr>
              <w:pStyle w:val="11"/>
            </w:pPr>
          </w:p>
        </w:tc>
        <w:tc>
          <w:tcPr>
            <w:tcW w:w="2551"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10.40</w:t>
            </w:r>
          </w:p>
        </w:tc>
        <w:tc>
          <w:tcPr>
            <w:tcW w:w="2551" w:type="dxa"/>
            <w:vAlign w:val="center"/>
          </w:tcPr>
          <w:p>
            <w:pPr>
              <w:pStyle w:val="11"/>
            </w:pPr>
          </w:p>
        </w:tc>
        <w:tc>
          <w:tcPr>
            <w:tcW w:w="2551" w:type="dxa"/>
            <w:vAlign w:val="center"/>
          </w:tcPr>
          <w:p>
            <w:pPr>
              <w:pStyle w:val="11"/>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bookmarkEnd w:id="18"/>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12.15</w:t>
            </w:r>
          </w:p>
        </w:tc>
        <w:tc>
          <w:tcPr>
            <w:tcW w:w="2381" w:type="dxa"/>
            <w:vAlign w:val="center"/>
          </w:tcPr>
          <w:p>
            <w:pPr>
              <w:pStyle w:val="15"/>
            </w:pPr>
            <w:r>
              <w:t>12.15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保定市徐水区东釜山乡人民政府2023年部门预算信息公开情况说明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保定市徐水区东釜山乡人民政府2023年部门预算信息公开情况说明</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w:t>
      </w:r>
      <w:r>
        <w:rPr>
          <w:rFonts w:hint="eastAsia" w:ascii="仿宋_GB2312" w:hAnsi="仿宋_GB2312" w:eastAsia="仿宋_GB2312" w:cs="仿宋_GB2312"/>
          <w:color w:val="000000"/>
          <w:sz w:val="28"/>
          <w:szCs w:val="28"/>
          <w:lang w:eastAsia="zh-CN"/>
        </w:rPr>
        <w:t>中华人民共和国预算法</w:t>
      </w:r>
      <w:r>
        <w:rPr>
          <w:rFonts w:hint="eastAsia" w:ascii="仿宋_GB2312" w:hAnsi="仿宋_GB2312" w:eastAsia="仿宋_GB2312" w:cs="仿宋_GB2312"/>
          <w:color w:val="000000"/>
          <w:sz w:val="28"/>
          <w:szCs w:val="28"/>
        </w:rPr>
        <w:t>》、《地方预决算公开操作规程》和《关于进一步推进预算公开工作的实施意见》规定，现将保定市徐水区东釜山乡人民政府2023年部门预算公开如下：</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rFonts w:hint="eastAsia" w:ascii="黑体" w:hAnsi="黑体" w:eastAsia="黑体" w:cs="黑体"/>
          <w:b/>
          <w:bCs/>
          <w:sz w:val="32"/>
          <w:szCs w:val="32"/>
        </w:rPr>
      </w:pPr>
      <w:bookmarkStart w:id="9" w:name="_Toc_3_3_0000000010"/>
      <w:r>
        <w:rPr>
          <w:rFonts w:hint="eastAsia" w:ascii="黑体" w:hAnsi="黑体" w:eastAsia="黑体" w:cs="黑体"/>
          <w:b/>
          <w:bCs/>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rPr>
        <w:t>部门职责：</w:t>
      </w:r>
    </w:p>
    <w:p>
      <w:pPr>
        <w:pStyle w:val="17"/>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根据《保定市徐水区东釜山乡人民政府职能配置、内设机构和人员编制规定》，保定市徐水区东釜山乡人民政府的主要职责是：</w:t>
      </w:r>
    </w:p>
    <w:p>
      <w:pPr>
        <w:pStyle w:val="17"/>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根据《保定市徐水区东釜山乡人民政府职能配置、内设机构和人员编制规定》， 保定市徐水区东釜山乡人民政府的主要职责是：</w:t>
      </w:r>
    </w:p>
    <w:p>
      <w:pPr>
        <w:pStyle w:val="17"/>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根据中共保定市徐水区委办公室、保定市徐水区人民政府办公室印发《保定市徐水区东釜山乡乡主要责任、机构设置和人员编制规定》的通知（徐办字[2020]41号），现将我乡部门概况说明如下：</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加强党对基层治理的全面领导，统筹抓好基层党建工作和基层党组织各项制度建设。推进全面从严治党，强化“两个责任”，确保党的路线方针政策在基层得到全面贯彻落实。</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讨论和决定本乡镇经济建设、政治建设、文化建设社会建设、生态文明建设和党的建设以及乡村振兴中的重大问题。</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组织召开本级人民代表大会，充分行使重大事项决定权、监督权和任免权，做好人大代表工作，联系选民、反映群众意见和要求。</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按照干部管理权限，负责对干部的教育、培训、选拔考核和监督工作。协助管理上级有关部门驻乡镇单位的干部。做好人才服务工作。</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keepNext w:val="0"/>
        <w:keepLines w:val="0"/>
        <w:pageBreakBefore w:val="0"/>
        <w:widowControl/>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承办上级党委、人大、政府交办的其他事项。</w:t>
      </w:r>
    </w:p>
    <w:p>
      <w:pPr>
        <w:pStyle w:val="17"/>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color w:val="000000"/>
          <w:sz w:val="28"/>
          <w:szCs w:val="28"/>
        </w:rPr>
        <w:t>机构设置：</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保定市徐水区东釜山乡人民政府本级</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正科级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rFonts w:hint="eastAsia" w:ascii="黑体" w:hAnsi="黑体" w:eastAsia="黑体" w:cs="黑体"/>
          <w:b/>
          <w:bCs/>
          <w:sz w:val="32"/>
          <w:szCs w:val="32"/>
        </w:rPr>
      </w:pPr>
      <w:bookmarkStart w:id="10" w:name="_Toc_3_3_0000000011"/>
      <w:r>
        <w:rPr>
          <w:rFonts w:hint="eastAsia" w:ascii="黑体" w:hAnsi="黑体" w:eastAsia="黑体" w:cs="黑体"/>
          <w:b/>
          <w:bCs/>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2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按照预算管理有关规定，目前我省部门预算的编制实行综合预算管理，即全部收入和支出都反映在预算中。保定市徐水区东釜山乡人民政府机关及所属事业单位的收支包含在部门预算中。</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收入说明</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反映本部门当年全部收入。2023年预算收入1088.08万元,其中：一般公共预算收入1074.58万元，基金预算收入13.4万元，国有资本经营预算收入0万元，财政专户核拨收入0万元，单位资金收入0.1万元，上年结转结余0万元</w:t>
      </w:r>
      <w:r>
        <w:rPr>
          <w:rFonts w:hint="eastAsia" w:ascii="仿宋_GB2312" w:hAnsi="仿宋_GB2312" w:eastAsia="仿宋_GB2312" w:cs="仿宋_GB2312"/>
          <w:sz w:val="28"/>
          <w:szCs w:val="28"/>
          <w:lang w:eastAsia="zh-CN"/>
        </w:rPr>
        <w:t>。</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 xml:space="preserve">支出说明 </w:t>
      </w:r>
    </w:p>
    <w:p>
      <w:pPr>
        <w:pStyle w:val="18"/>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收支预算总表支出栏、基本支出表、项目支出表按经济分类和支出功能分类科目编制，反映东釜山乡人民政府年度部门预算中支出预算的总体情况。2023年支出预算1088.08万元，其中基本支出886.71万元，包括人员经</w:t>
      </w:r>
      <w:r>
        <w:rPr>
          <w:rFonts w:hint="eastAsia" w:ascii="仿宋_GB2312" w:hAnsi="仿宋_GB2312" w:eastAsia="仿宋_GB2312" w:cs="仿宋_GB2312"/>
          <w:color w:val="auto"/>
        </w:rPr>
        <w:t>费816.15万元和日常公用经费70.55万元；项目支出201.37万元，主要为选任专职人民调解员经费、村级组织办公经费、村党组织活动经费等</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三</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rPr>
        <w:t>比上年增减情况</w:t>
      </w:r>
    </w:p>
    <w:p>
      <w:pPr>
        <w:pStyle w:val="18"/>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本年度预算收支安排1088.08万元，较上年减少130.13万元。其中:基本支出减少159.87万元，主要原因是2023年人员列支较2022年减幅较大，</w:t>
      </w:r>
      <w:r>
        <w:rPr>
          <w:rFonts w:hint="eastAsia" w:ascii="仿宋_GB2312" w:hAnsi="仿宋_GB2312" w:eastAsia="仿宋_GB2312" w:cs="仿宋_GB2312"/>
          <w:color w:val="auto"/>
          <w:lang w:val="en-US" w:eastAsia="zh-CN"/>
        </w:rPr>
        <w:t>人员</w:t>
      </w:r>
      <w:r>
        <w:rPr>
          <w:rFonts w:hint="eastAsia" w:ascii="仿宋_GB2312" w:hAnsi="仿宋_GB2312" w:eastAsia="仿宋_GB2312" w:cs="仿宋_GB2312"/>
          <w:color w:val="auto"/>
        </w:rPr>
        <w:t>列支减少；项目支出增加29.74万元，主要原因是根据新的财政政策，增加有关项目支出列支。</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b/>
          <w:bCs/>
          <w:sz w:val="32"/>
          <w:szCs w:val="32"/>
        </w:rPr>
      </w:pPr>
      <w:bookmarkStart w:id="11" w:name="_Toc_3_3_0000000012"/>
      <w:r>
        <w:rPr>
          <w:rFonts w:ascii="黑体" w:hAnsi="黑体" w:eastAsia="黑体" w:cs="黑体"/>
          <w:b/>
          <w:bCs/>
          <w:color w:val="000000"/>
          <w:sz w:val="32"/>
          <w:szCs w:val="32"/>
        </w:rPr>
        <w:t>三、机关运行经费安排情况</w:t>
      </w:r>
      <w:bookmarkEnd w:id="11"/>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2023年我部门机关运行经费安排70.55万元，其中办公费16.52万元，邮电费11.48万元，工会经费、福利费11.52万元，公务用车运行维护费12.15万元，其他支出18.88万元。</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b/>
          <w:bCs/>
          <w:sz w:val="32"/>
          <w:szCs w:val="32"/>
        </w:rPr>
      </w:pPr>
      <w:bookmarkStart w:id="12" w:name="_Toc_3_3_0000000013"/>
      <w:r>
        <w:rPr>
          <w:rFonts w:ascii="黑体" w:hAnsi="黑体" w:eastAsia="黑体" w:cs="黑体"/>
          <w:b/>
          <w:bCs/>
          <w:color w:val="000000"/>
          <w:sz w:val="32"/>
          <w:szCs w:val="32"/>
        </w:rPr>
        <w:t>四、财政拨款“三公”经费预算情况及增减变化原因</w:t>
      </w:r>
      <w:bookmarkEnd w:id="12"/>
    </w:p>
    <w:p>
      <w:pPr>
        <w:pStyle w:val="20"/>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2023年，我部门财政拨款“三公”经费预算安排12.15万元，其中因公出国（境）费0万元；公务用车购置及运维费12.15万元（其中：公务用车购置费0万元，公务用车运维费12.15万元）；公务接待费0万元。与2022年相比减少1.05万元，减少的主要原因是：响应中央号召，节约开支。</w:t>
      </w:r>
    </w:p>
    <w:p>
      <w:pPr>
        <w:keepNext w:val="0"/>
        <w:keepLines w:val="0"/>
        <w:pageBreakBefore w:val="0"/>
        <w:widowControl/>
        <w:kinsoku/>
        <w:wordWrap/>
        <w:overflowPunct/>
        <w:topLinePunct w:val="0"/>
        <w:autoSpaceDE/>
        <w:autoSpaceDN/>
        <w:bidi w:val="0"/>
        <w:adjustRightInd/>
        <w:snapToGrid/>
        <w:spacing w:before="10" w:after="10" w:line="520" w:lineRule="exact"/>
        <w:ind w:firstLine="640"/>
        <w:textAlignment w:val="auto"/>
        <w:outlineLvl w:val="2"/>
        <w:rPr>
          <w:b/>
          <w:bCs/>
          <w:sz w:val="32"/>
          <w:szCs w:val="32"/>
        </w:rPr>
      </w:pPr>
      <w:bookmarkStart w:id="13" w:name="_Toc_3_3_0000000014"/>
      <w:r>
        <w:rPr>
          <w:rFonts w:ascii="黑体" w:hAnsi="黑体" w:eastAsia="黑体" w:cs="黑体"/>
          <w:b/>
          <w:bCs/>
          <w:color w:val="000000"/>
          <w:sz w:val="32"/>
          <w:szCs w:val="32"/>
        </w:rPr>
        <w:t>五、预算绩效信息</w:t>
      </w:r>
      <w:bookmarkEnd w:id="13"/>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sz w:val="28"/>
          <w:szCs w:val="28"/>
        </w:rPr>
      </w:pPr>
      <w:r>
        <w:rPr>
          <w:rFonts w:ascii="方正楷体_GBK" w:hAnsi="方正楷体_GBK" w:eastAsia="方正楷体_GBK" w:cs="方正楷体_GBK"/>
          <w:b/>
          <w:color w:val="000000"/>
          <w:sz w:val="28"/>
          <w:szCs w:val="28"/>
        </w:rPr>
        <w:t>第一部分 部门整体绩效目标</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（一）总体绩效目标</w:t>
      </w:r>
    </w:p>
    <w:p>
      <w:pPr>
        <w:pStyle w:val="21"/>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紧紧围绕区委、区政府的重要部署，深入贯彻落实党的十九届四中全会精神和习近平新时代中国特色社会主义思想，全面提升党建工作，加强党风廉政建设；推进规模化农业生产,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扎实推进大气污染防治工作，统筹安排扬尘治理、</w:t>
      </w:r>
      <w:r>
        <w:rPr>
          <w:rFonts w:hint="eastAsia" w:ascii="仿宋_GB2312" w:hAnsi="仿宋_GB2312" w:eastAsia="仿宋_GB2312" w:cs="仿宋_GB2312"/>
          <w:sz w:val="28"/>
          <w:szCs w:val="28"/>
          <w:lang w:val="en-US" w:eastAsia="zh-CN"/>
        </w:rPr>
        <w:t>秸秆</w:t>
      </w:r>
      <w:r>
        <w:rPr>
          <w:rFonts w:hint="eastAsia" w:ascii="仿宋_GB2312" w:hAnsi="仿宋_GB2312" w:eastAsia="仿宋_GB2312" w:cs="仿宋_GB2312"/>
          <w:sz w:val="28"/>
          <w:szCs w:val="28"/>
        </w:rPr>
        <w:t>焚烧，排查污染企业，加强管控与治理，改善人居环境。加强对企业和社会安全的管理，确保辖区内生产安全、社会和谐统筹安排;扎实推动建档立卡扶贫工作，保证建档立卡户脱贫不脱政策，防止返贫。扎实做好人大、政协、工会、共青团、武装、环保、土地、教育、卫生等各项工作，努力实现全乡各项事业持续发展。</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（二）分项绩效目标</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社会管理强规范、为民服务高效率</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绩效目标：保障村级组织正常运转，其他两委干部绩效补贴发放及时，充分调动两委干部积极性。保障党组织日常活动，提高党员综合素质，保障村综合服务站运转。</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绩效指标：服务群众工作任务完成率在90%以上，通过服务群众工作，使社会稳定水平切实得到提高；党员受教育学习80人次以上，党员先锋模范作用发挥充分；村级组织办公经费拨付率90以上；</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2</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乡镇综合事务管理，保障正常运转</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绩效目标：协调维护社会稳定和国家安全，以创建和谐稳定的社会环境为目标。扎实做好人大、党建、纪检、团委等各项工作，保障机关工作正常运转，财政资金使用效益。</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绩效指标：矛盾纠纷调处率达到85%以上；协调督导事项化解率85%以上；稳定水平提高。保障工作明显提升；综合事务管理工作完成率达到90%以上；受益对象满意度达到90%以上。</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落实安全生产诚信管理</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绩效目标：对重点行业和作业场所职业卫生安全生产加强行政执法监察；开展重大危险源执法检查工作；开展安全事故检查及安全生产宣传教育活动；促进企业全面落实安全生产诚信管理。</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绩效指标：安全生产信息员设置覆盖镇所有村；安全生产信息员补助发放完成率达到90%以上；享受安全生产信息员补助人员对补助发放情况的满意程度达到90%以上。</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4</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实现乡村地震安全建设常态化</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绩效目标：实现乡村地震安全建设常态化，提高防震减灾宣传效果，提升社会公众防震避险意识和技能。</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绩效指标：地震群测群防队伍覆盖全乡各村；地震群测群防岗位津贴发放完成率达到90%以上享受地震群测群防岗位津贴人员对津贴发放情况的满意程度达到90%以上。</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5</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加强地方武装力量</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绩效目标：规范本镇武装部基础设施建设，不断提升遂行任务能力；保障本单位的民兵训练，征兵等工作的正常开展，圆满完成上级交给的各项工作任务。</w:t>
      </w:r>
    </w:p>
    <w:p>
      <w:pPr>
        <w:pStyle w:val="22"/>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绩效指标：组织民兵训练次数大于等于3次，民兵训练出勤率达到90%；民兵训练工作完成及时率到90%。</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（三）工作保障措施</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强化政治理论武装，健全完善制度机制</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2</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加强预算支出管理，确保支出进度达标</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规范财务报销手续，加强预算管理，严格遵守《</w:t>
      </w:r>
      <w:r>
        <w:rPr>
          <w:rFonts w:hint="eastAsia" w:ascii="仿宋_GB2312" w:hAnsi="仿宋_GB2312" w:eastAsia="仿宋_GB2312" w:cs="仿宋_GB2312"/>
          <w:sz w:val="28"/>
          <w:szCs w:val="28"/>
          <w:lang w:eastAsia="zh-CN"/>
        </w:rPr>
        <w:t>中华人民共和国预算法</w:t>
      </w:r>
      <w:r>
        <w:rPr>
          <w:rFonts w:hint="eastAsia" w:ascii="仿宋_GB2312" w:hAnsi="仿宋_GB2312" w:eastAsia="仿宋_GB2312" w:cs="仿宋_GB2312"/>
          <w:sz w:val="28"/>
          <w:szCs w:val="28"/>
        </w:rPr>
        <w:t>》，牢固树立过紧日子的思想，压缩一般性支出，严格控制“三公”经费支出，切实把有限的财政资金用在刃上。</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加强绩效运行监控，确保绩效目标实现</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按照“谁支出、谁负责”的原则，完善用款计划管理，适时采取相应措施警示督促、纠偏纠错，促进预算绩效目标和绩效监控各项工作。</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4</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做好绩效自评，确保自评工作取得实效</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5</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规范财务资产管理，确保资金安全高效</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加强内部监督管理，确保资金安全有效</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加强宣传培训调研，确保绩效目标实现</w:t>
      </w:r>
    </w:p>
    <w:p>
      <w:pPr>
        <w:pStyle w:val="23"/>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按季度评价资金使用程度</w:t>
            </w:r>
          </w:p>
        </w:tc>
        <w:tc>
          <w:tcPr>
            <w:tcW w:w="2551" w:type="dxa"/>
            <w:vAlign w:val="center"/>
          </w:tcPr>
          <w:p>
            <w:pPr>
              <w:pStyle w:val="12"/>
            </w:pPr>
            <w:r>
              <w:t>4次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有效改善有利于提高工作效率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1.加强基层安全生产保障能力的建设，确保满足安全生产工作的实际需要，进一步加大安全生产延生到基层，掌握全乡的安全生产动态。</w:t>
            </w:r>
          </w:p>
          <w:p>
            <w:pPr>
              <w:pStyle w:val="12"/>
            </w:pPr>
            <w:r>
              <w:t xml:space="preserve">2.2023年此项经费0.65万元，用于发放13名安全生产信息员津贴，由我乡按季度支付。      </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13人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2.对辖区内党员进行培训，提高农村党员的综合素质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w:t>
            </w:r>
          </w:p>
          <w:p>
            <w:pPr>
              <w:pStyle w:val="12"/>
            </w:pPr>
            <w:r>
              <w:t>2.及时足额拨付资金，保障村级组织的正常运转，以推进村级组织健康发展，搞好服务保障。</w:t>
            </w:r>
          </w:p>
          <w:p>
            <w:pPr>
              <w:pStyle w:val="12"/>
            </w:pPr>
            <w:r>
              <w:t>3.此项目预计6月底完成。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≥13个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≤32.75万元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6、大气污染防治经费（运转保障）绩效目标表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1.保护和改善环境，防治大气污染，保障公众健康，推进生态文明建设。</w:t>
            </w:r>
          </w:p>
          <w:p>
            <w:pPr>
              <w:pStyle w:val="12"/>
            </w:pPr>
            <w:r>
              <w:t>2.项目资金1.5万元，用于保障2023年大气污染防治工作，降低大气污染指数。</w:t>
            </w:r>
          </w:p>
          <w:p>
            <w:pPr>
              <w:pStyle w:val="12"/>
            </w:pPr>
            <w:r>
              <w:t>3.资金按进度支出，6月份达到50%，12月份达到100%。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秸秆还田率</w:t>
            </w:r>
          </w:p>
        </w:tc>
        <w:tc>
          <w:tcPr>
            <w:tcW w:w="2835" w:type="dxa"/>
            <w:vAlign w:val="center"/>
          </w:tcPr>
          <w:p>
            <w:pPr>
              <w:pStyle w:val="12"/>
            </w:pPr>
            <w:r>
              <w:t>秸秆还田的面积占全部农作物的种植面积比率</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资金按时拨付率</w:t>
            </w:r>
          </w:p>
        </w:tc>
        <w:tc>
          <w:tcPr>
            <w:tcW w:w="2835" w:type="dxa"/>
            <w:vAlign w:val="center"/>
          </w:tcPr>
          <w:p>
            <w:pPr>
              <w:pStyle w:val="12"/>
            </w:pPr>
            <w:r>
              <w:t>资金按时拨付所占百分比</w:t>
            </w:r>
          </w:p>
        </w:tc>
        <w:tc>
          <w:tcPr>
            <w:tcW w:w="2551" w:type="dxa"/>
            <w:vAlign w:val="center"/>
          </w:tcPr>
          <w:p>
            <w:pPr>
              <w:pStyle w:val="12"/>
            </w:pPr>
            <w:r>
              <w:t>≥90%</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2835" w:type="dxa"/>
            <w:vAlign w:val="center"/>
          </w:tcPr>
          <w:p>
            <w:pPr>
              <w:pStyle w:val="12"/>
            </w:pPr>
            <w:r>
              <w:t>项目资金控制在预算数</w:t>
            </w:r>
          </w:p>
        </w:tc>
        <w:tc>
          <w:tcPr>
            <w:tcW w:w="2551" w:type="dxa"/>
            <w:vAlign w:val="center"/>
          </w:tcPr>
          <w:p>
            <w:pPr>
              <w:pStyle w:val="12"/>
            </w:pPr>
            <w:r>
              <w:t>1.5万元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群众对于环境保护意识提高指数</w:t>
            </w:r>
          </w:p>
        </w:tc>
        <w:tc>
          <w:tcPr>
            <w:tcW w:w="2551" w:type="dxa"/>
            <w:vAlign w:val="center"/>
          </w:tcPr>
          <w:p>
            <w:pPr>
              <w:pStyle w:val="12"/>
            </w:pPr>
            <w:r>
              <w:t>≥85%</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7、党建经费（运转保障）绩效目标表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1.提高党员的综合素质；提升党建水平。</w:t>
            </w:r>
          </w:p>
          <w:p>
            <w:pPr>
              <w:pStyle w:val="12"/>
            </w:pPr>
            <w:r>
              <w:t>2.此项目资金1.5万元，组织日常活动，定期集中培训，做好2023年党建工作。</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各项党建工作完成率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1.5万元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党建工作覆盖率</w:t>
            </w:r>
          </w:p>
        </w:tc>
        <w:tc>
          <w:tcPr>
            <w:tcW w:w="2835" w:type="dxa"/>
            <w:vAlign w:val="center"/>
          </w:tcPr>
          <w:p>
            <w:pPr>
              <w:pStyle w:val="12"/>
            </w:pPr>
            <w:r>
              <w:t>党建工作在我乡范围内所覆盖比率</w:t>
            </w:r>
          </w:p>
        </w:tc>
        <w:tc>
          <w:tcPr>
            <w:tcW w:w="2551" w:type="dxa"/>
            <w:vAlign w:val="center"/>
          </w:tcPr>
          <w:p>
            <w:pPr>
              <w:pStyle w:val="12"/>
            </w:pPr>
            <w:r>
              <w:t>≥90%</w:t>
            </w:r>
          </w:p>
        </w:tc>
        <w:tc>
          <w:tcPr>
            <w:tcW w:w="2268" w:type="dxa"/>
            <w:vAlign w:val="center"/>
          </w:tcPr>
          <w:p>
            <w:pPr>
              <w:pStyle w:val="12"/>
            </w:pPr>
            <w:r>
              <w:t>依据工作要求及部门年度工作计划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2.此项经费共计0.276万元，用于发放地震台站长及助理员15津贴，由我乡按季度支付。</w:t>
            </w:r>
          </w:p>
          <w:p>
            <w:pPr>
              <w:pStyle w:val="12"/>
            </w:pPr>
            <w:r>
              <w:t>3.2023年12月底前支付完毕。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15人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≤2760元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地震群测群防队伍稳定性</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9、东釜山乡2023年脱贫帮扶公益和岗位补助及保险项目绩效目标表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1.规范就业扶贫公益岗位、乡村服务岗位管理，帮助就业困难的建档立卡贫困劳动力实现持续稳定增收。</w:t>
            </w:r>
          </w:p>
          <w:p>
            <w:pPr>
              <w:pStyle w:val="12"/>
            </w:pPr>
            <w:r>
              <w:t>2.为32位在公益岗的人员发放补助并购买人身意外保险。“四员”岗每人每月500元，乡村服务岗每人每月300元，人身意外保险667元每年。</w:t>
            </w:r>
            <w:r>
              <w:tab/>
            </w:r>
            <w:r>
              <w:tab/>
            </w:r>
            <w:r>
              <w:tab/>
            </w:r>
            <w:r>
              <w:tab/>
            </w:r>
            <w:r>
              <w:tab/>
            </w:r>
            <w:r>
              <w:tab/>
            </w:r>
          </w:p>
          <w:p>
            <w:pPr>
              <w:pStyle w:val="12"/>
            </w:pPr>
          </w:p>
          <w:p>
            <w:pPr>
              <w:pStyle w:val="12"/>
            </w:pPr>
            <w:r>
              <w:t>3.由我乡按月发放岗位补助。</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补助公益岗位人数</w:t>
            </w:r>
          </w:p>
        </w:tc>
        <w:tc>
          <w:tcPr>
            <w:tcW w:w="2551" w:type="dxa"/>
            <w:vAlign w:val="center"/>
          </w:tcPr>
          <w:p>
            <w:pPr>
              <w:pStyle w:val="12"/>
            </w:pPr>
            <w:r>
              <w:t>32人</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10、防火护林员工资补助经费绩效目标表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1.保障35名护林员人员工资等方面的经费支出，确保防火护林日常工作正常运转</w:t>
            </w:r>
          </w:p>
          <w:p>
            <w:pPr>
              <w:pStyle w:val="12"/>
            </w:pPr>
            <w:r>
              <w:t>2.保障山区乡镇防火工作顺利开展</w:t>
            </w:r>
          </w:p>
          <w:p>
            <w:pPr>
              <w:pStyle w:val="12"/>
            </w:pPr>
            <w:r>
              <w:t>3.防火护林员工资补助2.8万元，预计2023年1-5月份、9-12月份资金支付完毕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部门工作计划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pPr>
            <w:r>
              <w:t>3.通过实施此项目，促进社会稳定水平逐步提高。支出按季度支出，一季度支出30%，二季度支出20%,三季度支出30%，四季度支出20%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1.建立纪检保障长效机制，为纪检组织提供必要的工作条件；更好的推进农村反腐倡廉，服务经济，促进社会和谐。</w:t>
            </w:r>
            <w:r>
              <w:tab/>
            </w:r>
            <w:r>
              <w:tab/>
            </w:r>
            <w:r>
              <w:tab/>
            </w:r>
            <w:r>
              <w:tab/>
            </w:r>
            <w:r>
              <w:tab/>
            </w:r>
          </w:p>
          <w:p>
            <w:pPr>
              <w:pStyle w:val="12"/>
            </w:pPr>
            <w:r>
              <w:t>2.此项目经费4.4万元，用于保障2023年纪检工作的有效开展，以及按时发放纪检专干补贴，预计纪检办案3件以上，降低执法办案行为投诉率。</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本级纪检全年办案的数量</w:t>
            </w:r>
          </w:p>
        </w:tc>
        <w:tc>
          <w:tcPr>
            <w:tcW w:w="2551" w:type="dxa"/>
            <w:vAlign w:val="center"/>
          </w:tcPr>
          <w:p>
            <w:pPr>
              <w:pStyle w:val="12"/>
            </w:pPr>
            <w:r>
              <w:t>≥3件</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乡镇纪检部门运转费用保障率</w:t>
            </w:r>
          </w:p>
        </w:tc>
        <w:tc>
          <w:tcPr>
            <w:tcW w:w="2835" w:type="dxa"/>
            <w:vAlign w:val="center"/>
          </w:tcPr>
          <w:p>
            <w:pPr>
              <w:pStyle w:val="12"/>
            </w:pPr>
            <w:r>
              <w:t>为纪检运转提供及时足额的资金保障所占百分比</w:t>
            </w:r>
          </w:p>
        </w:tc>
        <w:tc>
          <w:tcPr>
            <w:tcW w:w="2551" w:type="dxa"/>
            <w:vAlign w:val="center"/>
          </w:tcPr>
          <w:p>
            <w:pPr>
              <w:pStyle w:val="12"/>
            </w:pPr>
            <w:r>
              <w:t>≥90%</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纪检专项办案完成及时率</w:t>
            </w:r>
          </w:p>
        </w:tc>
        <w:tc>
          <w:tcPr>
            <w:tcW w:w="2835" w:type="dxa"/>
            <w:vAlign w:val="center"/>
          </w:tcPr>
          <w:p>
            <w:pPr>
              <w:pStyle w:val="12"/>
            </w:pPr>
            <w:r>
              <w:t>反应本级纪委是否及时完成专项案件的处理工作</w:t>
            </w:r>
          </w:p>
        </w:tc>
        <w:tc>
          <w:tcPr>
            <w:tcW w:w="2551" w:type="dxa"/>
            <w:vAlign w:val="center"/>
          </w:tcPr>
          <w:p>
            <w:pPr>
              <w:pStyle w:val="12"/>
            </w:pPr>
            <w:r>
              <w:t>≥90%</w:t>
            </w:r>
          </w:p>
        </w:tc>
        <w:tc>
          <w:tcPr>
            <w:tcW w:w="2268" w:type="dxa"/>
            <w:vAlign w:val="center"/>
          </w:tcPr>
          <w:p>
            <w:pPr>
              <w:pStyle w:val="12"/>
            </w:pPr>
            <w:r>
              <w:t>徐办发【2012】34号及部门工作计划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纪检经费的投入金额</w:t>
            </w:r>
          </w:p>
        </w:tc>
        <w:tc>
          <w:tcPr>
            <w:tcW w:w="2835" w:type="dxa"/>
            <w:vAlign w:val="center"/>
          </w:tcPr>
          <w:p>
            <w:pPr>
              <w:pStyle w:val="12"/>
            </w:pPr>
            <w:r>
              <w:t>为保障纪检工作的开展，提供的资金数量</w:t>
            </w:r>
          </w:p>
        </w:tc>
        <w:tc>
          <w:tcPr>
            <w:tcW w:w="2551" w:type="dxa"/>
            <w:vAlign w:val="center"/>
          </w:tcPr>
          <w:p>
            <w:pPr>
              <w:pStyle w:val="12"/>
            </w:pPr>
            <w:r>
              <w:t>4.4万元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投诉统计数据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13、南陈庄烈士陵园祭扫活动和日常维护管理所需资金绩效目标表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1.宣扬红色文化，确保公祭活动正常开展。</w:t>
            </w:r>
            <w:r>
              <w:tab/>
            </w:r>
            <w:r>
              <w:tab/>
            </w:r>
            <w:r>
              <w:tab/>
            </w:r>
            <w:r>
              <w:tab/>
            </w:r>
            <w:r>
              <w:tab/>
            </w:r>
            <w:r>
              <w:tab/>
            </w:r>
          </w:p>
          <w:p>
            <w:pPr>
              <w:pStyle w:val="12"/>
            </w:pPr>
          </w:p>
          <w:p>
            <w:pPr>
              <w:pStyle w:val="12"/>
            </w:pPr>
            <w:r>
              <w:t>2.资金按进度支出，6月底累计支出达到50%，12月底累计支出达到100%。</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每年公祭的次数</w:t>
            </w:r>
          </w:p>
        </w:tc>
        <w:tc>
          <w:tcPr>
            <w:tcW w:w="2835" w:type="dxa"/>
            <w:vAlign w:val="center"/>
          </w:tcPr>
          <w:p>
            <w:pPr>
              <w:pStyle w:val="12"/>
            </w:pPr>
            <w:r>
              <w:t>每年公祭的次数</w:t>
            </w:r>
          </w:p>
        </w:tc>
        <w:tc>
          <w:tcPr>
            <w:tcW w:w="2551" w:type="dxa"/>
            <w:vAlign w:val="center"/>
          </w:tcPr>
          <w:p>
            <w:pPr>
              <w:pStyle w:val="12"/>
            </w:pPr>
            <w:r>
              <w:t>≥2次</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公祭工作完成率</w:t>
            </w:r>
          </w:p>
        </w:tc>
        <w:tc>
          <w:tcPr>
            <w:tcW w:w="2835" w:type="dxa"/>
            <w:vAlign w:val="center"/>
          </w:tcPr>
          <w:p>
            <w:pPr>
              <w:pStyle w:val="12"/>
            </w:pPr>
            <w:r>
              <w:t>公祭工作完成率</w:t>
            </w:r>
          </w:p>
        </w:tc>
        <w:tc>
          <w:tcPr>
            <w:tcW w:w="2551" w:type="dxa"/>
            <w:vAlign w:val="center"/>
          </w:tcPr>
          <w:p>
            <w:pPr>
              <w:pStyle w:val="12"/>
            </w:pPr>
            <w:r>
              <w:t>≥90%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项目资金支付及时率</w:t>
            </w:r>
          </w:p>
        </w:tc>
        <w:tc>
          <w:tcPr>
            <w:tcW w:w="2835" w:type="dxa"/>
            <w:vAlign w:val="center"/>
          </w:tcPr>
          <w:p>
            <w:pPr>
              <w:pStyle w:val="12"/>
            </w:pPr>
            <w:r>
              <w:t>项目资金支付及时率</w:t>
            </w:r>
          </w:p>
        </w:tc>
        <w:tc>
          <w:tcPr>
            <w:tcW w:w="2551" w:type="dxa"/>
            <w:vAlign w:val="center"/>
          </w:tcPr>
          <w:p>
            <w:pPr>
              <w:pStyle w:val="12"/>
            </w:pPr>
            <w:r>
              <w:t>≥90%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预算执行率</w:t>
            </w:r>
          </w:p>
        </w:tc>
        <w:tc>
          <w:tcPr>
            <w:tcW w:w="2551" w:type="dxa"/>
            <w:vAlign w:val="center"/>
          </w:tcPr>
          <w:p>
            <w:pPr>
              <w:pStyle w:val="12"/>
            </w:pPr>
            <w:r>
              <w:t>100%</w:t>
            </w:r>
          </w:p>
        </w:tc>
        <w:tc>
          <w:tcPr>
            <w:tcW w:w="2268" w:type="dxa"/>
            <w:vAlign w:val="center"/>
          </w:tcPr>
          <w:p>
            <w:pPr>
              <w:pStyle w:val="12"/>
            </w:pPr>
            <w:r>
              <w:t>资金请示及工作计划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每年参加公祭，受教育人数</w:t>
            </w:r>
          </w:p>
        </w:tc>
        <w:tc>
          <w:tcPr>
            <w:tcW w:w="2835" w:type="dxa"/>
            <w:vAlign w:val="center"/>
          </w:tcPr>
          <w:p>
            <w:pPr>
              <w:pStyle w:val="12"/>
            </w:pPr>
            <w:r>
              <w:t>每年参加公祭，受教育人数</w:t>
            </w:r>
          </w:p>
        </w:tc>
        <w:tc>
          <w:tcPr>
            <w:tcW w:w="2551" w:type="dxa"/>
            <w:vAlign w:val="center"/>
          </w:tcPr>
          <w:p>
            <w:pPr>
              <w:pStyle w:val="12"/>
            </w:pPr>
            <w:r>
              <w:t>≥100人</w:t>
            </w:r>
          </w:p>
        </w:tc>
        <w:tc>
          <w:tcPr>
            <w:tcW w:w="2268" w:type="dxa"/>
            <w:vAlign w:val="center"/>
          </w:tcPr>
          <w:p>
            <w:pPr>
              <w:pStyle w:val="12"/>
            </w:pPr>
            <w:r>
              <w:t>资金请示及工作计划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1.促进基层民主政治建设，提高群众及人大代表满意度。</w:t>
            </w:r>
          </w:p>
          <w:p>
            <w:pPr>
              <w:pStyle w:val="12"/>
            </w:pPr>
            <w:r>
              <w:t>2.此项目资金3万元，用于完成上级交代的各项人大任务，为本辖区民生事项等积极向区人大代表提议。</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按时间召开本级人大会议次数</w:t>
            </w:r>
          </w:p>
        </w:tc>
        <w:tc>
          <w:tcPr>
            <w:tcW w:w="2835" w:type="dxa"/>
            <w:vAlign w:val="center"/>
          </w:tcPr>
          <w:p>
            <w:pPr>
              <w:pStyle w:val="12"/>
            </w:pPr>
            <w:r>
              <w:t>反应本级人大会议按时间召开情况</w:t>
            </w:r>
          </w:p>
        </w:tc>
        <w:tc>
          <w:tcPr>
            <w:tcW w:w="2551" w:type="dxa"/>
            <w:vAlign w:val="center"/>
          </w:tcPr>
          <w:p>
            <w:pPr>
              <w:pStyle w:val="12"/>
            </w:pPr>
            <w:r>
              <w:t>≥1次</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人大集中性工作完成合格率</w:t>
            </w:r>
          </w:p>
        </w:tc>
        <w:tc>
          <w:tcPr>
            <w:tcW w:w="2835" w:type="dxa"/>
            <w:vAlign w:val="center"/>
          </w:tcPr>
          <w:p>
            <w:pPr>
              <w:pStyle w:val="12"/>
            </w:pPr>
            <w:r>
              <w:t>人大集中性工作合格数量所占百分比</w:t>
            </w:r>
          </w:p>
        </w:tc>
        <w:tc>
          <w:tcPr>
            <w:tcW w:w="2551" w:type="dxa"/>
            <w:vAlign w:val="center"/>
          </w:tcPr>
          <w:p>
            <w:pPr>
              <w:pStyle w:val="12"/>
            </w:pPr>
            <w:r>
              <w:t>≥90%</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人大日常工作经费及时拨付所占百分比</w:t>
            </w:r>
          </w:p>
        </w:tc>
        <w:tc>
          <w:tcPr>
            <w:tcW w:w="2551" w:type="dxa"/>
            <w:vAlign w:val="center"/>
          </w:tcPr>
          <w:p>
            <w:pPr>
              <w:pStyle w:val="12"/>
            </w:pPr>
            <w:r>
              <w:t>≥95%</w:t>
            </w:r>
          </w:p>
        </w:tc>
        <w:tc>
          <w:tcPr>
            <w:tcW w:w="2268" w:type="dxa"/>
            <w:vAlign w:val="center"/>
          </w:tcPr>
          <w:p>
            <w:pPr>
              <w:pStyle w:val="12"/>
            </w:pPr>
            <w:r>
              <w:t>徐字【2019】46号及部门年度工作计划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预算控制资金数</w:t>
            </w:r>
          </w:p>
        </w:tc>
        <w:tc>
          <w:tcPr>
            <w:tcW w:w="2835" w:type="dxa"/>
            <w:vAlign w:val="center"/>
          </w:tcPr>
          <w:p>
            <w:pPr>
              <w:pStyle w:val="12"/>
            </w:pPr>
            <w:r>
              <w:t>项目资金预算控制数</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为本辖区民生事项等积极向区人大代表提议案件数</w:t>
            </w:r>
          </w:p>
        </w:tc>
        <w:tc>
          <w:tcPr>
            <w:tcW w:w="2835" w:type="dxa"/>
            <w:vAlign w:val="center"/>
          </w:tcPr>
          <w:p>
            <w:pPr>
              <w:pStyle w:val="12"/>
            </w:pPr>
            <w:r>
              <w:t>反应本级人大对本辖区民生事项向上级反</w:t>
            </w:r>
            <w:r>
              <w:rPr>
                <w:rFonts w:hint="eastAsia"/>
                <w:lang w:val="en-US" w:eastAsia="zh-CN"/>
              </w:rPr>
              <w:t>映</w:t>
            </w:r>
            <w:r>
              <w:t>情况</w:t>
            </w:r>
          </w:p>
        </w:tc>
        <w:tc>
          <w:tcPr>
            <w:tcW w:w="2551" w:type="dxa"/>
            <w:vAlign w:val="center"/>
          </w:tcPr>
          <w:p>
            <w:pPr>
              <w:pStyle w:val="12"/>
            </w:pPr>
            <w:r>
              <w:t>≥1件</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1.解决缺经费等问题，保障团委各项工作的开展，提高办事效率，提升团员水平。</w:t>
            </w:r>
          </w:p>
          <w:p>
            <w:pPr>
              <w:pStyle w:val="12"/>
            </w:pPr>
            <w:r>
              <w:t>2.此项目资金2万元，用于保障2023年团委经费，使得团委活动顺利开展。</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团委组织团员开展各项活动的次数</w:t>
            </w:r>
          </w:p>
        </w:tc>
        <w:tc>
          <w:tcPr>
            <w:tcW w:w="2551" w:type="dxa"/>
            <w:vAlign w:val="center"/>
          </w:tcPr>
          <w:p>
            <w:pPr>
              <w:pStyle w:val="12"/>
            </w:pPr>
            <w:r>
              <w:t>≥4次</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团员活动参与率</w:t>
            </w:r>
          </w:p>
        </w:tc>
        <w:tc>
          <w:tcPr>
            <w:tcW w:w="2835" w:type="dxa"/>
            <w:vAlign w:val="center"/>
          </w:tcPr>
          <w:p>
            <w:pPr>
              <w:pStyle w:val="12"/>
            </w:pPr>
            <w:r>
              <w:t>团员对团委组织的活动参与次数所占百分比</w:t>
            </w:r>
          </w:p>
        </w:tc>
        <w:tc>
          <w:tcPr>
            <w:tcW w:w="2551" w:type="dxa"/>
            <w:vAlign w:val="center"/>
          </w:tcPr>
          <w:p>
            <w:pPr>
              <w:pStyle w:val="12"/>
            </w:pPr>
            <w:r>
              <w:t>≥90%</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根据工作任务需求保证资金按时拨付</w:t>
            </w:r>
          </w:p>
        </w:tc>
        <w:tc>
          <w:tcPr>
            <w:tcW w:w="2551" w:type="dxa"/>
            <w:vAlign w:val="center"/>
          </w:tcPr>
          <w:p>
            <w:pPr>
              <w:pStyle w:val="12"/>
            </w:pPr>
            <w:r>
              <w:t>≥90%</w:t>
            </w:r>
          </w:p>
        </w:tc>
        <w:tc>
          <w:tcPr>
            <w:tcW w:w="2268" w:type="dxa"/>
            <w:vAlign w:val="center"/>
          </w:tcPr>
          <w:p>
            <w:pPr>
              <w:pStyle w:val="12"/>
            </w:pPr>
            <w:r>
              <w:t>依据文件要求及部门年度工作计划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2万元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2835" w:type="dxa"/>
            <w:vAlign w:val="center"/>
          </w:tcPr>
          <w:p>
            <w:pPr>
              <w:pStyle w:val="12"/>
            </w:pPr>
            <w:r>
              <w:t>保障相关业务、工作等开展的情况</w:t>
            </w:r>
          </w:p>
        </w:tc>
        <w:tc>
          <w:tcPr>
            <w:tcW w:w="2551" w:type="dxa"/>
            <w:vAlign w:val="center"/>
          </w:tcPr>
          <w:p>
            <w:pPr>
              <w:pStyle w:val="12"/>
            </w:pPr>
            <w:r>
              <w:t>≥90%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1.确保稳定，保障退役军人专岗人员更好发挥作用。</w:t>
            </w:r>
          </w:p>
          <w:p>
            <w:pPr>
              <w:pStyle w:val="12"/>
            </w:pPr>
            <w:r>
              <w:t>2.项目资金8.88万元，发放人数3人。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≤8.88万元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w:t>
            </w:r>
          </w:p>
          <w:p>
            <w:pPr>
              <w:pStyle w:val="12"/>
            </w:pPr>
            <w:r>
              <w:t>2.此项目金额2万元，保障2023年维稳工作顺利进行。</w:t>
            </w:r>
          </w:p>
          <w:p>
            <w:pPr>
              <w:pStyle w:val="12"/>
            </w:pPr>
            <w:r>
              <w:t>3.资金按进度支出，6月底累计支出达到50%，12月底累计支出达到100%。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排查、化解矛盾纠纷案件的数量</w:t>
            </w:r>
          </w:p>
        </w:tc>
        <w:tc>
          <w:tcPr>
            <w:tcW w:w="2551" w:type="dxa"/>
            <w:vAlign w:val="center"/>
          </w:tcPr>
          <w:p>
            <w:pPr>
              <w:pStyle w:val="12"/>
            </w:pPr>
            <w:r>
              <w:t>≥5件</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矛盾纠纷调处成功数量案件所占百分比</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2835" w:type="dxa"/>
            <w:vAlign w:val="center"/>
          </w:tcPr>
          <w:p>
            <w:pPr>
              <w:pStyle w:val="12"/>
            </w:pPr>
            <w:r>
              <w:t>解决信访案件及时性所占百分比</w:t>
            </w:r>
          </w:p>
        </w:tc>
        <w:tc>
          <w:tcPr>
            <w:tcW w:w="2551" w:type="dxa"/>
            <w:vAlign w:val="center"/>
          </w:tcPr>
          <w:p>
            <w:pPr>
              <w:pStyle w:val="12"/>
            </w:pPr>
            <w:r>
              <w:t>≥85%</w:t>
            </w:r>
          </w:p>
        </w:tc>
        <w:tc>
          <w:tcPr>
            <w:tcW w:w="2268" w:type="dxa"/>
            <w:vAlign w:val="center"/>
          </w:tcPr>
          <w:p>
            <w:pPr>
              <w:pStyle w:val="12"/>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2万元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社会稳定水平提高率</w:t>
            </w:r>
          </w:p>
        </w:tc>
        <w:tc>
          <w:tcPr>
            <w:tcW w:w="2835" w:type="dxa"/>
            <w:vAlign w:val="center"/>
          </w:tcPr>
          <w:p>
            <w:pPr>
              <w:pStyle w:val="12"/>
            </w:pPr>
            <w:r>
              <w:t>社会稳定水平较上年提高的百分比</w:t>
            </w:r>
          </w:p>
        </w:tc>
        <w:tc>
          <w:tcPr>
            <w:tcW w:w="2551" w:type="dxa"/>
            <w:vAlign w:val="center"/>
          </w:tcPr>
          <w:p>
            <w:pPr>
              <w:pStyle w:val="12"/>
            </w:pPr>
            <w:r>
              <w:t>≥10%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1.武装阵地建设在硬件和软件方面达到上级要求，提升全乡武装力量水平。</w:t>
            </w:r>
          </w:p>
          <w:p>
            <w:pPr>
              <w:pStyle w:val="12"/>
            </w:pPr>
            <w:r>
              <w:t>2.此项目资金3万元，用于保障2023年本单位的民兵训练，征兵等工作的正常开展，圆满完成上级交给的各项工作任务。</w:t>
            </w:r>
          </w:p>
          <w:p>
            <w:pPr>
              <w:pStyle w:val="12"/>
            </w:pPr>
            <w:r>
              <w:t>3.资金按进度6月底前达到50%，12月份达到100%。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组织活动次数</w:t>
            </w:r>
          </w:p>
        </w:tc>
        <w:tc>
          <w:tcPr>
            <w:tcW w:w="2835" w:type="dxa"/>
            <w:vAlign w:val="center"/>
          </w:tcPr>
          <w:p>
            <w:pPr>
              <w:pStyle w:val="12"/>
            </w:pPr>
            <w:r>
              <w:t>组织基干民兵训练活动的次数</w:t>
            </w:r>
          </w:p>
        </w:tc>
        <w:tc>
          <w:tcPr>
            <w:tcW w:w="2551" w:type="dxa"/>
            <w:vAlign w:val="center"/>
          </w:tcPr>
          <w:p>
            <w:pPr>
              <w:pStyle w:val="12"/>
            </w:pPr>
            <w:r>
              <w:t>≥1次</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武装阵地建设达标率</w:t>
            </w:r>
          </w:p>
        </w:tc>
        <w:tc>
          <w:tcPr>
            <w:tcW w:w="2835" w:type="dxa"/>
            <w:vAlign w:val="center"/>
          </w:tcPr>
          <w:p>
            <w:pPr>
              <w:pStyle w:val="12"/>
            </w:pPr>
            <w:r>
              <w:t>武装阵地建设达到上级要求所占百分比</w:t>
            </w:r>
          </w:p>
        </w:tc>
        <w:tc>
          <w:tcPr>
            <w:tcW w:w="2551" w:type="dxa"/>
            <w:vAlign w:val="center"/>
          </w:tcPr>
          <w:p>
            <w:pPr>
              <w:pStyle w:val="12"/>
            </w:pPr>
            <w:r>
              <w:t>100%</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各项任务做到及时完成所占的百分比</w:t>
            </w:r>
          </w:p>
        </w:tc>
        <w:tc>
          <w:tcPr>
            <w:tcW w:w="2551" w:type="dxa"/>
            <w:vAlign w:val="center"/>
          </w:tcPr>
          <w:p>
            <w:pPr>
              <w:pStyle w:val="12"/>
            </w:pPr>
            <w:r>
              <w:t>≥90%</w:t>
            </w:r>
          </w:p>
        </w:tc>
        <w:tc>
          <w:tcPr>
            <w:tcW w:w="2268" w:type="dxa"/>
            <w:vAlign w:val="center"/>
          </w:tcPr>
          <w:p>
            <w:pPr>
              <w:pStyle w:val="12"/>
            </w:pPr>
            <w:r>
              <w:t>徐办字【2018】36号及部门年度工作计划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项目资金预算控制的数额</w:t>
            </w:r>
          </w:p>
        </w:tc>
        <w:tc>
          <w:tcPr>
            <w:tcW w:w="2551" w:type="dxa"/>
            <w:vAlign w:val="center"/>
          </w:tcPr>
          <w:p>
            <w:pPr>
              <w:pStyle w:val="12"/>
            </w:pPr>
            <w:r>
              <w:t>3万元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2835" w:type="dxa"/>
            <w:vAlign w:val="center"/>
          </w:tcPr>
          <w:p>
            <w:pPr>
              <w:pStyle w:val="12"/>
            </w:pPr>
            <w:r>
              <w:t>保障相关业务、工作等开展完成率</w:t>
            </w:r>
          </w:p>
        </w:tc>
        <w:tc>
          <w:tcPr>
            <w:tcW w:w="2551" w:type="dxa"/>
            <w:vAlign w:val="center"/>
          </w:tcPr>
          <w:p>
            <w:pPr>
              <w:pStyle w:val="12"/>
            </w:pPr>
            <w:r>
              <w:t>≥90%</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19、徐水烈士陵园景观路土地流转资金绩效目标表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1.及时支付徐水烈士陵园景观路两侧租用土地的租金,补偿被占地农民的相关费用。维护占地农民的根本利益，保障占地农民的基本生活，解除后顾之忧</w:t>
            </w:r>
          </w:p>
          <w:p>
            <w:pPr>
              <w:pStyle w:val="12"/>
            </w:pPr>
            <w:r>
              <w:t>2.2023年此项经费10.4万元，用于发放补偿占地户资金，保证陵园景观路畅通。</w:t>
            </w:r>
          </w:p>
          <w:p>
            <w:pPr>
              <w:pStyle w:val="12"/>
            </w:pPr>
            <w:r>
              <w:t>3.此项目预计2023年12月底前支付完毕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涉及到占地的两个村是否补偿到位</w:t>
            </w:r>
          </w:p>
        </w:tc>
        <w:tc>
          <w:tcPr>
            <w:tcW w:w="2551" w:type="dxa"/>
            <w:vAlign w:val="center"/>
          </w:tcPr>
          <w:p>
            <w:pPr>
              <w:pStyle w:val="12"/>
            </w:pPr>
            <w:r>
              <w:t>≥2个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是否涉及到的占地户全部得到补偿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该笔资金投入后是否能够按照规定金额及时发放落实到位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项目资金控制在预算数</w:t>
            </w:r>
          </w:p>
        </w:tc>
        <w:tc>
          <w:tcPr>
            <w:tcW w:w="2551" w:type="dxa"/>
            <w:vAlign w:val="center"/>
          </w:tcPr>
          <w:p>
            <w:pPr>
              <w:pStyle w:val="12"/>
            </w:pPr>
            <w:r>
              <w:t>10.4万元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占地农民投诉次数</w:t>
            </w:r>
          </w:p>
        </w:tc>
        <w:tc>
          <w:tcPr>
            <w:tcW w:w="2835" w:type="dxa"/>
            <w:vAlign w:val="center"/>
          </w:tcPr>
          <w:p>
            <w:pPr>
              <w:pStyle w:val="12"/>
            </w:pPr>
            <w:r>
              <w:t>涉及到的占地农民因此事投诉次数</w:t>
            </w:r>
          </w:p>
        </w:tc>
        <w:tc>
          <w:tcPr>
            <w:tcW w:w="2551" w:type="dxa"/>
            <w:vAlign w:val="center"/>
          </w:tcPr>
          <w:p>
            <w:pPr>
              <w:pStyle w:val="12"/>
            </w:pPr>
            <w:r>
              <w:t>≤1次</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1.保障人员工资、保险等方面的经费支出，按月发放调解员工资，及时缴纳保险；</w:t>
            </w:r>
          </w:p>
          <w:p>
            <w:pPr>
              <w:pStyle w:val="12"/>
            </w:pPr>
            <w:r>
              <w:t>2.减少社会矛盾，化解社会纠纷；</w:t>
            </w:r>
          </w:p>
          <w:p>
            <w:pPr>
              <w:pStyle w:val="12"/>
            </w:pPr>
            <w:r>
              <w:t>3.做好人民调解工作，更好、更快调解诉前案件和信访案件。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≥10次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21、政府运行维护经费（运转保障）绩效目标表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1.保障我单位设备设施的正常运转，确保我单位公务活动的正常开展。</w:t>
            </w:r>
          </w:p>
          <w:p>
            <w:pPr>
              <w:pStyle w:val="12"/>
            </w:pPr>
            <w:r>
              <w:t>2.项目金额21万元，用于保障2023年人员劳务费及办公经费，确保单位有效运转。</w:t>
            </w:r>
          </w:p>
          <w:p>
            <w:pPr>
              <w:pStyle w:val="12"/>
            </w:pPr>
            <w:r>
              <w:t>3.资金按进度支出，6月份达到50%，12月份达到100%。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按季度评价资金使用程度</w:t>
            </w:r>
          </w:p>
        </w:tc>
        <w:tc>
          <w:tcPr>
            <w:tcW w:w="2551" w:type="dxa"/>
            <w:vAlign w:val="center"/>
          </w:tcPr>
          <w:p>
            <w:pPr>
              <w:pStyle w:val="12"/>
            </w:pPr>
            <w:r>
              <w:t>4次</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社会影响力提升</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服务对象满意程度</w:t>
            </w:r>
          </w:p>
        </w:tc>
        <w:tc>
          <w:tcPr>
            <w:tcW w:w="2551" w:type="dxa"/>
            <w:vAlign w:val="center"/>
          </w:tcPr>
          <w:p>
            <w:pPr>
              <w:pStyle w:val="12"/>
            </w:pPr>
            <w:r>
              <w:t>≥95%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rPr>
          <w:b/>
          <w:bCs/>
          <w:sz w:val="32"/>
          <w:szCs w:val="32"/>
        </w:rPr>
      </w:pPr>
      <w:bookmarkStart w:id="14" w:name="_Toc_3_3_0000000015"/>
      <w:r>
        <w:rPr>
          <w:rFonts w:ascii="黑体" w:hAnsi="黑体" w:eastAsia="黑体" w:cs="黑体"/>
          <w:b/>
          <w:bCs/>
          <w:color w:val="000000"/>
          <w:sz w:val="32"/>
          <w:szCs w:val="32"/>
        </w:rPr>
        <w:t>六、政府采购预算情况</w:t>
      </w:r>
      <w:bookmarkEnd w:id="14"/>
    </w:p>
    <w:p>
      <w:pPr>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2023年，保定市徐水区东釜山乡人民政府安排政府采购预算0.00万元。具体内容见下表。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b/>
          <w:bCs/>
          <w:sz w:val="32"/>
          <w:szCs w:val="32"/>
        </w:rPr>
      </w:pPr>
      <w:bookmarkStart w:id="15" w:name="_Toc_3_3_0000000016"/>
      <w:r>
        <w:rPr>
          <w:rFonts w:ascii="黑体" w:hAnsi="黑体" w:eastAsia="黑体" w:cs="黑体"/>
          <w:b/>
          <w:bCs/>
          <w:color w:val="000000"/>
          <w:sz w:val="32"/>
          <w:szCs w:val="32"/>
        </w:rPr>
        <w:t>七、国有资产信息</w:t>
      </w:r>
      <w:bookmarkEnd w:id="15"/>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保定市徐水区东釜山乡人民政府（含所属单位）上年末固定资产金额为287.00329万元（详见下表）。本年度拟购置固定资产总额为</w:t>
      </w:r>
      <w:r>
        <w:rPr>
          <w:rFonts w:hint="default" w:ascii="仿宋_GB2312" w:hAnsi="仿宋_GB2312" w:eastAsia="仿宋_GB2312" w:cs="仿宋_GB2312"/>
          <w:color w:val="000000"/>
          <w:sz w:val="28"/>
          <w:szCs w:val="28"/>
          <w:lang w:val="en-US"/>
        </w:rPr>
        <w:t>25</w:t>
      </w:r>
      <w:r>
        <w:rPr>
          <w:rFonts w:hint="eastAsia" w:ascii="仿宋_GB2312" w:hAnsi="仿宋_GB2312" w:eastAsia="仿宋_GB2312" w:cs="仿宋_GB2312"/>
          <w:color w:val="000000"/>
          <w:sz w:val="28"/>
          <w:szCs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911保定市徐水区东釜山乡人民政府</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287.00329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1419</w:t>
            </w:r>
          </w:p>
        </w:tc>
        <w:tc>
          <w:tcPr>
            <w:tcW w:w="2835" w:type="dxa"/>
            <w:vAlign w:val="center"/>
          </w:tcPr>
          <w:p>
            <w:pPr>
              <w:pStyle w:val="11"/>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rPr>
                <w:rFonts w:hint="eastAsia"/>
              </w:rPr>
              <w:t>1331</w:t>
            </w:r>
          </w:p>
        </w:tc>
        <w:tc>
          <w:tcPr>
            <w:tcW w:w="2835" w:type="dxa"/>
            <w:vAlign w:val="center"/>
          </w:tcPr>
          <w:p>
            <w:pPr>
              <w:pStyle w:val="11"/>
            </w:pPr>
            <w:r>
              <w:t>6</w:t>
            </w:r>
            <w:r>
              <w:rPr>
                <w:rFonts w:hint="default"/>
                <w:lang w:val="en-US"/>
              </w:rPr>
              <w:t>3</w:t>
            </w: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7370" w:type="dxa"/>
            <w:vAlign w:val="center"/>
          </w:tcPr>
          <w:p>
            <w:pPr>
              <w:pStyle w:val="12"/>
            </w:pPr>
            <w:r>
              <w:t>2、车辆（台、辆）</w:t>
            </w:r>
          </w:p>
        </w:tc>
        <w:tc>
          <w:tcPr>
            <w:tcW w:w="2835" w:type="dxa"/>
            <w:vAlign w:val="center"/>
          </w:tcPr>
          <w:p>
            <w:pPr>
              <w:pStyle w:val="13"/>
              <w:rPr>
                <w:rFonts w:hint="eastAsia" w:eastAsia="方正书宋_GBK"/>
                <w:lang w:eastAsia="zh-CN"/>
              </w:rPr>
            </w:pPr>
            <w:r>
              <w:rPr>
                <w:rFonts w:hint="eastAsia"/>
                <w:lang w:val="en-US" w:eastAsia="zh-CN"/>
              </w:rPr>
              <w:t>6</w:t>
            </w:r>
          </w:p>
        </w:tc>
        <w:tc>
          <w:tcPr>
            <w:tcW w:w="2835" w:type="dxa"/>
            <w:vAlign w:val="center"/>
          </w:tcPr>
          <w:p>
            <w:pPr>
              <w:pStyle w:val="11"/>
              <w:rPr>
                <w:rFonts w:hint="default" w:eastAsia="方正书宋_GBK"/>
                <w:lang w:val="en-US" w:eastAsia="zh-CN"/>
              </w:rPr>
            </w:pPr>
            <w:r>
              <w:rPr>
                <w:rFonts w:hint="eastAsia"/>
                <w:lang w:val="en-US" w:eastAsia="zh-CN"/>
              </w:rPr>
              <w:t>41.47301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eastAsia" w:eastAsia="方正书宋_GBK"/>
                <w:lang w:val="en-US" w:eastAsia="zh-CN"/>
              </w:rPr>
            </w:pPr>
            <w:r>
              <w:rPr>
                <w:rFonts w:hint="eastAsia"/>
                <w:lang w:val="en-US" w:eastAsia="zh-CN"/>
              </w:rPr>
              <w:t>1</w:t>
            </w:r>
          </w:p>
        </w:tc>
        <w:tc>
          <w:tcPr>
            <w:tcW w:w="2835" w:type="dxa"/>
            <w:vAlign w:val="center"/>
          </w:tcPr>
          <w:p>
            <w:pPr>
              <w:pStyle w:val="11"/>
              <w:rPr>
                <w:rFonts w:hint="default" w:eastAsia="方正书宋_GBK"/>
                <w:lang w:val="en-US" w:eastAsia="zh-CN"/>
              </w:rPr>
            </w:pPr>
            <w:r>
              <w:rPr>
                <w:rFonts w:hint="eastAsia"/>
                <w:lang w:val="en-US" w:eastAsia="zh-CN"/>
              </w:rPr>
              <w:t>42.832119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693</w:t>
            </w:r>
          </w:p>
        </w:tc>
        <w:tc>
          <w:tcPr>
            <w:tcW w:w="2835" w:type="dxa"/>
            <w:vAlign w:val="center"/>
          </w:tcPr>
          <w:p>
            <w:pPr>
              <w:pStyle w:val="11"/>
              <w:rPr>
                <w:rFonts w:hint="default" w:eastAsia="方正书宋_GBK"/>
                <w:lang w:val="en-US" w:eastAsia="zh-CN"/>
              </w:rPr>
            </w:pPr>
            <w:r>
              <w:rPr>
                <w:rFonts w:hint="eastAsia"/>
                <w:lang w:val="en-US" w:eastAsia="zh-CN"/>
              </w:rPr>
              <w:t>134.198161</w:t>
            </w:r>
          </w:p>
        </w:tc>
      </w:tr>
    </w:tbl>
    <w:p>
      <w:pPr>
        <w:ind w:firstLine="640"/>
      </w:pPr>
      <w:r>
        <w:rPr>
          <w:rFonts w:eastAsia="方正仿宋_GBK"/>
          <w:color w:val="000000"/>
          <w:sz w:val="32"/>
        </w:rPr>
        <w:t xml:space="preserve"> </w:t>
      </w:r>
    </w:p>
    <w:p>
      <w:pPr>
        <w:spacing w:before="10" w:after="10"/>
        <w:ind w:firstLine="640"/>
        <w:outlineLvl w:val="2"/>
        <w:rPr>
          <w:b/>
          <w:bCs/>
          <w:sz w:val="32"/>
          <w:szCs w:val="32"/>
        </w:rPr>
      </w:pPr>
      <w:bookmarkStart w:id="16" w:name="_Toc_3_3_0000000017"/>
      <w:r>
        <w:rPr>
          <w:rFonts w:ascii="黑体" w:hAnsi="黑体" w:eastAsia="黑体" w:cs="黑体"/>
          <w:b/>
          <w:bCs/>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b/>
          <w:color w:val="000000"/>
          <w:sz w:val="28"/>
          <w:szCs w:val="28"/>
        </w:rPr>
        <w:t>一般公共预算拨款收入：</w:t>
      </w:r>
      <w:r>
        <w:rPr>
          <w:rFonts w:hint="eastAsia" w:ascii="仿宋_GB2312" w:hAnsi="仿宋_GB2312" w:eastAsia="仿宋_GB2312" w:cs="仿宋_GB2312"/>
          <w:color w:val="000000"/>
          <w:sz w:val="28"/>
          <w:szCs w:val="28"/>
        </w:rPr>
        <w:t>指</w:t>
      </w:r>
      <w:r>
        <w:rPr>
          <w:rFonts w:hint="eastAsia" w:ascii="仿宋_GB2312" w:hAnsi="仿宋_GB2312" w:eastAsia="仿宋_GB2312" w:cs="仿宋_GB2312"/>
          <w:color w:val="000000"/>
          <w:sz w:val="28"/>
          <w:szCs w:val="28"/>
          <w:lang w:eastAsia="zh-CN"/>
        </w:rPr>
        <w:t>区级</w:t>
      </w:r>
      <w:r>
        <w:rPr>
          <w:rFonts w:hint="eastAsia" w:ascii="仿宋_GB2312" w:hAnsi="仿宋_GB2312" w:eastAsia="仿宋_GB2312" w:cs="仿宋_GB2312"/>
          <w:color w:val="000000"/>
          <w:sz w:val="28"/>
          <w:szCs w:val="28"/>
        </w:rPr>
        <w:t>财政当年拨付的资金。</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
          <w:color w:val="000000"/>
          <w:sz w:val="28"/>
          <w:szCs w:val="28"/>
        </w:rPr>
        <w:t>事业收入：</w:t>
      </w:r>
      <w:r>
        <w:rPr>
          <w:rFonts w:hint="eastAsia" w:ascii="仿宋_GB2312" w:hAnsi="仿宋_GB2312" w:eastAsia="仿宋_GB2312" w:cs="仿宋_GB2312"/>
          <w:color w:val="000000"/>
          <w:sz w:val="28"/>
          <w:szCs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其他收入：</w:t>
      </w:r>
      <w:r>
        <w:rPr>
          <w:rFonts w:hint="eastAsia" w:ascii="仿宋_GB2312" w:hAnsi="仿宋_GB2312" w:eastAsia="仿宋_GB2312" w:cs="仿宋_GB2312"/>
          <w:color w:val="000000"/>
          <w:sz w:val="28"/>
          <w:szCs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b/>
          <w:color w:val="000000"/>
          <w:sz w:val="28"/>
          <w:szCs w:val="28"/>
        </w:rPr>
        <w:t>基本支出：</w:t>
      </w:r>
      <w:r>
        <w:rPr>
          <w:rFonts w:hint="eastAsia" w:ascii="仿宋_GB2312" w:hAnsi="仿宋_GB2312" w:eastAsia="仿宋_GB2312" w:cs="仿宋_GB2312"/>
          <w:color w:val="000000"/>
          <w:sz w:val="28"/>
          <w:szCs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b/>
          <w:color w:val="000000"/>
          <w:sz w:val="28"/>
          <w:szCs w:val="28"/>
        </w:rPr>
        <w:t>项目支出：</w:t>
      </w:r>
      <w:r>
        <w:rPr>
          <w:rFonts w:hint="eastAsia" w:ascii="仿宋_GB2312" w:hAnsi="仿宋_GB2312" w:eastAsia="仿宋_GB2312" w:cs="仿宋_GB2312"/>
          <w:color w:val="000000"/>
          <w:sz w:val="28"/>
          <w:szCs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b/>
          <w:color w:val="000000"/>
          <w:sz w:val="28"/>
          <w:szCs w:val="28"/>
        </w:rPr>
        <w:t>上缴上级支出：</w:t>
      </w:r>
      <w:r>
        <w:rPr>
          <w:rFonts w:hint="eastAsia" w:ascii="仿宋_GB2312" w:hAnsi="仿宋_GB2312" w:eastAsia="仿宋_GB2312" w:cs="仿宋_GB2312"/>
          <w:color w:val="000000"/>
          <w:sz w:val="28"/>
          <w:szCs w:val="28"/>
        </w:rPr>
        <w:t>指下级单位上缴上级的支出。</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b/>
          <w:color w:val="000000"/>
          <w:sz w:val="28"/>
          <w:szCs w:val="28"/>
        </w:rPr>
        <w:t>“三公”经费：</w:t>
      </w:r>
      <w:r>
        <w:rPr>
          <w:rFonts w:hint="eastAsia" w:ascii="仿宋_GB2312" w:hAnsi="仿宋_GB2312" w:eastAsia="仿宋_GB2312" w:cs="仿宋_GB2312"/>
          <w:color w:val="000000"/>
          <w:sz w:val="28"/>
          <w:szCs w:val="28"/>
        </w:rPr>
        <w:t>纳入</w:t>
      </w:r>
      <w:r>
        <w:rPr>
          <w:rFonts w:hint="eastAsia" w:ascii="仿宋_GB2312" w:hAnsi="仿宋_GB2312" w:eastAsia="仿宋_GB2312" w:cs="仿宋_GB2312"/>
          <w:color w:val="000000"/>
          <w:sz w:val="28"/>
          <w:szCs w:val="28"/>
          <w:lang w:eastAsia="zh-CN"/>
        </w:rPr>
        <w:t>区级</w:t>
      </w:r>
      <w:r>
        <w:rPr>
          <w:rFonts w:hint="eastAsia" w:ascii="仿宋_GB2312" w:hAnsi="仿宋_GB2312" w:eastAsia="仿宋_GB2312" w:cs="仿宋_GB2312"/>
          <w:color w:val="000000"/>
          <w:sz w:val="28"/>
          <w:szCs w:val="28"/>
        </w:rPr>
        <w:t>财政预算管理的“三公”经费，是指</w:t>
      </w:r>
      <w:r>
        <w:rPr>
          <w:rFonts w:hint="eastAsia" w:ascii="仿宋_GB2312" w:hAnsi="仿宋_GB2312" w:eastAsia="仿宋_GB2312" w:cs="仿宋_GB2312"/>
          <w:color w:val="000000"/>
          <w:sz w:val="28"/>
          <w:szCs w:val="28"/>
          <w:lang w:eastAsia="zh-CN"/>
        </w:rPr>
        <w:t>区级</w:t>
      </w:r>
      <w:r>
        <w:rPr>
          <w:rFonts w:hint="eastAsia" w:ascii="仿宋_GB2312" w:hAnsi="仿宋_GB2312" w:eastAsia="仿宋_GB2312" w:cs="仿宋_GB2312"/>
          <w:color w:val="000000"/>
          <w:sz w:val="28"/>
          <w:szCs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b/>
          <w:color w:val="000000"/>
          <w:sz w:val="28"/>
          <w:szCs w:val="28"/>
        </w:rPr>
        <w:t>机关运行费：</w:t>
      </w:r>
      <w:r>
        <w:rPr>
          <w:rFonts w:hint="eastAsia" w:ascii="仿宋_GB2312" w:hAnsi="仿宋_GB2312" w:eastAsia="仿宋_GB2312" w:cs="仿宋_GB2312"/>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b/>
          <w:color w:val="000000"/>
          <w:sz w:val="28"/>
          <w:szCs w:val="28"/>
        </w:rPr>
        <w:t>上年结转：</w:t>
      </w:r>
      <w:r>
        <w:rPr>
          <w:rFonts w:hint="eastAsia" w:ascii="仿宋_GB2312" w:hAnsi="仿宋_GB2312" w:eastAsia="仿宋_GB2312" w:cs="仿宋_GB2312"/>
          <w:color w:val="000000"/>
          <w:sz w:val="28"/>
          <w:szCs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20" w:lineRule="exact"/>
        <w:ind w:firstLine="561"/>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b/>
          <w:color w:val="000000"/>
          <w:sz w:val="28"/>
          <w:szCs w:val="28"/>
        </w:rPr>
        <w:t>事业单位经营支出：</w:t>
      </w:r>
      <w:r>
        <w:rPr>
          <w:rFonts w:hint="eastAsia" w:ascii="仿宋_GB2312" w:hAnsi="仿宋_GB2312" w:eastAsia="仿宋_GB2312" w:cs="仿宋_GB2312"/>
          <w:color w:val="000000"/>
          <w:sz w:val="28"/>
          <w:szCs w:val="28"/>
        </w:rPr>
        <w:t>指事业单位在专业业务活动及其辅助活动之外开展非独立核算经营活动发生的支出。</w:t>
      </w:r>
    </w:p>
    <w:p>
      <w:pPr>
        <w:spacing w:before="10" w:after="10"/>
        <w:ind w:firstLine="643" w:firstLineChars="200"/>
        <w:outlineLvl w:val="2"/>
        <w:rPr>
          <w:b/>
          <w:bCs/>
          <w:sz w:val="32"/>
          <w:szCs w:val="32"/>
        </w:rPr>
      </w:pPr>
      <w:bookmarkStart w:id="17" w:name="_Toc_3_3_0000000018"/>
      <w:r>
        <w:rPr>
          <w:rFonts w:ascii="黑体" w:hAnsi="黑体" w:eastAsia="黑体" w:cs="黑体"/>
          <w:b/>
          <w:bCs/>
          <w:color w:val="000000"/>
          <w:sz w:val="32"/>
          <w:szCs w:val="32"/>
        </w:rPr>
        <w:t>九、其他需要说明的事项</w:t>
      </w:r>
      <w:bookmarkEnd w:id="17"/>
    </w:p>
    <w:p>
      <w:pPr>
        <w:spacing w:line="500" w:lineRule="exact"/>
        <w:ind w:firstLine="560"/>
        <w:rPr>
          <w:rFonts w:hint="eastAsia" w:ascii="仿宋_GB2312" w:hAnsi="仿宋_GB2312" w:eastAsia="仿宋_GB2312" w:cs="仿宋_GB2312"/>
          <w:color w:val="000000"/>
          <w:sz w:val="28"/>
          <w:lang w:val="en-US" w:eastAsia="zh-CN"/>
        </w:rPr>
      </w:pPr>
      <w:r>
        <w:rPr>
          <w:rFonts w:hint="eastAsia" w:ascii="仿宋_GB2312" w:hAnsi="仿宋_GB2312" w:eastAsia="仿宋_GB2312" w:cs="仿宋_GB2312"/>
          <w:color w:val="000000"/>
          <w:sz w:val="28"/>
        </w:rPr>
        <w:t>我部门无其他</w:t>
      </w:r>
      <w:r>
        <w:rPr>
          <w:rFonts w:hint="eastAsia" w:ascii="仿宋_GB2312" w:hAnsi="仿宋_GB2312" w:eastAsia="仿宋_GB2312" w:cs="仿宋_GB2312"/>
          <w:color w:val="000000"/>
          <w:sz w:val="28"/>
          <w:lang w:val="en-US" w:eastAsia="zh-CN"/>
        </w:rPr>
        <w:t>需要说明的事项。</w:t>
      </w:r>
    </w:p>
    <w:p>
      <w:pPr>
        <w:spacing w:line="500" w:lineRule="exact"/>
        <w:ind w:firstLine="560"/>
        <w:rPr>
          <w:rFonts w:hint="eastAsia" w:ascii="仿宋_GB2312" w:hAnsi="仿宋_GB2312" w:eastAsia="仿宋_GB2312" w:cs="仿宋_GB2312"/>
          <w:color w:val="000000"/>
          <w:sz w:val="28"/>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sz w:val="24"/>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FDA68"/>
    <w:multiLevelType w:val="singleLevel"/>
    <w:tmpl w:val="9FAFDA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DC"/>
    <w:rsid w:val="00C35A78"/>
    <w:rsid w:val="00F820DC"/>
    <w:rsid w:val="02EB5557"/>
    <w:rsid w:val="046B5D9E"/>
    <w:rsid w:val="061D4115"/>
    <w:rsid w:val="0B0B342A"/>
    <w:rsid w:val="0C94235B"/>
    <w:rsid w:val="0D7C0B40"/>
    <w:rsid w:val="0DE42C9F"/>
    <w:rsid w:val="0F497635"/>
    <w:rsid w:val="15053535"/>
    <w:rsid w:val="160F623F"/>
    <w:rsid w:val="1AD62C95"/>
    <w:rsid w:val="1D842B8A"/>
    <w:rsid w:val="1DDA78C7"/>
    <w:rsid w:val="226A6584"/>
    <w:rsid w:val="236B3513"/>
    <w:rsid w:val="24FD4AAD"/>
    <w:rsid w:val="25FC7BF6"/>
    <w:rsid w:val="270D2BD4"/>
    <w:rsid w:val="2A09063E"/>
    <w:rsid w:val="2B9B5117"/>
    <w:rsid w:val="35636018"/>
    <w:rsid w:val="3ACE0108"/>
    <w:rsid w:val="3D5F508C"/>
    <w:rsid w:val="4CAB3057"/>
    <w:rsid w:val="50A90064"/>
    <w:rsid w:val="5248680B"/>
    <w:rsid w:val="537F5463"/>
    <w:rsid w:val="55781EC6"/>
    <w:rsid w:val="5B872136"/>
    <w:rsid w:val="63BD3712"/>
    <w:rsid w:val="63FC2C75"/>
    <w:rsid w:val="6A4D7596"/>
    <w:rsid w:val="6C2D746C"/>
    <w:rsid w:val="77BD4980"/>
    <w:rsid w:val="78443DE0"/>
    <w:rsid w:val="790C6480"/>
    <w:rsid w:val="7B571C68"/>
    <w:rsid w:val="7D57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2023-02-27T09:19:49Z</dcterms:created>
  <dcterms:modified xsi:type="dcterms:W3CDTF">2023-02-27T01:19:49Z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2023-02-27T09:19:57Z</dcterms:created>
  <dcterms:modified xsi:type="dcterms:W3CDTF">2023-02-27T01:19:57Z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2023-02-27T09:19:49Z</dcterms:created>
  <dcterms:modified xsi:type="dcterms:W3CDTF">2023-02-27T01:19:49Z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2023-02-27T09:19:52Z</dcterms:created>
  <dcterms:modified xsi:type="dcterms:W3CDTF">2023-02-27T01:19:52Z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2023-02-27T09:19:49Z</dcterms:created>
  <dcterms:modified xsi:type="dcterms:W3CDTF">2023-02-27T01:19:49Z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2023-02-27T09:20:06Z</dcterms:created>
  <dcterms:modified xsi:type="dcterms:W3CDTF">2023-02-27T01:20:06Z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2023-02-27T09:20:07Z</dcterms:created>
  <dcterms:modified xsi:type="dcterms:W3CDTF">2023-02-27T01:20:07Z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2023-02-27T09:19:44Z</dcterms:created>
  <dcterms:modified xsi:type="dcterms:W3CDTF">2023-02-27T01:19:44Z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2023-02-27T09:20:08Z</dcterms:created>
  <dcterms:modified xsi:type="dcterms:W3CDTF">2023-02-27T01:20:08Z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2023-02-27T09:19:50Z</dcterms:created>
  <dcterms:modified xsi:type="dcterms:W3CDTF">2023-02-27T01:19:50Z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2023-02-27T09:19:51Z</dcterms:created>
  <dcterms:modified xsi:type="dcterms:W3CDTF">2023-02-27T01:19:51Z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B9C678C-6291-43B4-BFCA-73B3FD8D3A13}">
  <ds:schemaRefs/>
</ds:datastoreItem>
</file>

<file path=customXml/itemProps10.xml><?xml version="1.0" encoding="utf-8"?>
<ds:datastoreItem xmlns:ds="http://schemas.openxmlformats.org/officeDocument/2006/customXml" ds:itemID="{D7A874E0-9444-4449-A2FC-855F8A33CF44}">
  <ds:schemaRefs/>
</ds:datastoreItem>
</file>

<file path=customXml/itemProps11.xml><?xml version="1.0" encoding="utf-8"?>
<ds:datastoreItem xmlns:ds="http://schemas.openxmlformats.org/officeDocument/2006/customXml" ds:itemID="{3C2129AE-28D6-4FD6-BC8B-729735E7CF3C}">
  <ds:schemaRefs/>
</ds:datastoreItem>
</file>

<file path=customXml/itemProps12.xml><?xml version="1.0" encoding="utf-8"?>
<ds:datastoreItem xmlns:ds="http://schemas.openxmlformats.org/officeDocument/2006/customXml" ds:itemID="{7450DF1F-D6BF-4DAB-8C02-1A7631A5D761}">
  <ds:schemaRefs/>
</ds:datastoreItem>
</file>

<file path=customXml/itemProps13.xml><?xml version="1.0" encoding="utf-8"?>
<ds:datastoreItem xmlns:ds="http://schemas.openxmlformats.org/officeDocument/2006/customXml" ds:itemID="{AC15FCE5-5A45-4E70-8AF4-ED880FF0EFA8}">
  <ds:schemaRefs/>
</ds:datastoreItem>
</file>

<file path=customXml/itemProps14.xml><?xml version="1.0" encoding="utf-8"?>
<ds:datastoreItem xmlns:ds="http://schemas.openxmlformats.org/officeDocument/2006/customXml" ds:itemID="{D2267A94-632D-47E8-B112-53922BDDB386}">
  <ds:schemaRefs/>
</ds:datastoreItem>
</file>

<file path=customXml/itemProps15.xml><?xml version="1.0" encoding="utf-8"?>
<ds:datastoreItem xmlns:ds="http://schemas.openxmlformats.org/officeDocument/2006/customXml" ds:itemID="{25FD2783-F964-49AC-A17E-1F655CFF3498}">
  <ds:schemaRefs/>
</ds:datastoreItem>
</file>

<file path=customXml/itemProps16.xml><?xml version="1.0" encoding="utf-8"?>
<ds:datastoreItem xmlns:ds="http://schemas.openxmlformats.org/officeDocument/2006/customXml" ds:itemID="{9A858950-9FE5-42F2-939F-72CD15A2AF6B}">
  <ds:schemaRefs/>
</ds:datastoreItem>
</file>

<file path=customXml/itemProps17.xml><?xml version="1.0" encoding="utf-8"?>
<ds:datastoreItem xmlns:ds="http://schemas.openxmlformats.org/officeDocument/2006/customXml" ds:itemID="{9AFB0FC3-3933-44AE-BAB0-697EEFAE3F21}">
  <ds:schemaRefs/>
</ds:datastoreItem>
</file>

<file path=customXml/itemProps18.xml><?xml version="1.0" encoding="utf-8"?>
<ds:datastoreItem xmlns:ds="http://schemas.openxmlformats.org/officeDocument/2006/customXml" ds:itemID="{EA98A0F8-3159-4DE8-82B9-88CCFE655484}">
  <ds:schemaRefs/>
</ds:datastoreItem>
</file>

<file path=customXml/itemProps19.xml><?xml version="1.0" encoding="utf-8"?>
<ds:datastoreItem xmlns:ds="http://schemas.openxmlformats.org/officeDocument/2006/customXml" ds:itemID="{78319FC1-FD73-4AB4-937D-DF8E60D78CEB}">
  <ds:schemaRefs/>
</ds:datastoreItem>
</file>

<file path=customXml/itemProps2.xml><?xml version="1.0" encoding="utf-8"?>
<ds:datastoreItem xmlns:ds="http://schemas.openxmlformats.org/officeDocument/2006/customXml" ds:itemID="{354D488B-AF76-494B-8BD8-D3146ADD2BB9}">
  <ds:schemaRefs/>
</ds:datastoreItem>
</file>

<file path=customXml/itemProps20.xml><?xml version="1.0" encoding="utf-8"?>
<ds:datastoreItem xmlns:ds="http://schemas.openxmlformats.org/officeDocument/2006/customXml" ds:itemID="{CA4D5D32-8B89-4EA3-B64C-9F098940D03A}">
  <ds:schemaRefs/>
</ds:datastoreItem>
</file>

<file path=customXml/itemProps21.xml><?xml version="1.0" encoding="utf-8"?>
<ds:datastoreItem xmlns:ds="http://schemas.openxmlformats.org/officeDocument/2006/customXml" ds:itemID="{56F704E1-ED82-4AE4-9700-CAC304407C8F}">
  <ds:schemaRefs/>
</ds:datastoreItem>
</file>

<file path=customXml/itemProps22.xml><?xml version="1.0" encoding="utf-8"?>
<ds:datastoreItem xmlns:ds="http://schemas.openxmlformats.org/officeDocument/2006/customXml" ds:itemID="{218D5954-B543-4626-9626-52775BF416B7}">
  <ds:schemaRefs/>
</ds:datastoreItem>
</file>

<file path=customXml/itemProps23.xml><?xml version="1.0" encoding="utf-8"?>
<ds:datastoreItem xmlns:ds="http://schemas.openxmlformats.org/officeDocument/2006/customXml" ds:itemID="{B3FD68B3-2E44-4761-99FE-F9407AB037A9}">
  <ds:schemaRefs/>
</ds:datastoreItem>
</file>

<file path=customXml/itemProps24.xml><?xml version="1.0" encoding="utf-8"?>
<ds:datastoreItem xmlns:ds="http://schemas.openxmlformats.org/officeDocument/2006/customXml" ds:itemID="{85E8C19C-2A67-458F-9DB6-3C4158E30B96}">
  <ds:schemaRefs/>
</ds:datastoreItem>
</file>

<file path=customXml/itemProps25.xml><?xml version="1.0" encoding="utf-8"?>
<ds:datastoreItem xmlns:ds="http://schemas.openxmlformats.org/officeDocument/2006/customXml" ds:itemID="{C7ADA58B-19C6-46E0-9E95-8C831A3169C4}">
  <ds:schemaRefs/>
</ds:datastoreItem>
</file>

<file path=customXml/itemProps26.xml><?xml version="1.0" encoding="utf-8"?>
<ds:datastoreItem xmlns:ds="http://schemas.openxmlformats.org/officeDocument/2006/customXml" ds:itemID="{37C8F7AD-B393-4B03-B578-97C80EFE1B80}">
  <ds:schemaRefs/>
</ds:datastoreItem>
</file>

<file path=customXml/itemProps27.xml><?xml version="1.0" encoding="utf-8"?>
<ds:datastoreItem xmlns:ds="http://schemas.openxmlformats.org/officeDocument/2006/customXml" ds:itemID="{C1157D76-18DF-41B5-8D9A-EA759A17F3BC}">
  <ds:schemaRefs/>
</ds:datastoreItem>
</file>

<file path=customXml/itemProps28.xml><?xml version="1.0" encoding="utf-8"?>
<ds:datastoreItem xmlns:ds="http://schemas.openxmlformats.org/officeDocument/2006/customXml" ds:itemID="{B02A1822-F686-4CBB-B363-9972D1935628}">
  <ds:schemaRefs/>
</ds:datastoreItem>
</file>

<file path=customXml/itemProps29.xml><?xml version="1.0" encoding="utf-8"?>
<ds:datastoreItem xmlns:ds="http://schemas.openxmlformats.org/officeDocument/2006/customXml" ds:itemID="{7E5B910C-9704-4243-A98D-24193A761EB4}">
  <ds:schemaRefs/>
</ds:datastoreItem>
</file>

<file path=customXml/itemProps3.xml><?xml version="1.0" encoding="utf-8"?>
<ds:datastoreItem xmlns:ds="http://schemas.openxmlformats.org/officeDocument/2006/customXml" ds:itemID="{1178F635-B9FA-4511-A316-964C21A6AB01}">
  <ds:schemaRefs/>
</ds:datastoreItem>
</file>

<file path=customXml/itemProps30.xml><?xml version="1.0" encoding="utf-8"?>
<ds:datastoreItem xmlns:ds="http://schemas.openxmlformats.org/officeDocument/2006/customXml" ds:itemID="{6AE02F7F-1460-40F7-A4DF-AC9740AD0397}">
  <ds:schemaRefs/>
</ds:datastoreItem>
</file>

<file path=customXml/itemProps31.xml><?xml version="1.0" encoding="utf-8"?>
<ds:datastoreItem xmlns:ds="http://schemas.openxmlformats.org/officeDocument/2006/customXml" ds:itemID="{14CE87AF-C096-455B-AA48-932428B01E4F}">
  <ds:schemaRefs/>
</ds:datastoreItem>
</file>

<file path=customXml/itemProps32.xml><?xml version="1.0" encoding="utf-8"?>
<ds:datastoreItem xmlns:ds="http://schemas.openxmlformats.org/officeDocument/2006/customXml" ds:itemID="{829A54C7-D330-44E7-84A8-554DA26D76F4}">
  <ds:schemaRefs/>
</ds:datastoreItem>
</file>

<file path=customXml/itemProps33.xml><?xml version="1.0" encoding="utf-8"?>
<ds:datastoreItem xmlns:ds="http://schemas.openxmlformats.org/officeDocument/2006/customXml" ds:itemID="{44EBE631-8A05-4017-BB9B-E963261B9CC6}">
  <ds:schemaRefs/>
</ds:datastoreItem>
</file>

<file path=customXml/itemProps34.xml><?xml version="1.0" encoding="utf-8"?>
<ds:datastoreItem xmlns:ds="http://schemas.openxmlformats.org/officeDocument/2006/customXml" ds:itemID="{2DFDD2A2-19C0-4E52-AC19-19FB2CBEB86E}">
  <ds:schemaRefs/>
</ds:datastoreItem>
</file>

<file path=customXml/itemProps35.xml><?xml version="1.0" encoding="utf-8"?>
<ds:datastoreItem xmlns:ds="http://schemas.openxmlformats.org/officeDocument/2006/customXml" ds:itemID="{E0BD766B-21D3-4255-9AFC-F72340B00C7F}">
  <ds:schemaRefs/>
</ds:datastoreItem>
</file>

<file path=customXml/itemProps36.xml><?xml version="1.0" encoding="utf-8"?>
<ds:datastoreItem xmlns:ds="http://schemas.openxmlformats.org/officeDocument/2006/customXml" ds:itemID="{CA648751-67BC-4C2B-A61C-033D468C8602}">
  <ds:schemaRefs/>
</ds:datastoreItem>
</file>

<file path=customXml/itemProps37.xml><?xml version="1.0" encoding="utf-8"?>
<ds:datastoreItem xmlns:ds="http://schemas.openxmlformats.org/officeDocument/2006/customXml" ds:itemID="{7FBACBE8-FEAE-4CBB-8185-F977557F8E76}">
  <ds:schemaRefs/>
</ds:datastoreItem>
</file>

<file path=customXml/itemProps38.xml><?xml version="1.0" encoding="utf-8"?>
<ds:datastoreItem xmlns:ds="http://schemas.openxmlformats.org/officeDocument/2006/customXml" ds:itemID="{F706FC05-CB45-4004-9015-88383EA7EEDF}">
  <ds:schemaRefs/>
</ds:datastoreItem>
</file>

<file path=customXml/itemProps39.xml><?xml version="1.0" encoding="utf-8"?>
<ds:datastoreItem xmlns:ds="http://schemas.openxmlformats.org/officeDocument/2006/customXml" ds:itemID="{BC0FBBE1-121E-49D2-92C5-C51B89487C40}">
  <ds:schemaRefs/>
</ds:datastoreItem>
</file>

<file path=customXml/itemProps4.xml><?xml version="1.0" encoding="utf-8"?>
<ds:datastoreItem xmlns:ds="http://schemas.openxmlformats.org/officeDocument/2006/customXml" ds:itemID="{9CCCD393-E81D-4D92-BD0A-CAE33834EF98}">
  <ds:schemaRefs/>
</ds:datastoreItem>
</file>

<file path=customXml/itemProps40.xml><?xml version="1.0" encoding="utf-8"?>
<ds:datastoreItem xmlns:ds="http://schemas.openxmlformats.org/officeDocument/2006/customXml" ds:itemID="{E790903B-04BB-4826-82AD-B561B164DCAF}">
  <ds:schemaRefs/>
</ds:datastoreItem>
</file>

<file path=customXml/itemProps41.xml><?xml version="1.0" encoding="utf-8"?>
<ds:datastoreItem xmlns:ds="http://schemas.openxmlformats.org/officeDocument/2006/customXml" ds:itemID="{1C95A17F-CFE1-4139-B183-3B96BD26A0C2}">
  <ds:schemaRefs/>
</ds:datastoreItem>
</file>

<file path=customXml/itemProps42.xml><?xml version="1.0" encoding="utf-8"?>
<ds:datastoreItem xmlns:ds="http://schemas.openxmlformats.org/officeDocument/2006/customXml" ds:itemID="{62AEEE43-FB2A-459F-A001-EC6553B0F8DB}">
  <ds:schemaRefs/>
</ds:datastoreItem>
</file>

<file path=customXml/itemProps43.xml><?xml version="1.0" encoding="utf-8"?>
<ds:datastoreItem xmlns:ds="http://schemas.openxmlformats.org/officeDocument/2006/customXml" ds:itemID="{685849F0-9DDF-40B3-BFC0-3D9A641D36D0}">
  <ds:schemaRefs/>
</ds:datastoreItem>
</file>

<file path=customXml/itemProps44.xml><?xml version="1.0" encoding="utf-8"?>
<ds:datastoreItem xmlns:ds="http://schemas.openxmlformats.org/officeDocument/2006/customXml" ds:itemID="{5F019BA7-4407-4A3F-8C16-4C40E0C7D490}">
  <ds:schemaRefs/>
</ds:datastoreItem>
</file>

<file path=customXml/itemProps45.xml><?xml version="1.0" encoding="utf-8"?>
<ds:datastoreItem xmlns:ds="http://schemas.openxmlformats.org/officeDocument/2006/customXml" ds:itemID="{2B30786E-515C-4142-AFC9-61898DEC7272}">
  <ds:schemaRefs/>
</ds:datastoreItem>
</file>

<file path=customXml/itemProps46.xml><?xml version="1.0" encoding="utf-8"?>
<ds:datastoreItem xmlns:ds="http://schemas.openxmlformats.org/officeDocument/2006/customXml" ds:itemID="{6775D5DA-0FEB-43C7-B191-8F926694D004}">
  <ds:schemaRefs/>
</ds:datastoreItem>
</file>

<file path=customXml/itemProps47.xml><?xml version="1.0" encoding="utf-8"?>
<ds:datastoreItem xmlns:ds="http://schemas.openxmlformats.org/officeDocument/2006/customXml" ds:itemID="{0A76FE38-5AF9-4CF8-97CB-6A254DCA70EE}">
  <ds:schemaRefs/>
</ds:datastoreItem>
</file>

<file path=customXml/itemProps48.xml><?xml version="1.0" encoding="utf-8"?>
<ds:datastoreItem xmlns:ds="http://schemas.openxmlformats.org/officeDocument/2006/customXml" ds:itemID="{6ECD1CA7-8A47-434B-9ED0-0C93BD4C5852}">
  <ds:schemaRefs/>
</ds:datastoreItem>
</file>

<file path=customXml/itemProps49.xml><?xml version="1.0" encoding="utf-8"?>
<ds:datastoreItem xmlns:ds="http://schemas.openxmlformats.org/officeDocument/2006/customXml" ds:itemID="{854305A9-4C8F-4761-97EC-371013F6970C}">
  <ds:schemaRefs/>
</ds:datastoreItem>
</file>

<file path=customXml/itemProps5.xml><?xml version="1.0" encoding="utf-8"?>
<ds:datastoreItem xmlns:ds="http://schemas.openxmlformats.org/officeDocument/2006/customXml" ds:itemID="{D70379EB-B4E7-4CFD-9CCA-FD5929857B87}">
  <ds:schemaRefs/>
</ds:datastoreItem>
</file>

<file path=customXml/itemProps50.xml><?xml version="1.0" encoding="utf-8"?>
<ds:datastoreItem xmlns:ds="http://schemas.openxmlformats.org/officeDocument/2006/customXml" ds:itemID="{D16888B9-09F4-4995-AA51-91FFD7C71707}">
  <ds:schemaRefs/>
</ds:datastoreItem>
</file>

<file path=customXml/itemProps51.xml><?xml version="1.0" encoding="utf-8"?>
<ds:datastoreItem xmlns:ds="http://schemas.openxmlformats.org/officeDocument/2006/customXml" ds:itemID="{279466FA-14C1-45C3-84A0-13CB21D389C8}">
  <ds:schemaRefs/>
</ds:datastoreItem>
</file>

<file path=customXml/itemProps52.xml><?xml version="1.0" encoding="utf-8"?>
<ds:datastoreItem xmlns:ds="http://schemas.openxmlformats.org/officeDocument/2006/customXml" ds:itemID="{8D99193F-3882-47E1-AFF8-1CA17765E9C1}">
  <ds:schemaRefs/>
</ds:datastoreItem>
</file>

<file path=customXml/itemProps53.xml><?xml version="1.0" encoding="utf-8"?>
<ds:datastoreItem xmlns:ds="http://schemas.openxmlformats.org/officeDocument/2006/customXml" ds:itemID="{72741B14-0FA9-4853-9188-F2398072A047}">
  <ds:schemaRefs/>
</ds:datastoreItem>
</file>

<file path=customXml/itemProps54.xml><?xml version="1.0" encoding="utf-8"?>
<ds:datastoreItem xmlns:ds="http://schemas.openxmlformats.org/officeDocument/2006/customXml" ds:itemID="{AD49C3E7-C6E0-48B4-8854-F9C40A5B9551}">
  <ds:schemaRefs/>
</ds:datastoreItem>
</file>

<file path=customXml/itemProps55.xml><?xml version="1.0" encoding="utf-8"?>
<ds:datastoreItem xmlns:ds="http://schemas.openxmlformats.org/officeDocument/2006/customXml" ds:itemID="{BEAE956E-1112-4182-A915-E62ADC29538D}">
  <ds:schemaRefs/>
</ds:datastoreItem>
</file>

<file path=customXml/itemProps56.xml><?xml version="1.0" encoding="utf-8"?>
<ds:datastoreItem xmlns:ds="http://schemas.openxmlformats.org/officeDocument/2006/customXml" ds:itemID="{2590BAFE-AEF8-4199-92C1-895E2D1E96AC}">
  <ds:schemaRefs/>
</ds:datastoreItem>
</file>

<file path=customXml/itemProps57.xml><?xml version="1.0" encoding="utf-8"?>
<ds:datastoreItem xmlns:ds="http://schemas.openxmlformats.org/officeDocument/2006/customXml" ds:itemID="{29CE8C40-4DF2-4114-9372-6112DCCDE95A}">
  <ds:schemaRefs/>
</ds:datastoreItem>
</file>

<file path=customXml/itemProps58.xml><?xml version="1.0" encoding="utf-8"?>
<ds:datastoreItem xmlns:ds="http://schemas.openxmlformats.org/officeDocument/2006/customXml" ds:itemID="{FBEB882C-0C21-40D7-9C6E-042700429A62}">
  <ds:schemaRefs/>
</ds:datastoreItem>
</file>

<file path=customXml/itemProps59.xml><?xml version="1.0" encoding="utf-8"?>
<ds:datastoreItem xmlns:ds="http://schemas.openxmlformats.org/officeDocument/2006/customXml" ds:itemID="{204F4A19-ED4B-48A2-8BA6-53072A3E37D9}">
  <ds:schemaRefs/>
</ds:datastoreItem>
</file>

<file path=customXml/itemProps6.xml><?xml version="1.0" encoding="utf-8"?>
<ds:datastoreItem xmlns:ds="http://schemas.openxmlformats.org/officeDocument/2006/customXml" ds:itemID="{95EE1B96-8BD1-48D5-8388-65B1821C2E18}">
  <ds:schemaRefs/>
</ds:datastoreItem>
</file>

<file path=customXml/itemProps60.xml><?xml version="1.0" encoding="utf-8"?>
<ds:datastoreItem xmlns:ds="http://schemas.openxmlformats.org/officeDocument/2006/customXml" ds:itemID="{E4A016E4-BDA0-47E2-BCFB-3C92358F9057}">
  <ds:schemaRefs/>
</ds:datastoreItem>
</file>

<file path=customXml/itemProps61.xml><?xml version="1.0" encoding="utf-8"?>
<ds:datastoreItem xmlns:ds="http://schemas.openxmlformats.org/officeDocument/2006/customXml" ds:itemID="{877F963B-1D1D-44D6-9E01-44FEE91320D0}">
  <ds:schemaRefs/>
</ds:datastoreItem>
</file>

<file path=customXml/itemProps62.xml><?xml version="1.0" encoding="utf-8"?>
<ds:datastoreItem xmlns:ds="http://schemas.openxmlformats.org/officeDocument/2006/customXml" ds:itemID="{AEF0EEE4-D20D-4AFD-97C4-C3D49BF150A8}">
  <ds:schemaRefs/>
</ds:datastoreItem>
</file>

<file path=customXml/itemProps63.xml><?xml version="1.0" encoding="utf-8"?>
<ds:datastoreItem xmlns:ds="http://schemas.openxmlformats.org/officeDocument/2006/customXml" ds:itemID="{CE9B354A-DE1B-4F48-BCCF-AF30C37E7F00}">
  <ds:schemaRefs/>
</ds:datastoreItem>
</file>

<file path=customXml/itemProps64.xml><?xml version="1.0" encoding="utf-8"?>
<ds:datastoreItem xmlns:ds="http://schemas.openxmlformats.org/officeDocument/2006/customXml" ds:itemID="{84125454-FA19-4AB7-83B5-C0942F753B4B}">
  <ds:schemaRefs/>
</ds:datastoreItem>
</file>

<file path=customXml/itemProps65.xml><?xml version="1.0" encoding="utf-8"?>
<ds:datastoreItem xmlns:ds="http://schemas.openxmlformats.org/officeDocument/2006/customXml" ds:itemID="{0641CE08-13D3-43F4-8094-5F9FF477E5F2}">
  <ds:schemaRefs/>
</ds:datastoreItem>
</file>

<file path=customXml/itemProps66.xml><?xml version="1.0" encoding="utf-8"?>
<ds:datastoreItem xmlns:ds="http://schemas.openxmlformats.org/officeDocument/2006/customXml" ds:itemID="{77F5BE89-E723-4A25-B0DA-2F755FA0F0D5}">
  <ds:schemaRefs/>
</ds:datastoreItem>
</file>

<file path=customXml/itemProps67.xml><?xml version="1.0" encoding="utf-8"?>
<ds:datastoreItem xmlns:ds="http://schemas.openxmlformats.org/officeDocument/2006/customXml" ds:itemID="{6373E69C-071A-4A9F-BAE2-E82ECE0CB60F}">
  <ds:schemaRefs/>
</ds:datastoreItem>
</file>

<file path=customXml/itemProps68.xml><?xml version="1.0" encoding="utf-8"?>
<ds:datastoreItem xmlns:ds="http://schemas.openxmlformats.org/officeDocument/2006/customXml" ds:itemID="{93339934-BCF9-4958-BE7B-99E0F2C6BB5A}">
  <ds:schemaRefs/>
</ds:datastoreItem>
</file>

<file path=customXml/itemProps69.xml><?xml version="1.0" encoding="utf-8"?>
<ds:datastoreItem xmlns:ds="http://schemas.openxmlformats.org/officeDocument/2006/customXml" ds:itemID="{4E542908-BDDA-464E-A146-D34261D2B347}">
  <ds:schemaRefs/>
</ds:datastoreItem>
</file>

<file path=customXml/itemProps7.xml><?xml version="1.0" encoding="utf-8"?>
<ds:datastoreItem xmlns:ds="http://schemas.openxmlformats.org/officeDocument/2006/customXml" ds:itemID="{401C0206-A468-4EAB-8916-310EB9A6A1E1}">
  <ds:schemaRefs/>
</ds:datastoreItem>
</file>

<file path=customXml/itemProps70.xml><?xml version="1.0" encoding="utf-8"?>
<ds:datastoreItem xmlns:ds="http://schemas.openxmlformats.org/officeDocument/2006/customXml" ds:itemID="{EEA41B12-C990-4E25-85EF-8D6368523697}">
  <ds:schemaRefs/>
</ds:datastoreItem>
</file>

<file path=customXml/itemProps71.xml><?xml version="1.0" encoding="utf-8"?>
<ds:datastoreItem xmlns:ds="http://schemas.openxmlformats.org/officeDocument/2006/customXml" ds:itemID="{73765DF9-42E7-4864-A9B1-75D55BDAD21C}">
  <ds:schemaRefs/>
</ds:datastoreItem>
</file>

<file path=customXml/itemProps72.xml><?xml version="1.0" encoding="utf-8"?>
<ds:datastoreItem xmlns:ds="http://schemas.openxmlformats.org/officeDocument/2006/customXml" ds:itemID="{789EF8B3-6640-460A-AF12-149FE28189B4}">
  <ds:schemaRefs/>
</ds:datastoreItem>
</file>

<file path=customXml/itemProps73.xml><?xml version="1.0" encoding="utf-8"?>
<ds:datastoreItem xmlns:ds="http://schemas.openxmlformats.org/officeDocument/2006/customXml" ds:itemID="{2E2AF054-0FD7-45BB-8E30-900C4D3DB1EC}">
  <ds:schemaRefs/>
</ds:datastoreItem>
</file>

<file path=customXml/itemProps74.xml><?xml version="1.0" encoding="utf-8"?>
<ds:datastoreItem xmlns:ds="http://schemas.openxmlformats.org/officeDocument/2006/customXml" ds:itemID="{64CED9D7-B8D5-422D-8910-F976679038C3}">
  <ds:schemaRefs/>
</ds:datastoreItem>
</file>

<file path=customXml/itemProps75.xml><?xml version="1.0" encoding="utf-8"?>
<ds:datastoreItem xmlns:ds="http://schemas.openxmlformats.org/officeDocument/2006/customXml" ds:itemID="{A386F51D-C7D0-4F65-A48C-1C586095219A}">
  <ds:schemaRefs/>
</ds:datastoreItem>
</file>

<file path=customXml/itemProps76.xml><?xml version="1.0" encoding="utf-8"?>
<ds:datastoreItem xmlns:ds="http://schemas.openxmlformats.org/officeDocument/2006/customXml" ds:itemID="{42745DBA-908C-4106-B081-3B7F4D758B53}">
  <ds:schemaRefs/>
</ds:datastoreItem>
</file>

<file path=customXml/itemProps77.xml><?xml version="1.0" encoding="utf-8"?>
<ds:datastoreItem xmlns:ds="http://schemas.openxmlformats.org/officeDocument/2006/customXml" ds:itemID="{63105394-4618-41FF-B350-D68D3E440DA6}">
  <ds:schemaRefs/>
</ds:datastoreItem>
</file>

<file path=customXml/itemProps78.xml><?xml version="1.0" encoding="utf-8"?>
<ds:datastoreItem xmlns:ds="http://schemas.openxmlformats.org/officeDocument/2006/customXml" ds:itemID="{C7D535A1-2E01-46D4-AAF7-7DC5F11EC897}">
  <ds:schemaRefs/>
</ds:datastoreItem>
</file>

<file path=customXml/itemProps79.xml><?xml version="1.0" encoding="utf-8"?>
<ds:datastoreItem xmlns:ds="http://schemas.openxmlformats.org/officeDocument/2006/customXml" ds:itemID="{0DCD0E50-3657-4AE9-8DC4-8508309573FA}">
  <ds:schemaRefs/>
</ds:datastoreItem>
</file>

<file path=customXml/itemProps8.xml><?xml version="1.0" encoding="utf-8"?>
<ds:datastoreItem xmlns:ds="http://schemas.openxmlformats.org/officeDocument/2006/customXml" ds:itemID="{22ACE9BA-93A3-4392-B4A7-5DD46B35269D}">
  <ds:schemaRefs/>
</ds:datastoreItem>
</file>

<file path=customXml/itemProps80.xml><?xml version="1.0" encoding="utf-8"?>
<ds:datastoreItem xmlns:ds="http://schemas.openxmlformats.org/officeDocument/2006/customXml" ds:itemID="{71A9170D-DB78-496D-BDA7-C38D02D30DA2}">
  <ds:schemaRefs/>
</ds:datastoreItem>
</file>

<file path=customXml/itemProps81.xml><?xml version="1.0" encoding="utf-8"?>
<ds:datastoreItem xmlns:ds="http://schemas.openxmlformats.org/officeDocument/2006/customXml" ds:itemID="{1E0B269D-4208-4916-B307-B6FC740EF43E}">
  <ds:schemaRefs/>
</ds:datastoreItem>
</file>

<file path=customXml/itemProps82.xml><?xml version="1.0" encoding="utf-8"?>
<ds:datastoreItem xmlns:ds="http://schemas.openxmlformats.org/officeDocument/2006/customXml" ds:itemID="{C066C182-08A1-414D-BB19-6A4BAB4CE3FA}">
  <ds:schemaRefs/>
</ds:datastoreItem>
</file>

<file path=customXml/itemProps83.xml><?xml version="1.0" encoding="utf-8"?>
<ds:datastoreItem xmlns:ds="http://schemas.openxmlformats.org/officeDocument/2006/customXml" ds:itemID="{049B5F18-12DA-493E-BFB4-F0DCBDCE8B85}">
  <ds:schemaRefs/>
</ds:datastoreItem>
</file>

<file path=customXml/itemProps84.xml><?xml version="1.0" encoding="utf-8"?>
<ds:datastoreItem xmlns:ds="http://schemas.openxmlformats.org/officeDocument/2006/customXml" ds:itemID="{9CB95194-5D3D-4377-A9C9-C9BE71144BC5}">
  <ds:schemaRefs/>
</ds:datastoreItem>
</file>

<file path=customXml/itemProps85.xml><?xml version="1.0" encoding="utf-8"?>
<ds:datastoreItem xmlns:ds="http://schemas.openxmlformats.org/officeDocument/2006/customXml" ds:itemID="{C648B057-D6D9-4BD8-AC77-D2A369B45982}">
  <ds:schemaRefs/>
</ds:datastoreItem>
</file>

<file path=customXml/itemProps86.xml><?xml version="1.0" encoding="utf-8"?>
<ds:datastoreItem xmlns:ds="http://schemas.openxmlformats.org/officeDocument/2006/customXml" ds:itemID="{6FE5E72A-2B13-418B-9131-CB00636C484F}">
  <ds:schemaRefs/>
</ds:datastoreItem>
</file>

<file path=customXml/itemProps87.xml><?xml version="1.0" encoding="utf-8"?>
<ds:datastoreItem xmlns:ds="http://schemas.openxmlformats.org/officeDocument/2006/customXml" ds:itemID="{0C5AB3F1-A84C-4CAC-A7AA-85CA7E9887E3}">
  <ds:schemaRefs/>
</ds:datastoreItem>
</file>

<file path=customXml/itemProps88.xml><?xml version="1.0" encoding="utf-8"?>
<ds:datastoreItem xmlns:ds="http://schemas.openxmlformats.org/officeDocument/2006/customXml" ds:itemID="{5DF5506B-58EE-4566-B6B3-6B003D0970CF}">
  <ds:schemaRefs/>
</ds:datastoreItem>
</file>

<file path=customXml/itemProps89.xml><?xml version="1.0" encoding="utf-8"?>
<ds:datastoreItem xmlns:ds="http://schemas.openxmlformats.org/officeDocument/2006/customXml" ds:itemID="{FCAE5AB0-49EA-4160-ACD3-F2F1E8F9FB14}">
  <ds:schemaRefs/>
</ds:datastoreItem>
</file>

<file path=customXml/itemProps9.xml><?xml version="1.0" encoding="utf-8"?>
<ds:datastoreItem xmlns:ds="http://schemas.openxmlformats.org/officeDocument/2006/customXml" ds:itemID="{69338BAE-9AB2-4809-8C37-0407B13A4E91}">
  <ds:schemaRefs/>
</ds:datastoreItem>
</file>

<file path=customXml/itemProps90.xml><?xml version="1.0" encoding="utf-8"?>
<ds:datastoreItem xmlns:ds="http://schemas.openxmlformats.org/officeDocument/2006/customXml" ds:itemID="{B00416A4-D71F-4BED-BB2A-404AFA366ED5}">
  <ds:schemaRefs/>
</ds:datastoreItem>
</file>

<file path=customXml/itemProps91.xml><?xml version="1.0" encoding="utf-8"?>
<ds:datastoreItem xmlns:ds="http://schemas.openxmlformats.org/officeDocument/2006/customXml" ds:itemID="{E02B4EBA-CECB-4E87-BA60-4A6D9404B46C}">
  <ds:schemaRefs/>
</ds:datastoreItem>
</file>

<file path=customXml/itemProps92.xml><?xml version="1.0" encoding="utf-8"?>
<ds:datastoreItem xmlns:ds="http://schemas.openxmlformats.org/officeDocument/2006/customXml" ds:itemID="{9EBE4AAE-7068-45B1-8C5F-4972B42D1AD6}">
  <ds:schemaRefs/>
</ds:datastoreItem>
</file>

<file path=customXml/itemProps93.xml><?xml version="1.0" encoding="utf-8"?>
<ds:datastoreItem xmlns:ds="http://schemas.openxmlformats.org/officeDocument/2006/customXml" ds:itemID="{C546E9B5-91FA-4B55-82F8-AB624D4B69FC}">
  <ds:schemaRefs/>
</ds:datastoreItem>
</file>

<file path=customXml/itemProps94.xml><?xml version="1.0" encoding="utf-8"?>
<ds:datastoreItem xmlns:ds="http://schemas.openxmlformats.org/officeDocument/2006/customXml" ds:itemID="{1442932B-745F-4200-A1ED-FD4F72FB92D7}">
  <ds:schemaRefs/>
</ds:datastoreItem>
</file>

<file path=docProps/app.xml><?xml version="1.0" encoding="utf-8"?>
<Properties xmlns="http://schemas.openxmlformats.org/officeDocument/2006/extended-properties" xmlns:vt="http://schemas.openxmlformats.org/officeDocument/2006/docPropsVTypes">
  <Template>Normal.dotm</Template>
  <Pages>99</Pages>
  <Words>7190</Words>
  <Characters>40989</Characters>
  <Lines>341</Lines>
  <Paragraphs>96</Paragraphs>
  <TotalTime>1110</TotalTime>
  <ScaleCrop>false</ScaleCrop>
  <LinksUpToDate>false</LinksUpToDate>
  <CharactersWithSpaces>48083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2023-02-27T01:23:00Z</dcterms:created>
  <dc:creator>Administrator</dc:creator>
  <cp:lastModifiedBy>FuShanOffice1</cp:lastModifiedBy>
  <dcterms:modified xsi:type="dcterms:W3CDTF">2024-10-22T01:17:27Z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FF521578ACD649D3829BB2DD03335DBF</vt:lpwstr>
  </property>
</Properties>
</file>