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ascii="方正小标宋_GBK" w:hAnsi="方正小标宋_GBK" w:cs="方正小标宋_GBK" w:eastAsiaTheme="minorEastAsia"/>
          <w:color w:val="000000"/>
          <w:sz w:val="44"/>
          <w:lang w:eastAsia="zh-CN"/>
        </w:rPr>
      </w:pPr>
    </w:p>
    <w:p>
      <w:pPr>
        <w:jc w:val="center"/>
        <w:rPr>
          <w:rFonts w:hint="eastAsia" w:eastAsiaTheme="minorEastAsia"/>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122.32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19132.69</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r>
              <w:t>102.65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19255.02</w:t>
            </w:r>
          </w:p>
        </w:tc>
        <w:tc>
          <w:tcPr>
            <w:tcW w:w="4535" w:type="dxa"/>
            <w:vAlign w:val="center"/>
          </w:tcPr>
          <w:p>
            <w:pPr>
              <w:pStyle w:val="18"/>
            </w:pPr>
            <w:r>
              <w:t>本年支出合计</w:t>
            </w:r>
          </w:p>
        </w:tc>
        <w:tc>
          <w:tcPr>
            <w:tcW w:w="2126" w:type="dxa"/>
            <w:vAlign w:val="center"/>
          </w:tcPr>
          <w:p>
            <w:pPr>
              <w:pStyle w:val="19"/>
            </w:pPr>
            <w:r>
              <w:t>19255.02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19255.02</w:t>
            </w:r>
          </w:p>
        </w:tc>
        <w:tc>
          <w:tcPr>
            <w:tcW w:w="4535" w:type="dxa"/>
            <w:vAlign w:val="center"/>
          </w:tcPr>
          <w:p>
            <w:pPr>
              <w:pStyle w:val="18"/>
            </w:pPr>
            <w:r>
              <w:t>支出总计</w:t>
            </w:r>
          </w:p>
        </w:tc>
        <w:tc>
          <w:tcPr>
            <w:tcW w:w="2126" w:type="dxa"/>
            <w:vAlign w:val="center"/>
          </w:tcPr>
          <w:p>
            <w:pPr>
              <w:pStyle w:val="19"/>
            </w:pPr>
            <w:r>
              <w:t>19255.02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19255.02</w:t>
            </w:r>
          </w:p>
        </w:tc>
        <w:tc>
          <w:tcPr>
            <w:tcW w:w="1134" w:type="dxa"/>
            <w:vAlign w:val="center"/>
          </w:tcPr>
          <w:p>
            <w:pPr>
              <w:pStyle w:val="19"/>
            </w:pPr>
            <w:r>
              <w:t>19255.02</w:t>
            </w:r>
          </w:p>
        </w:tc>
        <w:tc>
          <w:tcPr>
            <w:tcW w:w="1134" w:type="dxa"/>
            <w:vAlign w:val="center"/>
          </w:tcPr>
          <w:p>
            <w:pPr>
              <w:pStyle w:val="19"/>
            </w:pPr>
            <w:r>
              <w:t>19255.01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2120802</w:t>
            </w:r>
          </w:p>
        </w:tc>
        <w:tc>
          <w:tcPr>
            <w:tcW w:w="1559" w:type="dxa"/>
            <w:vAlign w:val="center"/>
          </w:tcPr>
          <w:p>
            <w:pPr>
              <w:pStyle w:val="16"/>
            </w:pPr>
            <w:r>
              <w:t>土地开发支出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217</w:t>
            </w:r>
          </w:p>
        </w:tc>
        <w:tc>
          <w:tcPr>
            <w:tcW w:w="1559" w:type="dxa"/>
            <w:vAlign w:val="center"/>
          </w:tcPr>
          <w:p>
            <w:pPr>
              <w:pStyle w:val="16"/>
            </w:pPr>
            <w:r>
              <w:t>金融支出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21701</w:t>
            </w:r>
          </w:p>
        </w:tc>
        <w:tc>
          <w:tcPr>
            <w:tcW w:w="1559" w:type="dxa"/>
            <w:vAlign w:val="center"/>
          </w:tcPr>
          <w:p>
            <w:pPr>
              <w:pStyle w:val="16"/>
            </w:pPr>
            <w:r>
              <w:t>金融部门行政支出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2170101</w:t>
            </w:r>
          </w:p>
        </w:tc>
        <w:tc>
          <w:tcPr>
            <w:tcW w:w="1559" w:type="dxa"/>
            <w:vAlign w:val="center"/>
          </w:tcPr>
          <w:p>
            <w:pPr>
              <w:pStyle w:val="16"/>
            </w:pPr>
            <w:r>
              <w:t>行政运行</w:t>
            </w:r>
          </w:p>
        </w:tc>
        <w:tc>
          <w:tcPr>
            <w:tcW w:w="1134" w:type="dxa"/>
            <w:vAlign w:val="center"/>
          </w:tcPr>
          <w:p>
            <w:pPr>
              <w:pStyle w:val="15"/>
            </w:pPr>
            <w:r>
              <w:t>90.05</w:t>
            </w:r>
          </w:p>
        </w:tc>
        <w:tc>
          <w:tcPr>
            <w:tcW w:w="1134" w:type="dxa"/>
            <w:vAlign w:val="center"/>
          </w:tcPr>
          <w:p>
            <w:pPr>
              <w:pStyle w:val="15"/>
            </w:pPr>
            <w:r>
              <w:t>90.05</w:t>
            </w:r>
          </w:p>
        </w:tc>
        <w:tc>
          <w:tcPr>
            <w:tcW w:w="1134" w:type="dxa"/>
            <w:vAlign w:val="center"/>
          </w:tcPr>
          <w:p>
            <w:pPr>
              <w:pStyle w:val="15"/>
            </w:pPr>
            <w:r>
              <w:t>90.04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2170102</w:t>
            </w:r>
          </w:p>
        </w:tc>
        <w:tc>
          <w:tcPr>
            <w:tcW w:w="1559" w:type="dxa"/>
            <w:vAlign w:val="center"/>
          </w:tcPr>
          <w:p>
            <w:pPr>
              <w:pStyle w:val="16"/>
            </w:pPr>
            <w:r>
              <w:t>一般行政管理事务</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19255.02</w:t>
            </w:r>
          </w:p>
        </w:tc>
        <w:tc>
          <w:tcPr>
            <w:tcW w:w="1361" w:type="dxa"/>
            <w:vAlign w:val="center"/>
          </w:tcPr>
          <w:p>
            <w:pPr>
              <w:pStyle w:val="19"/>
            </w:pPr>
            <w:r>
              <w:t>109.72</w:t>
            </w:r>
          </w:p>
        </w:tc>
        <w:tc>
          <w:tcPr>
            <w:tcW w:w="1361" w:type="dxa"/>
            <w:vAlign w:val="center"/>
          </w:tcPr>
          <w:p>
            <w:pPr>
              <w:pStyle w:val="19"/>
            </w:pPr>
            <w:r>
              <w:t>19145.30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2120802</w:t>
            </w:r>
          </w:p>
        </w:tc>
        <w:tc>
          <w:tcPr>
            <w:tcW w:w="4535" w:type="dxa"/>
            <w:vAlign w:val="center"/>
          </w:tcPr>
          <w:p>
            <w:pPr>
              <w:pStyle w:val="16"/>
            </w:pPr>
            <w:r>
              <w:t>土地开发支出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217</w:t>
            </w:r>
          </w:p>
        </w:tc>
        <w:tc>
          <w:tcPr>
            <w:tcW w:w="4535" w:type="dxa"/>
            <w:vAlign w:val="center"/>
          </w:tcPr>
          <w:p>
            <w:pPr>
              <w:pStyle w:val="16"/>
            </w:pPr>
            <w:r>
              <w:t>金融支出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21701</w:t>
            </w:r>
          </w:p>
        </w:tc>
        <w:tc>
          <w:tcPr>
            <w:tcW w:w="4535" w:type="dxa"/>
            <w:vAlign w:val="center"/>
          </w:tcPr>
          <w:p>
            <w:pPr>
              <w:pStyle w:val="16"/>
            </w:pPr>
            <w:r>
              <w:t>金融部门行政支出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2170101</w:t>
            </w:r>
          </w:p>
        </w:tc>
        <w:tc>
          <w:tcPr>
            <w:tcW w:w="4535" w:type="dxa"/>
            <w:vAlign w:val="center"/>
          </w:tcPr>
          <w:p>
            <w:pPr>
              <w:pStyle w:val="16"/>
            </w:pPr>
            <w:r>
              <w:t>行政运行</w:t>
            </w:r>
          </w:p>
        </w:tc>
        <w:tc>
          <w:tcPr>
            <w:tcW w:w="1361" w:type="dxa"/>
            <w:vAlign w:val="center"/>
          </w:tcPr>
          <w:p>
            <w:pPr>
              <w:pStyle w:val="15"/>
            </w:pPr>
            <w:r>
              <w:t>90.05</w:t>
            </w:r>
          </w:p>
        </w:tc>
        <w:tc>
          <w:tcPr>
            <w:tcW w:w="1361" w:type="dxa"/>
            <w:vAlign w:val="center"/>
          </w:tcPr>
          <w:p>
            <w:pPr>
              <w:pStyle w:val="15"/>
            </w:pPr>
            <w:r>
              <w:t>90.04</w:t>
            </w:r>
          </w:p>
        </w:tc>
        <w:tc>
          <w:tcPr>
            <w:tcW w:w="1361" w:type="dxa"/>
            <w:vAlign w:val="center"/>
          </w:tcPr>
          <w:p>
            <w:pPr>
              <w:pStyle w:val="15"/>
            </w:pPr>
            <w:r>
              <w:t>0.01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2170102</w:t>
            </w:r>
          </w:p>
        </w:tc>
        <w:tc>
          <w:tcPr>
            <w:tcW w:w="4535" w:type="dxa"/>
            <w:vAlign w:val="center"/>
          </w:tcPr>
          <w:p>
            <w:pPr>
              <w:pStyle w:val="16"/>
            </w:pPr>
            <w:r>
              <w:t>一般行政管理事务</w:t>
            </w: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122.32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19132.69</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9.14</w:t>
            </w:r>
          </w:p>
        </w:tc>
        <w:tc>
          <w:tcPr>
            <w:tcW w:w="1474" w:type="dxa"/>
            <w:vAlign w:val="center"/>
          </w:tcPr>
          <w:p>
            <w:pPr>
              <w:pStyle w:val="15"/>
            </w:pPr>
            <w:r>
              <w:t>9.14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3.05</w:t>
            </w:r>
          </w:p>
        </w:tc>
        <w:tc>
          <w:tcPr>
            <w:tcW w:w="1474" w:type="dxa"/>
            <w:vAlign w:val="center"/>
          </w:tcPr>
          <w:p>
            <w:pPr>
              <w:pStyle w:val="15"/>
            </w:pPr>
            <w:r>
              <w:t>3.05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19132.69</w:t>
            </w:r>
          </w:p>
        </w:tc>
        <w:tc>
          <w:tcPr>
            <w:tcW w:w="1474" w:type="dxa"/>
            <w:vAlign w:val="center"/>
          </w:tcPr>
          <w:p>
            <w:pPr>
              <w:pStyle w:val="15"/>
            </w:pPr>
          </w:p>
        </w:tc>
        <w:tc>
          <w:tcPr>
            <w:tcW w:w="1474" w:type="dxa"/>
            <w:vAlign w:val="center"/>
          </w:tcPr>
          <w:p>
            <w:pPr>
              <w:pStyle w:val="15"/>
            </w:pPr>
            <w:r>
              <w:t>19132.69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r>
              <w:t>102.64</w:t>
            </w:r>
          </w:p>
        </w:tc>
        <w:tc>
          <w:tcPr>
            <w:tcW w:w="1474" w:type="dxa"/>
            <w:vAlign w:val="center"/>
          </w:tcPr>
          <w:p>
            <w:pPr>
              <w:pStyle w:val="15"/>
            </w:pPr>
            <w:r>
              <w:t>102.64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7.49</w:t>
            </w:r>
          </w:p>
        </w:tc>
        <w:tc>
          <w:tcPr>
            <w:tcW w:w="1474" w:type="dxa"/>
            <w:vAlign w:val="center"/>
          </w:tcPr>
          <w:p>
            <w:pPr>
              <w:pStyle w:val="15"/>
            </w:pPr>
            <w:r>
              <w:t>7.49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19255.01</w:t>
            </w:r>
          </w:p>
        </w:tc>
        <w:tc>
          <w:tcPr>
            <w:tcW w:w="3402" w:type="dxa"/>
            <w:vAlign w:val="center"/>
          </w:tcPr>
          <w:p>
            <w:pPr>
              <w:pStyle w:val="18"/>
            </w:pPr>
            <w:r>
              <w:t>本年支出合计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19255.01</w:t>
            </w:r>
          </w:p>
        </w:tc>
        <w:tc>
          <w:tcPr>
            <w:tcW w:w="3402" w:type="dxa"/>
            <w:vAlign w:val="center"/>
          </w:tcPr>
          <w:p>
            <w:pPr>
              <w:pStyle w:val="18"/>
            </w:pPr>
            <w:r>
              <w:t>支出总计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122.32</w:t>
            </w:r>
          </w:p>
        </w:tc>
        <w:tc>
          <w:tcPr>
            <w:tcW w:w="2551" w:type="dxa"/>
            <w:vAlign w:val="center"/>
          </w:tcPr>
          <w:p>
            <w:pPr>
              <w:pStyle w:val="19"/>
            </w:pPr>
            <w:r>
              <w:t>109.72</w:t>
            </w:r>
          </w:p>
        </w:tc>
        <w:tc>
          <w:tcPr>
            <w:tcW w:w="2551" w:type="dxa"/>
            <w:vAlign w:val="center"/>
          </w:tcPr>
          <w:p>
            <w:pPr>
              <w:pStyle w:val="19"/>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217</w:t>
            </w:r>
          </w:p>
        </w:tc>
        <w:tc>
          <w:tcPr>
            <w:tcW w:w="4535" w:type="dxa"/>
            <w:vAlign w:val="center"/>
          </w:tcPr>
          <w:p>
            <w:pPr>
              <w:pStyle w:val="16"/>
            </w:pPr>
            <w:r>
              <w:t>金融支出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21701</w:t>
            </w:r>
          </w:p>
        </w:tc>
        <w:tc>
          <w:tcPr>
            <w:tcW w:w="4535" w:type="dxa"/>
            <w:vAlign w:val="center"/>
          </w:tcPr>
          <w:p>
            <w:pPr>
              <w:pStyle w:val="16"/>
            </w:pPr>
            <w:r>
              <w:t>金融部门行政支出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2170101</w:t>
            </w:r>
          </w:p>
        </w:tc>
        <w:tc>
          <w:tcPr>
            <w:tcW w:w="4535" w:type="dxa"/>
            <w:vAlign w:val="center"/>
          </w:tcPr>
          <w:p>
            <w:pPr>
              <w:pStyle w:val="16"/>
            </w:pPr>
            <w:r>
              <w:t>行政运行</w:t>
            </w:r>
          </w:p>
        </w:tc>
        <w:tc>
          <w:tcPr>
            <w:tcW w:w="2551" w:type="dxa"/>
            <w:vAlign w:val="center"/>
          </w:tcPr>
          <w:p>
            <w:pPr>
              <w:pStyle w:val="15"/>
            </w:pPr>
            <w:r>
              <w:t>90.04</w:t>
            </w:r>
          </w:p>
        </w:tc>
        <w:tc>
          <w:tcPr>
            <w:tcW w:w="2551" w:type="dxa"/>
            <w:vAlign w:val="center"/>
          </w:tcPr>
          <w:p>
            <w:pPr>
              <w:pStyle w:val="15"/>
            </w:pPr>
            <w:r>
              <w:t>90.04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2170102</w:t>
            </w:r>
          </w:p>
        </w:tc>
        <w:tc>
          <w:tcPr>
            <w:tcW w:w="4535" w:type="dxa"/>
            <w:vAlign w:val="center"/>
          </w:tcPr>
          <w:p>
            <w:pPr>
              <w:pStyle w:val="16"/>
            </w:pPr>
            <w:r>
              <w:t>一般行政管理事务</w:t>
            </w:r>
          </w:p>
        </w:tc>
        <w:tc>
          <w:tcPr>
            <w:tcW w:w="2551" w:type="dxa"/>
            <w:vAlign w:val="center"/>
          </w:tcPr>
          <w:p>
            <w:pPr>
              <w:pStyle w:val="15"/>
            </w:pPr>
            <w:r>
              <w:t>12.60</w:t>
            </w:r>
          </w:p>
        </w:tc>
        <w:tc>
          <w:tcPr>
            <w:tcW w:w="2551" w:type="dxa"/>
            <w:vAlign w:val="center"/>
          </w:tcPr>
          <w:p>
            <w:pPr>
              <w:pStyle w:val="15"/>
            </w:pP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109.72</w:t>
            </w:r>
          </w:p>
        </w:tc>
        <w:tc>
          <w:tcPr>
            <w:tcW w:w="2551" w:type="dxa"/>
            <w:vAlign w:val="center"/>
          </w:tcPr>
          <w:p>
            <w:pPr>
              <w:pStyle w:val="19"/>
            </w:pPr>
            <w:r>
              <w:t>96.53</w:t>
            </w:r>
          </w:p>
        </w:tc>
        <w:tc>
          <w:tcPr>
            <w:tcW w:w="2551" w:type="dxa"/>
            <w:vAlign w:val="center"/>
          </w:tcPr>
          <w:p>
            <w:pPr>
              <w:pStyle w:val="19"/>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95.81</w:t>
            </w:r>
          </w:p>
        </w:tc>
        <w:tc>
          <w:tcPr>
            <w:tcW w:w="2551" w:type="dxa"/>
            <w:vAlign w:val="center"/>
          </w:tcPr>
          <w:p>
            <w:pPr>
              <w:pStyle w:val="15"/>
            </w:pPr>
            <w:r>
              <w:t>95.81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25.44</w:t>
            </w:r>
          </w:p>
        </w:tc>
        <w:tc>
          <w:tcPr>
            <w:tcW w:w="2551" w:type="dxa"/>
            <w:vAlign w:val="center"/>
          </w:tcPr>
          <w:p>
            <w:pPr>
              <w:pStyle w:val="15"/>
            </w:pPr>
            <w:r>
              <w:t>25.44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23.52</w:t>
            </w:r>
          </w:p>
        </w:tc>
        <w:tc>
          <w:tcPr>
            <w:tcW w:w="2551" w:type="dxa"/>
            <w:vAlign w:val="center"/>
          </w:tcPr>
          <w:p>
            <w:pPr>
              <w:pStyle w:val="15"/>
            </w:pPr>
            <w:r>
              <w:t>23.52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13.33</w:t>
            </w:r>
          </w:p>
        </w:tc>
        <w:tc>
          <w:tcPr>
            <w:tcW w:w="2551" w:type="dxa"/>
            <w:vAlign w:val="center"/>
          </w:tcPr>
          <w:p>
            <w:pPr>
              <w:pStyle w:val="15"/>
            </w:pPr>
            <w:r>
              <w:t>13.33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3.01</w:t>
            </w:r>
          </w:p>
        </w:tc>
        <w:tc>
          <w:tcPr>
            <w:tcW w:w="2551" w:type="dxa"/>
            <w:vAlign w:val="center"/>
          </w:tcPr>
          <w:p>
            <w:pPr>
              <w:pStyle w:val="15"/>
            </w:pPr>
            <w:r>
              <w:t>3.01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13.61</w:t>
            </w:r>
          </w:p>
        </w:tc>
        <w:tc>
          <w:tcPr>
            <w:tcW w:w="2551" w:type="dxa"/>
            <w:vAlign w:val="center"/>
          </w:tcPr>
          <w:p>
            <w:pPr>
              <w:pStyle w:val="15"/>
            </w:pPr>
            <w:r>
              <w:t>13.61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13.19</w:t>
            </w:r>
          </w:p>
        </w:tc>
        <w:tc>
          <w:tcPr>
            <w:tcW w:w="2551" w:type="dxa"/>
            <w:vAlign w:val="center"/>
          </w:tcPr>
          <w:p>
            <w:pPr>
              <w:pStyle w:val="15"/>
            </w:pPr>
          </w:p>
        </w:tc>
        <w:tc>
          <w:tcPr>
            <w:tcW w:w="2551" w:type="dxa"/>
            <w:vAlign w:val="center"/>
          </w:tcPr>
          <w:p>
            <w:pPr>
              <w:pStyle w:val="15"/>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1.62</w:t>
            </w:r>
          </w:p>
        </w:tc>
        <w:tc>
          <w:tcPr>
            <w:tcW w:w="2551" w:type="dxa"/>
            <w:vAlign w:val="center"/>
          </w:tcPr>
          <w:p>
            <w:pPr>
              <w:pStyle w:val="15"/>
            </w:pPr>
          </w:p>
        </w:tc>
        <w:tc>
          <w:tcPr>
            <w:tcW w:w="2551"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3.32</w:t>
            </w:r>
          </w:p>
        </w:tc>
        <w:tc>
          <w:tcPr>
            <w:tcW w:w="2551" w:type="dxa"/>
            <w:vAlign w:val="center"/>
          </w:tcPr>
          <w:p>
            <w:pPr>
              <w:pStyle w:val="15"/>
            </w:pPr>
          </w:p>
        </w:tc>
        <w:tc>
          <w:tcPr>
            <w:tcW w:w="2551" w:type="dxa"/>
            <w:vAlign w:val="center"/>
          </w:tcPr>
          <w:p>
            <w:pPr>
              <w:pStyle w:val="15"/>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0.92</w:t>
            </w:r>
          </w:p>
        </w:tc>
        <w:tc>
          <w:tcPr>
            <w:tcW w:w="2551" w:type="dxa"/>
            <w:vAlign w:val="center"/>
          </w:tcPr>
          <w:p>
            <w:pPr>
              <w:pStyle w:val="15"/>
            </w:pPr>
          </w:p>
        </w:tc>
        <w:tc>
          <w:tcPr>
            <w:tcW w:w="2551"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0.64</w:t>
            </w:r>
          </w:p>
        </w:tc>
        <w:tc>
          <w:tcPr>
            <w:tcW w:w="2551" w:type="dxa"/>
            <w:vAlign w:val="center"/>
          </w:tcPr>
          <w:p>
            <w:pPr>
              <w:pStyle w:val="15"/>
            </w:pPr>
          </w:p>
        </w:tc>
        <w:tc>
          <w:tcPr>
            <w:tcW w:w="2551"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0.06</w:t>
            </w:r>
          </w:p>
        </w:tc>
        <w:tc>
          <w:tcPr>
            <w:tcW w:w="2551" w:type="dxa"/>
            <w:vAlign w:val="center"/>
          </w:tcPr>
          <w:p>
            <w:pPr>
              <w:pStyle w:val="15"/>
            </w:pPr>
          </w:p>
        </w:tc>
        <w:tc>
          <w:tcPr>
            <w:tcW w:w="2551"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19132.69</w:t>
            </w:r>
          </w:p>
        </w:tc>
        <w:tc>
          <w:tcPr>
            <w:tcW w:w="2551" w:type="dxa"/>
            <w:vAlign w:val="center"/>
          </w:tcPr>
          <w:p>
            <w:pPr>
              <w:pStyle w:val="19"/>
            </w:pPr>
          </w:p>
        </w:tc>
        <w:tc>
          <w:tcPr>
            <w:tcW w:w="2551" w:type="dxa"/>
            <w:vAlign w:val="center"/>
          </w:tcPr>
          <w:p>
            <w:pPr>
              <w:pStyle w:val="19"/>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2120802</w:t>
            </w:r>
          </w:p>
        </w:tc>
        <w:tc>
          <w:tcPr>
            <w:tcW w:w="4535" w:type="dxa"/>
            <w:vAlign w:val="center"/>
          </w:tcPr>
          <w:p>
            <w:pPr>
              <w:pStyle w:val="16"/>
            </w:pPr>
            <w:r>
              <w:t>土地开发支出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保定市徐水区地方金融监督管理局2023年部门预算信息公开情况说明</w:t>
      </w:r>
    </w:p>
    <w:p>
      <w:pPr>
        <w:jc w:val="center"/>
      </w:pPr>
      <w:r>
        <w:rPr>
          <w:rFonts w:ascii="方正小标宋_GBK" w:hAnsi="方正小标宋_GBK" w:eastAsia="方正小标宋_GBK" w:cs="方正小标宋_GBK"/>
          <w:color w:val="000000"/>
          <w:sz w:val="44"/>
        </w:rPr>
        <w:t>保定市徐水区地方金融监督管理局2023年部门预算信息公开情况说明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按照《预算法》、《地方预决算公开操作规程》和《关于进一步推进预算公开工作的实施意见》规定，现将保定市徐水区地方金融监督管理局2023年部门预算公开如下：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21"/>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21"/>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21"/>
      </w:pPr>
      <w:r>
        <w:t>（四）、负责对全区各类金融机构的监管工作；负责组织开展政府与金融机构合作、金融机构和企业对接，引导、协调和鼓励金融机构加强对全区经济社会发展的支持。</w:t>
      </w:r>
    </w:p>
    <w:p>
      <w:pPr>
        <w:pStyle w:val="21"/>
      </w:pPr>
      <w:r>
        <w:t>（五）、协调组织地方金融统计监测、专项调查等，督导地方法人金融机构完善法人治理和内控机制建设。</w:t>
      </w:r>
    </w:p>
    <w:p>
      <w:pPr>
        <w:pStyle w:val="21"/>
      </w:pPr>
      <w:r>
        <w:t>（六）、制定全区多层次资本市场培育、改革和民展的有关措施；协调和推动企业上市工作；协助证券监管部门做好对我区上市公司和直接融资活动的监督管理。</w:t>
      </w:r>
    </w:p>
    <w:p>
      <w:pPr>
        <w:pStyle w:val="21"/>
      </w:pPr>
      <w:r>
        <w:t>(七)、负责全区小额贷款公司的备案、变更和监督管理。</w:t>
      </w:r>
    </w:p>
    <w:p>
      <w:pPr>
        <w:pStyle w:val="21"/>
      </w:pPr>
      <w:r>
        <w:t>（八）、承担我区打击和处置非法集资工作领导小组办公室日常工作。会同有关部门防范、化解和处置全区金融风险；配合有关部门做好依法打击和处置非法集资等非法金融活动有关工作。</w:t>
      </w:r>
    </w:p>
    <w:p>
      <w:pPr>
        <w:pStyle w:val="21"/>
      </w:pPr>
      <w:r>
        <w:t>(九)、承担区金融工作小组办公室的日常工作。</w:t>
      </w:r>
    </w:p>
    <w:p>
      <w:pPr>
        <w:pStyle w:val="21"/>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金融监管局（系统）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保定市徐水区地方金融监督管理局本级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按照预算管理有关规定，目前我省部门预算的编制实行综合预算管理，即全部收入和支出都反映在预算中。保定市徐水区地方金融监督管理局机关及所属事业单位的收支包含在部门预算中。</w:t>
      </w:r>
    </w:p>
    <w:p>
      <w:pPr>
        <w:pStyle w:val="22"/>
      </w:pPr>
      <w:r>
        <w:t>一、收入说明</w:t>
      </w:r>
    </w:p>
    <w:p>
      <w:pPr>
        <w:pStyle w:val="22"/>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pPr>
        <w:pStyle w:val="22"/>
      </w:pPr>
      <w:r>
        <w:t>二、支出说明</w:t>
      </w:r>
    </w:p>
    <w:p>
      <w:pPr>
        <w:pStyle w:val="22"/>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pPr>
        <w:pStyle w:val="22"/>
      </w:pPr>
      <w:r>
        <w:t>三、比上年增减情况</w:t>
      </w:r>
    </w:p>
    <w:p>
      <w:pPr>
        <w:pStyle w:val="22"/>
      </w:pPr>
      <w:r>
        <w:t>本年度预算收支安排19255.02万元，较上年增加5023.33万元。其中:基本支出减少0.77万元，主要原因是压减支出，减少不必要支出；项目支出增加5024.10万元，主要原因是2023年金融局项目增加。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2023年我部门机关运行经费安排11.57万元，其中办公费1.62万元，邮电费3.32万元，工会经费、福利费1.61万元，公务用车运行维护费2.43万元，其他支出0.06万元。</w:t>
      </w:r>
    </w:p>
    <w:p>
      <w:pPr>
        <w:spacing w:before="10" w:after="10" w:line="360" w:lineRule="auto"/>
        <w:ind w:firstLine="640"/>
        <w:outlineLvl w:val="2"/>
        <w:rPr>
          <w:lang w:eastAsia="zh-CN"/>
        </w:rPr>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 我部门财政拨款“三公” 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 xml:space="preserve">2023年，在区委、区政府领导下，我局将继续坚持稳中求进的工作总基调，把握高质量发展的基本要求，遵循金融发展规律，完善金融工作机制，强化地方金融监管，化解存量金融风险，严控增量金融风险，优化金融发展环境，全力推进服务实体经济、防控金融风险、深化金融改革三项重点任务，加快建立完善与我区改革发展相适应的金融市场体系，为新时代建设经济强省、美丽徐水提供有力的金融支撑。   </w:t>
      </w:r>
    </w:p>
    <w:p>
      <w:pPr>
        <w:spacing w:line="500" w:lineRule="exact"/>
        <w:ind w:firstLine="560"/>
      </w:pPr>
      <w:r>
        <w:rPr>
          <w:rFonts w:eastAsia="方正仿宋_GBK"/>
          <w:color w:val="000000"/>
          <w:sz w:val="28"/>
        </w:rPr>
        <w:t>（二）分项绩效目标</w:t>
      </w:r>
    </w:p>
    <w:p>
      <w:pPr>
        <w:pStyle w:val="26"/>
      </w:pPr>
      <w:r>
        <w:t>1、加大协调力度，全力支持重点领域区域</w:t>
      </w:r>
    </w:p>
    <w:p>
      <w:pPr>
        <w:pStyle w:val="26"/>
      </w:pPr>
      <w:r>
        <w:t>绩效目标：全力支持京津冀协同发展、雄安新区建设，引导更多金融资源向重点领域区域聚集。发展绿色金融,支持对产能过剩和高耗能行业兼并重组、转型升级和技术改造。开展银企对接，切实缓解民营企业融资难、融资贵问题。推进金融扶贫,进一步提升贫困地区人民对金融服务的获得感。</w:t>
      </w:r>
    </w:p>
    <w:p>
      <w:pPr>
        <w:pStyle w:val="26"/>
      </w:pPr>
      <w:r>
        <w:t>绩效指标：加强协调联络，针对实体企业和产业项目融资需求，适时开展融资对接协调工作，每季度开展1次全区金融运行分析。配合做好全区重点项目推介工作，向金融机构推介重点领域项目融资需求。区本级开展2次以上融资对接活动。开展1次金融扶贫培训，提高各级干部业务水平，提升贫困地区人民对金融服务的获得感。</w:t>
      </w:r>
    </w:p>
    <w:p>
      <w:pPr>
        <w:pStyle w:val="26"/>
      </w:pPr>
      <w:r>
        <w:t>2、深化政银企合作，进一步增加信贷投放</w:t>
      </w:r>
    </w:p>
    <w:p>
      <w:pPr>
        <w:pStyle w:val="26"/>
      </w:pPr>
      <w:r>
        <w:t>绩效目标：鼓励和支持驻冀银行业机构积极争取总部资源倾斜，创新金融产品和服务，满足多方位金融需求。督促围绕重点项目、重点企业，常态化开展政银企对接活动，把优质项目推介给金融机构，促进信贷供求双方无缝对接。进一步完善融资担保体系，督促指导县区政府性融资担保机构建设工作。协调畅通区级融资担保基金的运作，积极争取扩大资金规模。实施小微企业融资担保业务降费奖补，积极争取国家专项资金。</w:t>
      </w:r>
    </w:p>
    <w:p>
      <w:pPr>
        <w:pStyle w:val="26"/>
      </w:pPr>
      <w:r>
        <w:t>绩效指标：开展1次全区银行业机构服务实体经济发展指导评价工作，对区内金融机构增加信贷投放、支持重点项目、创新金融产品和服务情况进行指导评价。加强政策指导，督促针对本地产业特色和企业实际需求，广泛开展常态化银企对接活动。完善增信机制建设，规范融资担保机构，对10%以上融资担保机构进行核查，核查不低于4家，确保融资担保机构合规合法，融资担保机构发生重大风险数归零。</w:t>
      </w:r>
    </w:p>
    <w:p>
      <w:pPr>
        <w:pStyle w:val="26"/>
      </w:pPr>
      <w:r>
        <w:t>3、大力推进企业上市，扩大直接融资规模</w:t>
      </w:r>
    </w:p>
    <w:p>
      <w:pPr>
        <w:pStyle w:val="26"/>
      </w:pPr>
      <w:r>
        <w:t>绩效目标：建立完善挂牌上市企业后备资源库，加大对拟挂牌上市企业的培训和辅导，对不同发展规模、不同发展阶段的拟挂牌上市企业动态管理，重点培育，梯次推进。认真落实《河北省企业挂牌上市融资奖励资金管理办法》，引导和鼓励我区更多企业到境内外多层次资本市场挂牌上市融资。加大对企业挂牌上市工作的考核，进一步提升服务企业挂牌上市融资工作的质量和水平，助推其选择恰当的时机挂牌上市融资。支持企业通过发行企业债券、公司债券、可转换债券、短期融资券、中期票据、资产证券化等方式扩大直接融资规模。</w:t>
      </w:r>
    </w:p>
    <w:p>
      <w:pPr>
        <w:pStyle w:val="26"/>
      </w:pPr>
      <w:r>
        <w:t>绩效指标：调整完善挂牌上市企业后备资源库。加大拟挂牌上市企业培训。深入开展调查研究，及时发现、帮助企业协调挂牌上市融资过程中遇到的问题。结合当前经济形势和企业自身发展情况，力争通过挂牌上市对企业在建立现代企业管理制度，规范治理经营、提升资本运作、抵抗经营风险的能力等方面产生积极影响。企业挂牌上市一年后较挂牌上市前，财务、纳税等指标增长的企业占比60%以上。</w:t>
      </w:r>
    </w:p>
    <w:p>
      <w:pPr>
        <w:pStyle w:val="26"/>
      </w:pPr>
      <w:r>
        <w:t>4、发展壮大地方金融主体，完善金融服务体系</w:t>
      </w:r>
    </w:p>
    <w:p>
      <w:pPr>
        <w:pStyle w:val="26"/>
      </w:pPr>
      <w:r>
        <w:t>绩效目标：深化农村信用社改革，支持地方法人城市商业银行做优做强，增强地方金融主体服务能力。继续推进“引金入冀”工程，吸引更多的域外金融机构入驻河北,重点向雄安新区布局。加大高风险机构风险处置化解力度。推动小额贷款公司、典当行、融资租赁公司、区域性股权市场、地方资产管理公司等地方金融组织规范发展，满足实体经济多元化融资需求。</w:t>
      </w:r>
    </w:p>
    <w:p>
      <w:pPr>
        <w:pStyle w:val="26"/>
      </w:pPr>
      <w:r>
        <w:t>绩效指标：农村信用社改革持续推进，地方法人城市商业银行不断做优做强，服务能力得到明显提升。高风险机构风险处置化解平稳有序。规范发展小额贷款公司、区域性股权市场等地方金融组织，坚持依法合规、稳健运营，服务地方实体经济发展，防范和化解区域金融风险。</w:t>
      </w:r>
    </w:p>
    <w:p>
      <w:pPr>
        <w:pStyle w:val="26"/>
      </w:pPr>
      <w:r>
        <w:t>5、强化金融监管，整顿规范地方金融市场</w:t>
      </w:r>
    </w:p>
    <w:p>
      <w:pPr>
        <w:pStyle w:val="26"/>
      </w:pPr>
      <w:r>
        <w:t>绩效目标：落实《河北省地方金融监督管理条例》，着力抓好执法队伍能力建设，增强依法行政意识，全面提升业务能力和水平。切实加强小额贷款公司、融资担保公司、典当行、融资租赁公司、区域性股权市场、地方资产管理公司等地方金融组织日常监管和准入监管，落实重大事项报告制度。充分发挥“河北金融云”监管服务平台功能,切实加强监测预警，借助大数据、云计算等科技手段，有效识别风险隐患，防范和化解金融风险。</w:t>
      </w:r>
    </w:p>
    <w:p>
      <w:pPr>
        <w:pStyle w:val="26"/>
      </w:pPr>
      <w:r>
        <w:t>绩效指标：组织局机关执法人员开展两次行政执法培训，按照“</w:t>
      </w:r>
      <w:bookmarkStart w:id="20" w:name="_GoBack"/>
      <w:bookmarkEnd w:id="20"/>
      <w:r>
        <w:t>双随机</w:t>
      </w:r>
      <w:r>
        <w:rPr>
          <w:rFonts w:hint="eastAsia"/>
          <w:lang w:eastAsia="zh-CN"/>
        </w:rPr>
        <w:t>、</w:t>
      </w:r>
      <w:r>
        <w:t>一公开”行政执法检查要求，完成2019年度区域性股权市场、地方资产管理公司等地方金融组织的行政检查工作。加强对“河北金融云”监管服务平台进行日常维护，确保平台保持不间断平稳运行。</w:t>
      </w:r>
    </w:p>
    <w:p>
      <w:pPr>
        <w:pStyle w:val="26"/>
      </w:pPr>
      <w:r>
        <w:t>6、树牢底线思维，严格防控化解金融风险</w:t>
      </w:r>
    </w:p>
    <w:p>
      <w:pPr>
        <w:pStyle w:val="26"/>
      </w:pPr>
      <w:r>
        <w:t>绩效目标：按照金融风险处置化解“1+N”方案预案，实施台账管理，实行月度监测，加快处置化解地方金融风险。按照《河北省处置化解金融风险工作督查考核办法》，加强督查考核，发挥专班作用，全力推进金融风险处置化解工作。扎实做好防范和打击非法集资工作，深入开展宣传教育活动，加大涉嫌非法集资监测预警，组织开展非法集资风险排查整治活动，做到早识别、早预警、早处置。</w:t>
      </w:r>
    </w:p>
    <w:p>
      <w:pPr>
        <w:pStyle w:val="26"/>
      </w:pPr>
      <w:r>
        <w:t xml:space="preserve">绩效指标：组织开展全区集中宣传月，按计划宣传教育活动；实现非法集资监测预警体系全区监测范围覆盖90%以上。按计划组织召开金融风险处置调度推进工作会议，组织开展督导检查，督导检查完成率100%。严守不发生系统性、区域性金融风险的底线。 </w:t>
      </w:r>
    </w:p>
    <w:p>
      <w:pPr>
        <w:spacing w:line="500" w:lineRule="exact"/>
        <w:ind w:firstLine="560"/>
      </w:pPr>
      <w:r>
        <w:rPr>
          <w:rFonts w:eastAsia="方正仿宋_GBK"/>
          <w:color w:val="000000"/>
          <w:sz w:val="28"/>
        </w:rPr>
        <w:t>（三）工作保障措施</w:t>
      </w:r>
    </w:p>
    <w:p>
      <w:pPr>
        <w:pStyle w:val="27"/>
      </w:pPr>
      <w:r>
        <w:t>1、建立健全部门预算绩效内部评价机制。</w:t>
      </w:r>
    </w:p>
    <w:p>
      <w:pPr>
        <w:pStyle w:val="27"/>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pPr>
        <w:pStyle w:val="27"/>
      </w:pPr>
      <w:r>
        <w:t>2、加强部门预算绩效运行监控力度。</w:t>
      </w:r>
    </w:p>
    <w:p>
      <w:pPr>
        <w:pStyle w:val="27"/>
      </w:pPr>
      <w:r>
        <w:t>加强预算绩效全程管理，建立“预算编制有目标、预算执行有监控、预算完成有评价、评价结果有反馈、反馈结果有应用”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pPr>
        <w:pStyle w:val="27"/>
      </w:pPr>
      <w:r>
        <w:t>3、不断完善部门预算绩效自评方法。</w:t>
      </w:r>
    </w:p>
    <w:p>
      <w:pPr>
        <w:pStyle w:val="27"/>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pPr>
        <w:pStyle w:val="27"/>
      </w:pPr>
      <w:r>
        <w:t>4、规范财务资产管理，突出财政资金使用效益。</w:t>
      </w:r>
    </w:p>
    <w:p>
      <w:pPr>
        <w:pStyle w:val="27"/>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确保决算真实、完整、准确、及时，加强决算分析工作，强化决算分析结果运用，建立健全单位预算与决算相互反映、相互促进的机制。</w:t>
      </w:r>
    </w:p>
    <w:p>
      <w:pPr>
        <w:pStyle w:val="27"/>
      </w:pPr>
      <w:r>
        <w:t>5、加强部门内部监督，充分运用绩效评价结果。</w:t>
      </w:r>
    </w:p>
    <w:p>
      <w:pPr>
        <w:pStyle w:val="27"/>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刚性”。健全预算执行分析机制，定期通报各处室预算执行情况，召开预算执行分析会议，研究解决预算执行中存在的问题，提出改进措施，提高预算执行的有效性。</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利息资金收入次数</w:t>
            </w:r>
          </w:p>
        </w:tc>
        <w:tc>
          <w:tcPr>
            <w:tcW w:w="2835" w:type="dxa"/>
            <w:vAlign w:val="center"/>
          </w:tcPr>
          <w:p>
            <w:pPr>
              <w:pStyle w:val="16"/>
            </w:pPr>
            <w:r>
              <w:t>考核利息收入次数</w:t>
            </w:r>
          </w:p>
        </w:tc>
        <w:tc>
          <w:tcPr>
            <w:tcW w:w="2551" w:type="dxa"/>
            <w:vAlign w:val="center"/>
          </w:tcPr>
          <w:p>
            <w:pPr>
              <w:pStyle w:val="16"/>
            </w:pPr>
            <w:r>
              <w:t>4次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单位资金正常运转效率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资金支出进度占全年利息收入的比率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按照支出进度要求和预算构成执行</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有效的改善职工工作环境，有利于提高工作效率</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1.保证2023年金融局各项工作开展。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年度重点工作数量</w:t>
            </w:r>
          </w:p>
        </w:tc>
        <w:tc>
          <w:tcPr>
            <w:tcW w:w="2835" w:type="dxa"/>
            <w:vAlign w:val="center"/>
          </w:tcPr>
          <w:p>
            <w:pPr>
              <w:pStyle w:val="16"/>
            </w:pPr>
            <w:r>
              <w:t>年度重点工作数量</w:t>
            </w:r>
          </w:p>
        </w:tc>
        <w:tc>
          <w:tcPr>
            <w:tcW w:w="2551" w:type="dxa"/>
            <w:vAlign w:val="center"/>
          </w:tcPr>
          <w:p>
            <w:pPr>
              <w:pStyle w:val="16"/>
            </w:pPr>
            <w:r>
              <w:t>≤3件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综合事务管理工作完成达标率</w:t>
            </w:r>
          </w:p>
        </w:tc>
        <w:tc>
          <w:tcPr>
            <w:tcW w:w="2835" w:type="dxa"/>
            <w:vAlign w:val="center"/>
          </w:tcPr>
          <w:p>
            <w:pPr>
              <w:pStyle w:val="16"/>
            </w:pPr>
            <w:r>
              <w:t>综合事务管理工作质量情况</w:t>
            </w:r>
          </w:p>
        </w:tc>
        <w:tc>
          <w:tcPr>
            <w:tcW w:w="2551" w:type="dxa"/>
            <w:vAlign w:val="center"/>
          </w:tcPr>
          <w:p>
            <w:pPr>
              <w:pStyle w:val="16"/>
            </w:pPr>
            <w:r>
              <w:t>≤96%</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各项任务完成及时情况</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≤12.6万元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金融风险宣传率</w:t>
            </w:r>
          </w:p>
        </w:tc>
        <w:tc>
          <w:tcPr>
            <w:tcW w:w="2835" w:type="dxa"/>
            <w:vAlign w:val="center"/>
          </w:tcPr>
          <w:p>
            <w:pPr>
              <w:pStyle w:val="16"/>
            </w:pPr>
            <w:r>
              <w:t>金融风险防范，防范非法集资等政策宣传率</w:t>
            </w:r>
          </w:p>
        </w:tc>
        <w:tc>
          <w:tcPr>
            <w:tcW w:w="2551" w:type="dxa"/>
            <w:vAlign w:val="center"/>
          </w:tcPr>
          <w:p>
            <w:pPr>
              <w:pStyle w:val="16"/>
            </w:pPr>
            <w:r>
              <w:t>≥92%</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单位上级部门对本年工作满意度</w:t>
            </w:r>
          </w:p>
        </w:tc>
        <w:tc>
          <w:tcPr>
            <w:tcW w:w="2835" w:type="dxa"/>
            <w:vAlign w:val="center"/>
          </w:tcPr>
          <w:p>
            <w:pPr>
              <w:pStyle w:val="16"/>
            </w:pPr>
            <w:r>
              <w:t>考察上级部门对本年工作满意程度。</w:t>
            </w:r>
          </w:p>
        </w:tc>
        <w:tc>
          <w:tcPr>
            <w:tcW w:w="2551" w:type="dxa"/>
            <w:vAlign w:val="center"/>
          </w:tcPr>
          <w:p>
            <w:pPr>
              <w:pStyle w:val="16"/>
            </w:pPr>
            <w:r>
              <w:t>≥92%</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3.根据工作计划拨付化债资金及贷款利息。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需要偿还的贷款利息到位率</w:t>
            </w:r>
          </w:p>
        </w:tc>
        <w:tc>
          <w:tcPr>
            <w:tcW w:w="2835" w:type="dxa"/>
            <w:vAlign w:val="center"/>
          </w:tcPr>
          <w:p>
            <w:pPr>
              <w:pStyle w:val="16"/>
            </w:pPr>
            <w:r>
              <w:t>考察需要偿还贷款所产生的利息资金到位情况。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化解债务资金支出</w:t>
            </w:r>
          </w:p>
        </w:tc>
        <w:tc>
          <w:tcPr>
            <w:tcW w:w="2835" w:type="dxa"/>
            <w:vAlign w:val="center"/>
          </w:tcPr>
          <w:p>
            <w:pPr>
              <w:pStyle w:val="16"/>
            </w:pPr>
            <w:r>
              <w:t>考察化解任务资金是否按资金申报一致</w:t>
            </w:r>
          </w:p>
        </w:tc>
        <w:tc>
          <w:tcPr>
            <w:tcW w:w="2551" w:type="dxa"/>
            <w:vAlign w:val="center"/>
          </w:tcPr>
          <w:p>
            <w:pPr>
              <w:pStyle w:val="16"/>
            </w:pPr>
            <w:r>
              <w:t>≤13598万元</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3.根据工作计划按年拨付化债资金300万元。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本年度内化债欠款公司数量 </w:t>
            </w:r>
          </w:p>
        </w:tc>
        <w:tc>
          <w:tcPr>
            <w:tcW w:w="2835" w:type="dxa"/>
            <w:vAlign w:val="center"/>
          </w:tcPr>
          <w:p>
            <w:pPr>
              <w:pStyle w:val="16"/>
            </w:pPr>
            <w:r>
              <w:t>考核是否按照工作方案规定的欠款公司数量进行化债资金拨付</w:t>
            </w:r>
          </w:p>
        </w:tc>
        <w:tc>
          <w:tcPr>
            <w:tcW w:w="2551" w:type="dxa"/>
            <w:vAlign w:val="center"/>
          </w:tcPr>
          <w:p>
            <w:pPr>
              <w:pStyle w:val="16"/>
            </w:pPr>
            <w:r>
              <w:t>1家</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化解债务资金成本控制率</w:t>
            </w:r>
          </w:p>
        </w:tc>
        <w:tc>
          <w:tcPr>
            <w:tcW w:w="2835" w:type="dxa"/>
            <w:vAlign w:val="center"/>
          </w:tcPr>
          <w:p>
            <w:pPr>
              <w:pStyle w:val="16"/>
            </w:pPr>
            <w:r>
              <w:t>考察化解任务资金是否按资金申报一致</w:t>
            </w:r>
          </w:p>
        </w:tc>
        <w:tc>
          <w:tcPr>
            <w:tcW w:w="2551" w:type="dxa"/>
            <w:vAlign w:val="center"/>
          </w:tcPr>
          <w:p>
            <w:pPr>
              <w:pStyle w:val="16"/>
            </w:pPr>
            <w:r>
              <w:t>≤100%</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2023年，保定市徐水区地方金融监督管理局安排政府采购预算7.00万元。具体内容见下表。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保定市徐水区地方金融监督管理局本级小计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2023年金融局专项业务费</w:t>
            </w:r>
          </w:p>
        </w:tc>
        <w:tc>
          <w:tcPr>
            <w:tcW w:w="964" w:type="dxa"/>
            <w:vAlign w:val="center"/>
          </w:tcPr>
          <w:p>
            <w:pPr>
              <w:pStyle w:val="15"/>
            </w:pPr>
            <w:r>
              <w:t>12.60</w:t>
            </w:r>
          </w:p>
        </w:tc>
        <w:tc>
          <w:tcPr>
            <w:tcW w:w="1134" w:type="dxa"/>
            <w:vAlign w:val="center"/>
          </w:tcPr>
          <w:p>
            <w:pPr>
              <w:pStyle w:val="16"/>
            </w:pPr>
            <w:r>
              <w:t>出版服务</w:t>
            </w:r>
          </w:p>
        </w:tc>
        <w:tc>
          <w:tcPr>
            <w:tcW w:w="1134" w:type="dxa"/>
            <w:vAlign w:val="center"/>
          </w:tcPr>
          <w:p>
            <w:pPr>
              <w:pStyle w:val="16"/>
            </w:pPr>
            <w:r>
              <w:t>C23090200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保定市徐水区地方金融监督管理局（含所属单位）上年末固定资产金额为14.06万元（详见下表）。本年度拟购置固定资产总额为0.00万元，已按要求列入政府采购预算，详见政府采购预算表。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w:t>
            </w:r>
          </w:p>
        </w:tc>
        <w:tc>
          <w:tcPr>
            <w:tcW w:w="2835" w:type="dxa"/>
            <w:vAlign w:val="center"/>
          </w:tcPr>
          <w:p>
            <w:pPr>
              <w:pStyle w:val="15"/>
            </w:pPr>
            <w:r>
              <w:t>14.06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一、金融监管局（系统）收支预算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440000金融监管局（系统）</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440000金融监管局（系统）</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金融监管局（系统）2023年单位预算信息公开情况说明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按照《预算法》、《地方预决算公开操作规程》和《关于进一步推进预算公开工作的实施意见》规定，现将金融监管局（系统）2023年单位预算公开如下：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根据《保定市徐水区地方金融监督管理局职能配置、内设机构和人员编制规定》，保定市徐水区地方金融监督管理局的主要职责是：</w:t>
      </w:r>
    </w:p>
    <w:p>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29"/>
      </w:pPr>
      <w:r>
        <w:t>（四）、负责对全区各类金融机构的监管工作；负责组织开展政府与金融机构合作、金融机构和企业对接，引导、协调和鼓励金融机构加强对全区经济社会发展的支持。</w:t>
      </w:r>
    </w:p>
    <w:p>
      <w:pPr>
        <w:pStyle w:val="29"/>
      </w:pPr>
      <w:r>
        <w:t>（五）、协调组织地方金融统计监测、专项调查等，督导地方法人金融机构完善法人治理和内控机制建设。</w:t>
      </w:r>
    </w:p>
    <w:p>
      <w:pPr>
        <w:pStyle w:val="29"/>
      </w:pPr>
      <w:r>
        <w:t>（六）、制定全区多层次资本市场培育、改革和民展的有关措施；协调和推动企业上市工作；协助证券监管部门做好对我区上市公司和直接融资活动的监督管理。</w:t>
      </w:r>
    </w:p>
    <w:p>
      <w:pPr>
        <w:pStyle w:val="29"/>
      </w:pPr>
      <w:r>
        <w:t>(七)、负责全区小额贷款公司的备案、变更和监督管理。</w:t>
      </w:r>
    </w:p>
    <w:p>
      <w:pPr>
        <w:pStyle w:val="29"/>
      </w:pPr>
      <w:r>
        <w:t>（八）、承担我区打击和处置非法集资工作领导小组办公室日常工作。会同有关部门防范、化解和处置全区金融风险；配合有关部门做好依法打击和处置非法集资等非法金融活动有关工作。</w:t>
      </w:r>
    </w:p>
    <w:p>
      <w:pPr>
        <w:pStyle w:val="29"/>
      </w:pPr>
      <w:r>
        <w:t>(九)、承担区金融工作小组办公室的日常工作。</w:t>
      </w:r>
    </w:p>
    <w:p>
      <w:pPr>
        <w:pStyle w:val="29"/>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金融监管局（系统）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pPr>
        <w:pStyle w:val="30"/>
      </w:pPr>
      <w:r>
        <w:t>二、支出说明</w:t>
      </w:r>
    </w:p>
    <w:p>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pPr>
        <w:pStyle w:val="30"/>
      </w:pPr>
      <w:r>
        <w:t>三、比上年增减情况</w:t>
      </w:r>
    </w:p>
    <w:p>
      <w:pPr>
        <w:pStyle w:val="30"/>
      </w:pPr>
      <w:r>
        <w:t>本年度预算收支安排19255.02万元，较上年增加5023.33万元。其中:基本支出减少0.77万元，主要原因是压减支出，减少不必要支出；项目支出增加5024.10万元，主要原因是2023年金融局项目增加。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2023年我部门机关运行经费安排11.57万元，其中办公费1.62万元，邮电费3.32万元，工会经费、福利费1.61万元，公务用车运行维护费2.43万元，其他支出0.06万元。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2023年，金融监管局（系统）安排政府采购预算0.00万元。具体内容见下表。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440000金融监管局（系统）</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金融监管局（系统）上年末固定资产金额为14.06万元（详见下表）。本年度拟购置固定资产总额为0.00万元，已按要求列入政府采购预算，详见政府采购预算表。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440000金融监管局（系统）</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w:t>
            </w:r>
          </w:p>
        </w:tc>
        <w:tc>
          <w:tcPr>
            <w:tcW w:w="2835" w:type="dxa"/>
            <w:vAlign w:val="center"/>
          </w:tcPr>
          <w:p>
            <w:pPr>
              <w:pStyle w:val="15"/>
            </w:pPr>
            <w:r>
              <w:t>14.06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二、保定市徐水区地方金融监督管理局本级收支预算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122.32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19132.69</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r>
              <w:t>102.65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19255.02</w:t>
            </w:r>
          </w:p>
        </w:tc>
        <w:tc>
          <w:tcPr>
            <w:tcW w:w="4535" w:type="dxa"/>
            <w:vAlign w:val="center"/>
          </w:tcPr>
          <w:p>
            <w:pPr>
              <w:pStyle w:val="18"/>
            </w:pPr>
            <w:r>
              <w:t>本年支出合计</w:t>
            </w:r>
          </w:p>
        </w:tc>
        <w:tc>
          <w:tcPr>
            <w:tcW w:w="2126" w:type="dxa"/>
            <w:vAlign w:val="center"/>
          </w:tcPr>
          <w:p>
            <w:pPr>
              <w:pStyle w:val="19"/>
            </w:pPr>
            <w:r>
              <w:t>19255.02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19255.02</w:t>
            </w:r>
          </w:p>
        </w:tc>
        <w:tc>
          <w:tcPr>
            <w:tcW w:w="4535" w:type="dxa"/>
            <w:vAlign w:val="center"/>
          </w:tcPr>
          <w:p>
            <w:pPr>
              <w:pStyle w:val="18"/>
            </w:pPr>
            <w:r>
              <w:t>支出总计</w:t>
            </w:r>
          </w:p>
        </w:tc>
        <w:tc>
          <w:tcPr>
            <w:tcW w:w="2126" w:type="dxa"/>
            <w:vAlign w:val="center"/>
          </w:tcPr>
          <w:p>
            <w:pPr>
              <w:pStyle w:val="19"/>
            </w:pPr>
            <w:r>
              <w:t>19255.02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19255.02</w:t>
            </w:r>
          </w:p>
        </w:tc>
        <w:tc>
          <w:tcPr>
            <w:tcW w:w="1134" w:type="dxa"/>
            <w:vAlign w:val="center"/>
          </w:tcPr>
          <w:p>
            <w:pPr>
              <w:pStyle w:val="19"/>
            </w:pPr>
            <w:r>
              <w:t>19255.02</w:t>
            </w:r>
          </w:p>
        </w:tc>
        <w:tc>
          <w:tcPr>
            <w:tcW w:w="1134" w:type="dxa"/>
            <w:vAlign w:val="center"/>
          </w:tcPr>
          <w:p>
            <w:pPr>
              <w:pStyle w:val="19"/>
            </w:pPr>
            <w:r>
              <w:t>19255.01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2120802</w:t>
            </w:r>
          </w:p>
        </w:tc>
        <w:tc>
          <w:tcPr>
            <w:tcW w:w="1559" w:type="dxa"/>
            <w:vAlign w:val="center"/>
          </w:tcPr>
          <w:p>
            <w:pPr>
              <w:pStyle w:val="16"/>
            </w:pPr>
            <w:r>
              <w:t>土地开发支出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217</w:t>
            </w:r>
          </w:p>
        </w:tc>
        <w:tc>
          <w:tcPr>
            <w:tcW w:w="1559" w:type="dxa"/>
            <w:vAlign w:val="center"/>
          </w:tcPr>
          <w:p>
            <w:pPr>
              <w:pStyle w:val="16"/>
            </w:pPr>
            <w:r>
              <w:t>金融支出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21701</w:t>
            </w:r>
          </w:p>
        </w:tc>
        <w:tc>
          <w:tcPr>
            <w:tcW w:w="1559" w:type="dxa"/>
            <w:vAlign w:val="center"/>
          </w:tcPr>
          <w:p>
            <w:pPr>
              <w:pStyle w:val="16"/>
            </w:pPr>
            <w:r>
              <w:t>金融部门行政支出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2170101</w:t>
            </w:r>
          </w:p>
        </w:tc>
        <w:tc>
          <w:tcPr>
            <w:tcW w:w="1559" w:type="dxa"/>
            <w:vAlign w:val="center"/>
          </w:tcPr>
          <w:p>
            <w:pPr>
              <w:pStyle w:val="16"/>
            </w:pPr>
            <w:r>
              <w:t>行政运行</w:t>
            </w:r>
          </w:p>
        </w:tc>
        <w:tc>
          <w:tcPr>
            <w:tcW w:w="1134" w:type="dxa"/>
            <w:vAlign w:val="center"/>
          </w:tcPr>
          <w:p>
            <w:pPr>
              <w:pStyle w:val="15"/>
            </w:pPr>
            <w:r>
              <w:t>90.05</w:t>
            </w:r>
          </w:p>
        </w:tc>
        <w:tc>
          <w:tcPr>
            <w:tcW w:w="1134" w:type="dxa"/>
            <w:vAlign w:val="center"/>
          </w:tcPr>
          <w:p>
            <w:pPr>
              <w:pStyle w:val="15"/>
            </w:pPr>
            <w:r>
              <w:t>90.05</w:t>
            </w:r>
          </w:p>
        </w:tc>
        <w:tc>
          <w:tcPr>
            <w:tcW w:w="1134" w:type="dxa"/>
            <w:vAlign w:val="center"/>
          </w:tcPr>
          <w:p>
            <w:pPr>
              <w:pStyle w:val="15"/>
            </w:pPr>
            <w:r>
              <w:t>90.04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2170102</w:t>
            </w:r>
          </w:p>
        </w:tc>
        <w:tc>
          <w:tcPr>
            <w:tcW w:w="1559" w:type="dxa"/>
            <w:vAlign w:val="center"/>
          </w:tcPr>
          <w:p>
            <w:pPr>
              <w:pStyle w:val="16"/>
            </w:pPr>
            <w:r>
              <w:t>一般行政管理事务</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19255.02</w:t>
            </w:r>
          </w:p>
        </w:tc>
        <w:tc>
          <w:tcPr>
            <w:tcW w:w="1361" w:type="dxa"/>
            <w:vAlign w:val="center"/>
          </w:tcPr>
          <w:p>
            <w:pPr>
              <w:pStyle w:val="19"/>
            </w:pPr>
            <w:r>
              <w:t>109.72</w:t>
            </w:r>
          </w:p>
        </w:tc>
        <w:tc>
          <w:tcPr>
            <w:tcW w:w="1361" w:type="dxa"/>
            <w:vAlign w:val="center"/>
          </w:tcPr>
          <w:p>
            <w:pPr>
              <w:pStyle w:val="19"/>
            </w:pPr>
            <w:r>
              <w:t>19145.30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2120802</w:t>
            </w:r>
          </w:p>
        </w:tc>
        <w:tc>
          <w:tcPr>
            <w:tcW w:w="4535" w:type="dxa"/>
            <w:vAlign w:val="center"/>
          </w:tcPr>
          <w:p>
            <w:pPr>
              <w:pStyle w:val="16"/>
            </w:pPr>
            <w:r>
              <w:t>土地开发支出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217</w:t>
            </w:r>
          </w:p>
        </w:tc>
        <w:tc>
          <w:tcPr>
            <w:tcW w:w="4535" w:type="dxa"/>
            <w:vAlign w:val="center"/>
          </w:tcPr>
          <w:p>
            <w:pPr>
              <w:pStyle w:val="16"/>
            </w:pPr>
            <w:r>
              <w:t>金融支出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21701</w:t>
            </w:r>
          </w:p>
        </w:tc>
        <w:tc>
          <w:tcPr>
            <w:tcW w:w="4535" w:type="dxa"/>
            <w:vAlign w:val="center"/>
          </w:tcPr>
          <w:p>
            <w:pPr>
              <w:pStyle w:val="16"/>
            </w:pPr>
            <w:r>
              <w:t>金融部门行政支出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2170101</w:t>
            </w:r>
          </w:p>
        </w:tc>
        <w:tc>
          <w:tcPr>
            <w:tcW w:w="4535" w:type="dxa"/>
            <w:vAlign w:val="center"/>
          </w:tcPr>
          <w:p>
            <w:pPr>
              <w:pStyle w:val="16"/>
            </w:pPr>
            <w:r>
              <w:t>行政运行</w:t>
            </w:r>
          </w:p>
        </w:tc>
        <w:tc>
          <w:tcPr>
            <w:tcW w:w="1361" w:type="dxa"/>
            <w:vAlign w:val="center"/>
          </w:tcPr>
          <w:p>
            <w:pPr>
              <w:pStyle w:val="15"/>
            </w:pPr>
            <w:r>
              <w:t>90.05</w:t>
            </w:r>
          </w:p>
        </w:tc>
        <w:tc>
          <w:tcPr>
            <w:tcW w:w="1361" w:type="dxa"/>
            <w:vAlign w:val="center"/>
          </w:tcPr>
          <w:p>
            <w:pPr>
              <w:pStyle w:val="15"/>
            </w:pPr>
            <w:r>
              <w:t>90.04</w:t>
            </w:r>
          </w:p>
        </w:tc>
        <w:tc>
          <w:tcPr>
            <w:tcW w:w="1361" w:type="dxa"/>
            <w:vAlign w:val="center"/>
          </w:tcPr>
          <w:p>
            <w:pPr>
              <w:pStyle w:val="15"/>
            </w:pPr>
            <w:r>
              <w:t>0.01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2170102</w:t>
            </w:r>
          </w:p>
        </w:tc>
        <w:tc>
          <w:tcPr>
            <w:tcW w:w="4535" w:type="dxa"/>
            <w:vAlign w:val="center"/>
          </w:tcPr>
          <w:p>
            <w:pPr>
              <w:pStyle w:val="16"/>
            </w:pPr>
            <w:r>
              <w:t>一般行政管理事务</w:t>
            </w: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122.32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19132.69</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9.14</w:t>
            </w:r>
          </w:p>
        </w:tc>
        <w:tc>
          <w:tcPr>
            <w:tcW w:w="1474" w:type="dxa"/>
            <w:vAlign w:val="center"/>
          </w:tcPr>
          <w:p>
            <w:pPr>
              <w:pStyle w:val="15"/>
            </w:pPr>
            <w:r>
              <w:t>9.14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3.05</w:t>
            </w:r>
          </w:p>
        </w:tc>
        <w:tc>
          <w:tcPr>
            <w:tcW w:w="1474" w:type="dxa"/>
            <w:vAlign w:val="center"/>
          </w:tcPr>
          <w:p>
            <w:pPr>
              <w:pStyle w:val="15"/>
            </w:pPr>
            <w:r>
              <w:t>3.05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19132.69</w:t>
            </w:r>
          </w:p>
        </w:tc>
        <w:tc>
          <w:tcPr>
            <w:tcW w:w="1474" w:type="dxa"/>
            <w:vAlign w:val="center"/>
          </w:tcPr>
          <w:p>
            <w:pPr>
              <w:pStyle w:val="15"/>
            </w:pPr>
          </w:p>
        </w:tc>
        <w:tc>
          <w:tcPr>
            <w:tcW w:w="1474" w:type="dxa"/>
            <w:vAlign w:val="center"/>
          </w:tcPr>
          <w:p>
            <w:pPr>
              <w:pStyle w:val="15"/>
            </w:pPr>
            <w:r>
              <w:t>19132.69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r>
              <w:t>102.64</w:t>
            </w:r>
          </w:p>
        </w:tc>
        <w:tc>
          <w:tcPr>
            <w:tcW w:w="1474" w:type="dxa"/>
            <w:vAlign w:val="center"/>
          </w:tcPr>
          <w:p>
            <w:pPr>
              <w:pStyle w:val="15"/>
            </w:pPr>
            <w:r>
              <w:t>102.64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7.49</w:t>
            </w:r>
          </w:p>
        </w:tc>
        <w:tc>
          <w:tcPr>
            <w:tcW w:w="1474" w:type="dxa"/>
            <w:vAlign w:val="center"/>
          </w:tcPr>
          <w:p>
            <w:pPr>
              <w:pStyle w:val="15"/>
            </w:pPr>
            <w:r>
              <w:t>7.49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19255.01</w:t>
            </w:r>
          </w:p>
        </w:tc>
        <w:tc>
          <w:tcPr>
            <w:tcW w:w="3402" w:type="dxa"/>
            <w:vAlign w:val="center"/>
          </w:tcPr>
          <w:p>
            <w:pPr>
              <w:pStyle w:val="18"/>
            </w:pPr>
            <w:r>
              <w:t>本年支出合计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19255.01</w:t>
            </w:r>
          </w:p>
        </w:tc>
        <w:tc>
          <w:tcPr>
            <w:tcW w:w="3402" w:type="dxa"/>
            <w:vAlign w:val="center"/>
          </w:tcPr>
          <w:p>
            <w:pPr>
              <w:pStyle w:val="18"/>
            </w:pPr>
            <w:r>
              <w:t>支出总计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122.32</w:t>
            </w:r>
          </w:p>
        </w:tc>
        <w:tc>
          <w:tcPr>
            <w:tcW w:w="2551" w:type="dxa"/>
            <w:vAlign w:val="center"/>
          </w:tcPr>
          <w:p>
            <w:pPr>
              <w:pStyle w:val="19"/>
            </w:pPr>
            <w:r>
              <w:t>109.72</w:t>
            </w:r>
          </w:p>
        </w:tc>
        <w:tc>
          <w:tcPr>
            <w:tcW w:w="2551" w:type="dxa"/>
            <w:vAlign w:val="center"/>
          </w:tcPr>
          <w:p>
            <w:pPr>
              <w:pStyle w:val="19"/>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217</w:t>
            </w:r>
          </w:p>
        </w:tc>
        <w:tc>
          <w:tcPr>
            <w:tcW w:w="4535" w:type="dxa"/>
            <w:vAlign w:val="center"/>
          </w:tcPr>
          <w:p>
            <w:pPr>
              <w:pStyle w:val="16"/>
            </w:pPr>
            <w:r>
              <w:t>金融支出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21701</w:t>
            </w:r>
          </w:p>
        </w:tc>
        <w:tc>
          <w:tcPr>
            <w:tcW w:w="4535" w:type="dxa"/>
            <w:vAlign w:val="center"/>
          </w:tcPr>
          <w:p>
            <w:pPr>
              <w:pStyle w:val="16"/>
            </w:pPr>
            <w:r>
              <w:t>金融部门行政支出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2170101</w:t>
            </w:r>
          </w:p>
        </w:tc>
        <w:tc>
          <w:tcPr>
            <w:tcW w:w="4535" w:type="dxa"/>
            <w:vAlign w:val="center"/>
          </w:tcPr>
          <w:p>
            <w:pPr>
              <w:pStyle w:val="16"/>
            </w:pPr>
            <w:r>
              <w:t>行政运行</w:t>
            </w:r>
          </w:p>
        </w:tc>
        <w:tc>
          <w:tcPr>
            <w:tcW w:w="2551" w:type="dxa"/>
            <w:vAlign w:val="center"/>
          </w:tcPr>
          <w:p>
            <w:pPr>
              <w:pStyle w:val="15"/>
            </w:pPr>
            <w:r>
              <w:t>90.04</w:t>
            </w:r>
          </w:p>
        </w:tc>
        <w:tc>
          <w:tcPr>
            <w:tcW w:w="2551" w:type="dxa"/>
            <w:vAlign w:val="center"/>
          </w:tcPr>
          <w:p>
            <w:pPr>
              <w:pStyle w:val="15"/>
            </w:pPr>
            <w:r>
              <w:t>90.04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2170102</w:t>
            </w:r>
          </w:p>
        </w:tc>
        <w:tc>
          <w:tcPr>
            <w:tcW w:w="4535" w:type="dxa"/>
            <w:vAlign w:val="center"/>
          </w:tcPr>
          <w:p>
            <w:pPr>
              <w:pStyle w:val="16"/>
            </w:pPr>
            <w:r>
              <w:t>一般行政管理事务</w:t>
            </w:r>
          </w:p>
        </w:tc>
        <w:tc>
          <w:tcPr>
            <w:tcW w:w="2551" w:type="dxa"/>
            <w:vAlign w:val="center"/>
          </w:tcPr>
          <w:p>
            <w:pPr>
              <w:pStyle w:val="15"/>
            </w:pPr>
            <w:r>
              <w:t>12.60</w:t>
            </w:r>
          </w:p>
        </w:tc>
        <w:tc>
          <w:tcPr>
            <w:tcW w:w="2551" w:type="dxa"/>
            <w:vAlign w:val="center"/>
          </w:tcPr>
          <w:p>
            <w:pPr>
              <w:pStyle w:val="15"/>
            </w:pP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109.72</w:t>
            </w:r>
          </w:p>
        </w:tc>
        <w:tc>
          <w:tcPr>
            <w:tcW w:w="2551" w:type="dxa"/>
            <w:vAlign w:val="center"/>
          </w:tcPr>
          <w:p>
            <w:pPr>
              <w:pStyle w:val="19"/>
            </w:pPr>
            <w:r>
              <w:t>96.53</w:t>
            </w:r>
          </w:p>
        </w:tc>
        <w:tc>
          <w:tcPr>
            <w:tcW w:w="2551" w:type="dxa"/>
            <w:vAlign w:val="center"/>
          </w:tcPr>
          <w:p>
            <w:pPr>
              <w:pStyle w:val="19"/>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95.81</w:t>
            </w:r>
          </w:p>
        </w:tc>
        <w:tc>
          <w:tcPr>
            <w:tcW w:w="2551" w:type="dxa"/>
            <w:vAlign w:val="center"/>
          </w:tcPr>
          <w:p>
            <w:pPr>
              <w:pStyle w:val="15"/>
            </w:pPr>
            <w:r>
              <w:t>95.81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25.44</w:t>
            </w:r>
          </w:p>
        </w:tc>
        <w:tc>
          <w:tcPr>
            <w:tcW w:w="2551" w:type="dxa"/>
            <w:vAlign w:val="center"/>
          </w:tcPr>
          <w:p>
            <w:pPr>
              <w:pStyle w:val="15"/>
            </w:pPr>
            <w:r>
              <w:t>25.44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23.52</w:t>
            </w:r>
          </w:p>
        </w:tc>
        <w:tc>
          <w:tcPr>
            <w:tcW w:w="2551" w:type="dxa"/>
            <w:vAlign w:val="center"/>
          </w:tcPr>
          <w:p>
            <w:pPr>
              <w:pStyle w:val="15"/>
            </w:pPr>
            <w:r>
              <w:t>23.52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13.33</w:t>
            </w:r>
          </w:p>
        </w:tc>
        <w:tc>
          <w:tcPr>
            <w:tcW w:w="2551" w:type="dxa"/>
            <w:vAlign w:val="center"/>
          </w:tcPr>
          <w:p>
            <w:pPr>
              <w:pStyle w:val="15"/>
            </w:pPr>
            <w:r>
              <w:t>13.33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3.01</w:t>
            </w:r>
          </w:p>
        </w:tc>
        <w:tc>
          <w:tcPr>
            <w:tcW w:w="2551" w:type="dxa"/>
            <w:vAlign w:val="center"/>
          </w:tcPr>
          <w:p>
            <w:pPr>
              <w:pStyle w:val="15"/>
            </w:pPr>
            <w:r>
              <w:t>3.01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13.61</w:t>
            </w:r>
          </w:p>
        </w:tc>
        <w:tc>
          <w:tcPr>
            <w:tcW w:w="2551" w:type="dxa"/>
            <w:vAlign w:val="center"/>
          </w:tcPr>
          <w:p>
            <w:pPr>
              <w:pStyle w:val="15"/>
            </w:pPr>
            <w:r>
              <w:t>13.61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13.19</w:t>
            </w:r>
          </w:p>
        </w:tc>
        <w:tc>
          <w:tcPr>
            <w:tcW w:w="2551" w:type="dxa"/>
            <w:vAlign w:val="center"/>
          </w:tcPr>
          <w:p>
            <w:pPr>
              <w:pStyle w:val="15"/>
            </w:pPr>
          </w:p>
        </w:tc>
        <w:tc>
          <w:tcPr>
            <w:tcW w:w="2551" w:type="dxa"/>
            <w:vAlign w:val="center"/>
          </w:tcPr>
          <w:p>
            <w:pPr>
              <w:pStyle w:val="15"/>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1.62</w:t>
            </w:r>
          </w:p>
        </w:tc>
        <w:tc>
          <w:tcPr>
            <w:tcW w:w="2551" w:type="dxa"/>
            <w:vAlign w:val="center"/>
          </w:tcPr>
          <w:p>
            <w:pPr>
              <w:pStyle w:val="15"/>
            </w:pPr>
          </w:p>
        </w:tc>
        <w:tc>
          <w:tcPr>
            <w:tcW w:w="2551"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3.32</w:t>
            </w:r>
          </w:p>
        </w:tc>
        <w:tc>
          <w:tcPr>
            <w:tcW w:w="2551" w:type="dxa"/>
            <w:vAlign w:val="center"/>
          </w:tcPr>
          <w:p>
            <w:pPr>
              <w:pStyle w:val="15"/>
            </w:pPr>
          </w:p>
        </w:tc>
        <w:tc>
          <w:tcPr>
            <w:tcW w:w="2551" w:type="dxa"/>
            <w:vAlign w:val="center"/>
          </w:tcPr>
          <w:p>
            <w:pPr>
              <w:pStyle w:val="15"/>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0.92</w:t>
            </w:r>
          </w:p>
        </w:tc>
        <w:tc>
          <w:tcPr>
            <w:tcW w:w="2551" w:type="dxa"/>
            <w:vAlign w:val="center"/>
          </w:tcPr>
          <w:p>
            <w:pPr>
              <w:pStyle w:val="15"/>
            </w:pPr>
          </w:p>
        </w:tc>
        <w:tc>
          <w:tcPr>
            <w:tcW w:w="2551"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0.64</w:t>
            </w:r>
          </w:p>
        </w:tc>
        <w:tc>
          <w:tcPr>
            <w:tcW w:w="2551" w:type="dxa"/>
            <w:vAlign w:val="center"/>
          </w:tcPr>
          <w:p>
            <w:pPr>
              <w:pStyle w:val="15"/>
            </w:pPr>
          </w:p>
        </w:tc>
        <w:tc>
          <w:tcPr>
            <w:tcW w:w="2551"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0.06</w:t>
            </w:r>
          </w:p>
        </w:tc>
        <w:tc>
          <w:tcPr>
            <w:tcW w:w="2551" w:type="dxa"/>
            <w:vAlign w:val="center"/>
          </w:tcPr>
          <w:p>
            <w:pPr>
              <w:pStyle w:val="15"/>
            </w:pPr>
          </w:p>
        </w:tc>
        <w:tc>
          <w:tcPr>
            <w:tcW w:w="2551"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19132.69</w:t>
            </w:r>
          </w:p>
        </w:tc>
        <w:tc>
          <w:tcPr>
            <w:tcW w:w="2551" w:type="dxa"/>
            <w:vAlign w:val="center"/>
          </w:tcPr>
          <w:p>
            <w:pPr>
              <w:pStyle w:val="19"/>
            </w:pPr>
          </w:p>
        </w:tc>
        <w:tc>
          <w:tcPr>
            <w:tcW w:w="2551" w:type="dxa"/>
            <w:vAlign w:val="center"/>
          </w:tcPr>
          <w:p>
            <w:pPr>
              <w:pStyle w:val="19"/>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2120802</w:t>
            </w:r>
          </w:p>
        </w:tc>
        <w:tc>
          <w:tcPr>
            <w:tcW w:w="4535" w:type="dxa"/>
            <w:vAlign w:val="center"/>
          </w:tcPr>
          <w:p>
            <w:pPr>
              <w:pStyle w:val="16"/>
            </w:pPr>
            <w:r>
              <w:t>土地开发支出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保定市徐水区地方金融监督管理局本级2023年单位预算信息公开情况说明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按照《预算法》、《地方预决算公开操作规程》和《关于进一步推进预算公开工作的实施意见》规定，现将保定市徐水区地方金融监督管理局本级2023年单位预算公开如下：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根据《保定市徐水区地方金融监督管理局职能配置、内设机构和人员编制规定》，保定市徐水区地方金融监督管理局的主要职责是：</w:t>
      </w:r>
    </w:p>
    <w:p>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29"/>
      </w:pPr>
      <w:r>
        <w:t>（四）、负责对全区各类金融机构的监管工作；负责组织开展政府与金融机构合作、金融机构和企业对接，引导、协调和鼓励金融机构加强对全区经济社会发展的支持。</w:t>
      </w:r>
    </w:p>
    <w:p>
      <w:pPr>
        <w:pStyle w:val="29"/>
      </w:pPr>
      <w:r>
        <w:t>（五）、协调组织地方金融统计监测、专项调查等，督导地方法人金融机构完善法人治理和内控机制建设。</w:t>
      </w:r>
    </w:p>
    <w:p>
      <w:pPr>
        <w:pStyle w:val="29"/>
      </w:pPr>
      <w:r>
        <w:t>（六）、制定全区多层次资本市场培育、改革和民展的有关措施；协调和推动企业上市工作；协助证券监管部门做好对我区上市公司和直接融资活动的监督管理。</w:t>
      </w:r>
    </w:p>
    <w:p>
      <w:pPr>
        <w:pStyle w:val="29"/>
      </w:pPr>
      <w:r>
        <w:t>(七)、负责全区小额贷款公司的备案、变更和监督管理。</w:t>
      </w:r>
    </w:p>
    <w:p>
      <w:pPr>
        <w:pStyle w:val="29"/>
      </w:pPr>
      <w:r>
        <w:t>（八）、承担我区打击和处置非法集资工作领导小组办公室日常工作。会同有关部门防范、化解和处置全区金融风险；配合有关部门做好依法打击和处置非法集资等非法金融活动有关工作。</w:t>
      </w:r>
    </w:p>
    <w:p>
      <w:pPr>
        <w:pStyle w:val="29"/>
      </w:pPr>
      <w:r>
        <w:t>(九)、承担区金融工作小组办公室的日常工作。</w:t>
      </w:r>
    </w:p>
    <w:p>
      <w:pPr>
        <w:pStyle w:val="29"/>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保定市徐水区地方金融监督管理局本级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pPr>
        <w:pStyle w:val="30"/>
      </w:pPr>
      <w:r>
        <w:t>二、支出说明</w:t>
      </w:r>
    </w:p>
    <w:p>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pPr>
        <w:pStyle w:val="30"/>
      </w:pPr>
      <w:r>
        <w:t>三、比上年增减情况</w:t>
      </w:r>
    </w:p>
    <w:p>
      <w:pPr>
        <w:pStyle w:val="30"/>
      </w:pPr>
      <w:r>
        <w:t>本年度预算收支安排19255.02万元，较上年增加5023.33万元。其中:基本支出减少0.77万元，主要原因是压减支出，减少不必要支出；项目支出增加5024.10万元，主要原因是2023年金融局项目增加。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2023年我单位机关运行经费安排11.57万元，其中办公费1.62万元，邮电费3.32万元，工会经费、福利费1.61万元，公务用车运行维护费2.43万元，其他支出0.06万元。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利息资金收入次数</w:t>
            </w:r>
          </w:p>
        </w:tc>
        <w:tc>
          <w:tcPr>
            <w:tcW w:w="2835" w:type="dxa"/>
            <w:vAlign w:val="center"/>
          </w:tcPr>
          <w:p>
            <w:pPr>
              <w:pStyle w:val="16"/>
            </w:pPr>
            <w:r>
              <w:t>考核利息收入次数</w:t>
            </w:r>
          </w:p>
        </w:tc>
        <w:tc>
          <w:tcPr>
            <w:tcW w:w="2551" w:type="dxa"/>
            <w:vAlign w:val="center"/>
          </w:tcPr>
          <w:p>
            <w:pPr>
              <w:pStyle w:val="16"/>
            </w:pPr>
            <w:r>
              <w:t>4次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单位资金正常运转效率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资金支出进度占全年利息收入的比率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按照支出进度要求和预算构成执行</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有效的改善职工工作环境，有利于提高工作效率</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1.保证2023年金融局各项工作开展。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年度重点工作数量</w:t>
            </w:r>
          </w:p>
        </w:tc>
        <w:tc>
          <w:tcPr>
            <w:tcW w:w="2835" w:type="dxa"/>
            <w:vAlign w:val="center"/>
          </w:tcPr>
          <w:p>
            <w:pPr>
              <w:pStyle w:val="16"/>
            </w:pPr>
            <w:r>
              <w:t>年度重点工作数量</w:t>
            </w:r>
          </w:p>
        </w:tc>
        <w:tc>
          <w:tcPr>
            <w:tcW w:w="2551" w:type="dxa"/>
            <w:vAlign w:val="center"/>
          </w:tcPr>
          <w:p>
            <w:pPr>
              <w:pStyle w:val="16"/>
            </w:pPr>
            <w:r>
              <w:t>≤3件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综合事务管理工作完成达标率</w:t>
            </w:r>
          </w:p>
        </w:tc>
        <w:tc>
          <w:tcPr>
            <w:tcW w:w="2835" w:type="dxa"/>
            <w:vAlign w:val="center"/>
          </w:tcPr>
          <w:p>
            <w:pPr>
              <w:pStyle w:val="16"/>
            </w:pPr>
            <w:r>
              <w:t>综合事务管理工作质量情况</w:t>
            </w:r>
          </w:p>
        </w:tc>
        <w:tc>
          <w:tcPr>
            <w:tcW w:w="2551" w:type="dxa"/>
            <w:vAlign w:val="center"/>
          </w:tcPr>
          <w:p>
            <w:pPr>
              <w:pStyle w:val="16"/>
            </w:pPr>
            <w:r>
              <w:t>≤96%</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各项任务完成及时情况</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≤12.6万元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金融风险宣传率</w:t>
            </w:r>
          </w:p>
        </w:tc>
        <w:tc>
          <w:tcPr>
            <w:tcW w:w="2835" w:type="dxa"/>
            <w:vAlign w:val="center"/>
          </w:tcPr>
          <w:p>
            <w:pPr>
              <w:pStyle w:val="16"/>
            </w:pPr>
            <w:r>
              <w:t>金融风险防范，防范非法集资等政策宣传率</w:t>
            </w:r>
          </w:p>
        </w:tc>
        <w:tc>
          <w:tcPr>
            <w:tcW w:w="2551" w:type="dxa"/>
            <w:vAlign w:val="center"/>
          </w:tcPr>
          <w:p>
            <w:pPr>
              <w:pStyle w:val="16"/>
            </w:pPr>
            <w:r>
              <w:t>≥92%</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单位上级部门对本年工作满意度</w:t>
            </w:r>
          </w:p>
        </w:tc>
        <w:tc>
          <w:tcPr>
            <w:tcW w:w="2835" w:type="dxa"/>
            <w:vAlign w:val="center"/>
          </w:tcPr>
          <w:p>
            <w:pPr>
              <w:pStyle w:val="16"/>
            </w:pPr>
            <w:r>
              <w:t>考察上级部门对本年工作满意程度。</w:t>
            </w:r>
          </w:p>
        </w:tc>
        <w:tc>
          <w:tcPr>
            <w:tcW w:w="2551" w:type="dxa"/>
            <w:vAlign w:val="center"/>
          </w:tcPr>
          <w:p>
            <w:pPr>
              <w:pStyle w:val="16"/>
            </w:pPr>
            <w:r>
              <w:t>≥92%</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3.根据工作计划拨付化债资金及贷款利息。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需要偿还的贷款利息到位率</w:t>
            </w:r>
          </w:p>
        </w:tc>
        <w:tc>
          <w:tcPr>
            <w:tcW w:w="2835" w:type="dxa"/>
            <w:vAlign w:val="center"/>
          </w:tcPr>
          <w:p>
            <w:pPr>
              <w:pStyle w:val="16"/>
            </w:pPr>
            <w:r>
              <w:t>考察需要偿还贷款所产生的利息资金到位情况。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化解债务资金支出</w:t>
            </w:r>
          </w:p>
        </w:tc>
        <w:tc>
          <w:tcPr>
            <w:tcW w:w="2835" w:type="dxa"/>
            <w:vAlign w:val="center"/>
          </w:tcPr>
          <w:p>
            <w:pPr>
              <w:pStyle w:val="16"/>
            </w:pPr>
            <w:r>
              <w:t>考察化解任务资金是否按资金申报一致</w:t>
            </w:r>
          </w:p>
        </w:tc>
        <w:tc>
          <w:tcPr>
            <w:tcW w:w="2551" w:type="dxa"/>
            <w:vAlign w:val="center"/>
          </w:tcPr>
          <w:p>
            <w:pPr>
              <w:pStyle w:val="16"/>
            </w:pPr>
            <w:r>
              <w:t>≤13598万元</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3.根据工作计划按年拨付化债资金300万元。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本年度内化债欠款公司数量 </w:t>
            </w:r>
          </w:p>
        </w:tc>
        <w:tc>
          <w:tcPr>
            <w:tcW w:w="2835" w:type="dxa"/>
            <w:vAlign w:val="center"/>
          </w:tcPr>
          <w:p>
            <w:pPr>
              <w:pStyle w:val="16"/>
            </w:pPr>
            <w:r>
              <w:t>考核是否按照工作方案规定的欠款公司数量进行化债资金拨付</w:t>
            </w:r>
          </w:p>
        </w:tc>
        <w:tc>
          <w:tcPr>
            <w:tcW w:w="2551" w:type="dxa"/>
            <w:vAlign w:val="center"/>
          </w:tcPr>
          <w:p>
            <w:pPr>
              <w:pStyle w:val="16"/>
            </w:pPr>
            <w:r>
              <w:t>1家</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化解债务资金成本控制率</w:t>
            </w:r>
          </w:p>
        </w:tc>
        <w:tc>
          <w:tcPr>
            <w:tcW w:w="2835" w:type="dxa"/>
            <w:vAlign w:val="center"/>
          </w:tcPr>
          <w:p>
            <w:pPr>
              <w:pStyle w:val="16"/>
            </w:pPr>
            <w:r>
              <w:t>考察化解任务资金是否按资金申报一致</w:t>
            </w:r>
          </w:p>
        </w:tc>
        <w:tc>
          <w:tcPr>
            <w:tcW w:w="2551" w:type="dxa"/>
            <w:vAlign w:val="center"/>
          </w:tcPr>
          <w:p>
            <w:pPr>
              <w:pStyle w:val="16"/>
            </w:pPr>
            <w:r>
              <w:t>≤100%</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2023年，保定市徐水区地方金融监督管理局本级安排政府采购预算7.00万元。具体内容见下表。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保定市徐水区地方金融监督管理局本级小计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2023年金融局专项业务费</w:t>
            </w:r>
          </w:p>
        </w:tc>
        <w:tc>
          <w:tcPr>
            <w:tcW w:w="964" w:type="dxa"/>
            <w:vAlign w:val="center"/>
          </w:tcPr>
          <w:p>
            <w:pPr>
              <w:pStyle w:val="15"/>
            </w:pPr>
            <w:r>
              <w:t>12.60</w:t>
            </w:r>
          </w:p>
        </w:tc>
        <w:tc>
          <w:tcPr>
            <w:tcW w:w="1134" w:type="dxa"/>
            <w:vAlign w:val="center"/>
          </w:tcPr>
          <w:p>
            <w:pPr>
              <w:pStyle w:val="16"/>
            </w:pPr>
            <w:r>
              <w:t>出版服务</w:t>
            </w:r>
          </w:p>
        </w:tc>
        <w:tc>
          <w:tcPr>
            <w:tcW w:w="1134" w:type="dxa"/>
            <w:vAlign w:val="center"/>
          </w:tcPr>
          <w:p>
            <w:pPr>
              <w:pStyle w:val="16"/>
            </w:pPr>
            <w:r>
              <w:t>C23090200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保定市徐水区地方金融监督管理局本级上年末固定资产金额为0.00万元（详见下表）。本年度拟购置固定资产总额为0.00万元，已按要求列入政府采购预算，详见政府采购预算表。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8F"/>
    <w:rsid w:val="0021773C"/>
    <w:rsid w:val="0054308A"/>
    <w:rsid w:val="006860DD"/>
    <w:rsid w:val="006E0CD3"/>
    <w:rsid w:val="00950C8F"/>
    <w:rsid w:val="00B4450B"/>
    <w:rsid w:val="00C0022E"/>
    <w:rsid w:val="00F925FB"/>
    <w:rsid w:val="7841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2023-02-28T09:47:25Z</dcterms:created>
  <dcterms:modified xsi:type="dcterms:W3CDTF">2023-02-28T01:47:25Z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2023-02-28T09:46:35Z</dcterms:created>
  <dcterms:modified xsi:type="dcterms:W3CDTF">2023-02-28T01:46:35Z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2023-02-28T09:46:29Z</dcterms:created>
  <dcterms:modified xsi:type="dcterms:W3CDTF">2023-02-28T01:46:29Z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2023-02-28T09:47:23Z</dcterms:created>
  <dcterms:modified xsi:type="dcterms:W3CDTF">2023-02-28T01:47:23Z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2023-02-28T09:46:36Z</dcterms:created>
  <dcterms:modified xsi:type="dcterms:W3CDTF">2023-02-28T01:46:36Z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0F3643E-1416-494C-B399-06465A3580B9}">
  <ds:schemaRefs/>
</ds:datastoreItem>
</file>

<file path=customXml/itemProps11.xml><?xml version="1.0" encoding="utf-8"?>
<ds:datastoreItem xmlns:ds="http://schemas.openxmlformats.org/officeDocument/2006/customXml" ds:itemID="{58E8329F-0A02-4851-B9B7-01A49B955B6A}">
  <ds:schemaRefs/>
</ds:datastoreItem>
</file>

<file path=customXml/itemProps12.xml><?xml version="1.0" encoding="utf-8"?>
<ds:datastoreItem xmlns:ds="http://schemas.openxmlformats.org/officeDocument/2006/customXml" ds:itemID="{4AE951DB-66F1-47C8-96BC-91D2D2BEEE97}">
  <ds:schemaRefs/>
</ds:datastoreItem>
</file>

<file path=customXml/itemProps13.xml><?xml version="1.0" encoding="utf-8"?>
<ds:datastoreItem xmlns:ds="http://schemas.openxmlformats.org/officeDocument/2006/customXml" ds:itemID="{6CECAAF8-BDE6-4810-87A1-45182D55E739}">
  <ds:schemaRefs/>
</ds:datastoreItem>
</file>

<file path=customXml/itemProps14.xml><?xml version="1.0" encoding="utf-8"?>
<ds:datastoreItem xmlns:ds="http://schemas.openxmlformats.org/officeDocument/2006/customXml" ds:itemID="{C20A3729-F242-4114-8931-8BB21273062F}">
  <ds:schemaRefs/>
</ds:datastoreItem>
</file>

<file path=customXml/itemProps15.xml><?xml version="1.0" encoding="utf-8"?>
<ds:datastoreItem xmlns:ds="http://schemas.openxmlformats.org/officeDocument/2006/customXml" ds:itemID="{BAF486B9-A3DF-433E-99AD-6AE75AEA2D22}">
  <ds:schemaRefs/>
</ds:datastoreItem>
</file>

<file path=customXml/itemProps16.xml><?xml version="1.0" encoding="utf-8"?>
<ds:datastoreItem xmlns:ds="http://schemas.openxmlformats.org/officeDocument/2006/customXml" ds:itemID="{290A8433-9E57-454C-89D3-90A144184BFD}">
  <ds:schemaRefs/>
</ds:datastoreItem>
</file>

<file path=customXml/itemProps17.xml><?xml version="1.0" encoding="utf-8"?>
<ds:datastoreItem xmlns:ds="http://schemas.openxmlformats.org/officeDocument/2006/customXml" ds:itemID="{CA61FAC1-2F88-45BF-954A-DABD9561B247}">
  <ds:schemaRefs/>
</ds:datastoreItem>
</file>

<file path=customXml/itemProps18.xml><?xml version="1.0" encoding="utf-8"?>
<ds:datastoreItem xmlns:ds="http://schemas.openxmlformats.org/officeDocument/2006/customXml" ds:itemID="{C31D968F-8613-495C-9C33-8F0884214B36}">
  <ds:schemaRefs/>
</ds:datastoreItem>
</file>

<file path=customXml/itemProps19.xml><?xml version="1.0" encoding="utf-8"?>
<ds:datastoreItem xmlns:ds="http://schemas.openxmlformats.org/officeDocument/2006/customXml" ds:itemID="{B59D515A-E881-45F4-9FC8-0F5311366FB1}">
  <ds:schemaRefs/>
</ds:datastoreItem>
</file>

<file path=customXml/itemProps2.xml><?xml version="1.0" encoding="utf-8"?>
<ds:datastoreItem xmlns:ds="http://schemas.openxmlformats.org/officeDocument/2006/customXml" ds:itemID="{3D46E243-C8FF-4A80-A914-3EF1DFC5ADDC}">
  <ds:schemaRefs/>
</ds:datastoreItem>
</file>

<file path=customXml/itemProps20.xml><?xml version="1.0" encoding="utf-8"?>
<ds:datastoreItem xmlns:ds="http://schemas.openxmlformats.org/officeDocument/2006/customXml" ds:itemID="{0A24A312-6DD7-4C3D-BF19-167A79901CFB}">
  <ds:schemaRefs/>
</ds:datastoreItem>
</file>

<file path=customXml/itemProps21.xml><?xml version="1.0" encoding="utf-8"?>
<ds:datastoreItem xmlns:ds="http://schemas.openxmlformats.org/officeDocument/2006/customXml" ds:itemID="{D8DFB8A9-D33F-47A4-B6FC-750002662EBF}">
  <ds:schemaRefs/>
</ds:datastoreItem>
</file>

<file path=customXml/itemProps22.xml><?xml version="1.0" encoding="utf-8"?>
<ds:datastoreItem xmlns:ds="http://schemas.openxmlformats.org/officeDocument/2006/customXml" ds:itemID="{C5BFE9EB-9448-4CC7-ADA1-3D3E0B308180}">
  <ds:schemaRefs/>
</ds:datastoreItem>
</file>

<file path=customXml/itemProps23.xml><?xml version="1.0" encoding="utf-8"?>
<ds:datastoreItem xmlns:ds="http://schemas.openxmlformats.org/officeDocument/2006/customXml" ds:itemID="{6638EFCF-6228-42F8-B8A8-8C6DDB5C9C42}">
  <ds:schemaRefs/>
</ds:datastoreItem>
</file>

<file path=customXml/itemProps24.xml><?xml version="1.0" encoding="utf-8"?>
<ds:datastoreItem xmlns:ds="http://schemas.openxmlformats.org/officeDocument/2006/customXml" ds:itemID="{C16C43D4-CB32-4198-B5AA-B280545D89A3}">
  <ds:schemaRefs/>
</ds:datastoreItem>
</file>

<file path=customXml/itemProps25.xml><?xml version="1.0" encoding="utf-8"?>
<ds:datastoreItem xmlns:ds="http://schemas.openxmlformats.org/officeDocument/2006/customXml" ds:itemID="{BB4F0637-40BC-48E9-8AF0-D4583013FEB0}">
  <ds:schemaRefs/>
</ds:datastoreItem>
</file>

<file path=customXml/itemProps26.xml><?xml version="1.0" encoding="utf-8"?>
<ds:datastoreItem xmlns:ds="http://schemas.openxmlformats.org/officeDocument/2006/customXml" ds:itemID="{92095798-EEEF-4F7B-8B76-37D9DE5FA9BA}">
  <ds:schemaRefs/>
</ds:datastoreItem>
</file>

<file path=customXml/itemProps27.xml><?xml version="1.0" encoding="utf-8"?>
<ds:datastoreItem xmlns:ds="http://schemas.openxmlformats.org/officeDocument/2006/customXml" ds:itemID="{B39F05A5-7DB5-44C1-ABD1-013835DEFE31}">
  <ds:schemaRefs/>
</ds:datastoreItem>
</file>

<file path=customXml/itemProps28.xml><?xml version="1.0" encoding="utf-8"?>
<ds:datastoreItem xmlns:ds="http://schemas.openxmlformats.org/officeDocument/2006/customXml" ds:itemID="{1062F138-1DA4-427D-930D-D19F60668FAD}">
  <ds:schemaRefs/>
</ds:datastoreItem>
</file>

<file path=customXml/itemProps29.xml><?xml version="1.0" encoding="utf-8"?>
<ds:datastoreItem xmlns:ds="http://schemas.openxmlformats.org/officeDocument/2006/customXml" ds:itemID="{F859324D-F821-4408-BBED-46CC70525039}">
  <ds:schemaRefs/>
</ds:datastoreItem>
</file>

<file path=customXml/itemProps3.xml><?xml version="1.0" encoding="utf-8"?>
<ds:datastoreItem xmlns:ds="http://schemas.openxmlformats.org/officeDocument/2006/customXml" ds:itemID="{6AAD6AC6-6CB9-4E91-9F40-F606B9C4E319}">
  <ds:schemaRefs/>
</ds:datastoreItem>
</file>

<file path=customXml/itemProps30.xml><?xml version="1.0" encoding="utf-8"?>
<ds:datastoreItem xmlns:ds="http://schemas.openxmlformats.org/officeDocument/2006/customXml" ds:itemID="{03BCA1AA-9F31-4577-AC12-0A312F44775F}">
  <ds:schemaRefs/>
</ds:datastoreItem>
</file>

<file path=customXml/itemProps31.xml><?xml version="1.0" encoding="utf-8"?>
<ds:datastoreItem xmlns:ds="http://schemas.openxmlformats.org/officeDocument/2006/customXml" ds:itemID="{05F5356E-C969-4EA7-842C-D2A503037C4A}">
  <ds:schemaRefs/>
</ds:datastoreItem>
</file>

<file path=customXml/itemProps4.xml><?xml version="1.0" encoding="utf-8"?>
<ds:datastoreItem xmlns:ds="http://schemas.openxmlformats.org/officeDocument/2006/customXml" ds:itemID="{F792B771-5F9D-46E5-B67C-454E7DF59394}">
  <ds:schemaRefs/>
</ds:datastoreItem>
</file>

<file path=customXml/itemProps5.xml><?xml version="1.0" encoding="utf-8"?>
<ds:datastoreItem xmlns:ds="http://schemas.openxmlformats.org/officeDocument/2006/customXml" ds:itemID="{EF432F1E-C10C-4682-BDB4-D741F8EBC851}">
  <ds:schemaRefs/>
</ds:datastoreItem>
</file>

<file path=customXml/itemProps6.xml><?xml version="1.0" encoding="utf-8"?>
<ds:datastoreItem xmlns:ds="http://schemas.openxmlformats.org/officeDocument/2006/customXml" ds:itemID="{11DAB83B-E11C-487C-A043-B5F85CA481EB}">
  <ds:schemaRefs/>
</ds:datastoreItem>
</file>

<file path=customXml/itemProps7.xml><?xml version="1.0" encoding="utf-8"?>
<ds:datastoreItem xmlns:ds="http://schemas.openxmlformats.org/officeDocument/2006/customXml" ds:itemID="{B8D64D5E-59B9-4F70-B17B-2B987BB548C5}">
  <ds:schemaRefs/>
</ds:datastoreItem>
</file>

<file path=customXml/itemProps8.xml><?xml version="1.0" encoding="utf-8"?>
<ds:datastoreItem xmlns:ds="http://schemas.openxmlformats.org/officeDocument/2006/customXml" ds:itemID="{1D40B309-8B92-421E-8386-98EADB7691BE}">
  <ds:schemaRefs/>
</ds:datastoreItem>
</file>

<file path=customXml/itemProps9.xml><?xml version="1.0" encoding="utf-8"?>
<ds:datastoreItem xmlns:ds="http://schemas.openxmlformats.org/officeDocument/2006/customXml" ds:itemID="{CF3518EF-E673-4F62-9D66-2D8379318987}">
  <ds:schemaRefs/>
</ds:datastoreItem>
</file>

<file path=docProps/app.xml><?xml version="1.0" encoding="utf-8"?>
<Properties xmlns="http://schemas.openxmlformats.org/officeDocument/2006/extended-properties" xmlns:vt="http://schemas.openxmlformats.org/officeDocument/2006/docPropsVTypes">
  <Template>Normal</Template>
  <Pages>73</Pages>
  <Words>4768</Words>
  <Characters>27179</Characters>
  <Lines>226</Lines>
  <Paragraphs>63</Paragraphs>
  <TotalTime>15</TotalTime>
  <ScaleCrop>false</ScaleCrop>
  <LinksUpToDate>false</LinksUpToDate>
  <CharactersWithSpaces>31884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2023-02-28T02:15:00Z</dcterms:created>
  <dc:creator>Lenovo</dc:creator>
  <cp:lastModifiedBy>Administrator</cp:lastModifiedBy>
  <dcterms:modified xsi:type="dcterms:W3CDTF">2024-08-21T08:06:02Z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2B8C6EE3BFAD498395CDB6D45B60E57C</vt:lpwstr>
  </property>
</Properties>
</file>