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spacing w:val="-4"/>
          <w:sz w:val="44"/>
          <w:szCs w:val="44"/>
          <w:highlight w:val="none"/>
        </w:rPr>
      </w:pPr>
      <w:r>
        <w:rPr>
          <w:rFonts w:hint="eastAsia" w:ascii="Times New Roman" w:hAnsi="Times New Roman" w:eastAsia="方正小标宋简体" w:cs="方正小标宋简体"/>
          <w:spacing w:val="-4"/>
          <w:sz w:val="44"/>
          <w:szCs w:val="44"/>
          <w:highlight w:val="none"/>
        </w:rPr>
        <w:t>保定市徐水区</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spacing w:val="-4"/>
          <w:sz w:val="44"/>
          <w:szCs w:val="44"/>
          <w:highlight w:val="none"/>
        </w:rPr>
      </w:pPr>
      <w:r>
        <w:rPr>
          <w:rFonts w:hint="eastAsia" w:ascii="Times New Roman" w:hAnsi="Times New Roman" w:eastAsia="方正小标宋简体" w:cs="方正小标宋简体"/>
          <w:spacing w:val="-4"/>
          <w:sz w:val="44"/>
          <w:szCs w:val="44"/>
          <w:highlight w:val="none"/>
        </w:rPr>
        <w:t>202</w:t>
      </w:r>
      <w:r>
        <w:rPr>
          <w:rFonts w:hint="eastAsia" w:eastAsia="方正小标宋简体" w:cs="方正小标宋简体"/>
          <w:spacing w:val="-4"/>
          <w:sz w:val="44"/>
          <w:szCs w:val="44"/>
          <w:highlight w:val="none"/>
          <w:lang w:val="en-US" w:eastAsia="zh-CN"/>
        </w:rPr>
        <w:t>3</w:t>
      </w:r>
      <w:r>
        <w:rPr>
          <w:rFonts w:hint="eastAsia" w:ascii="Times New Roman" w:hAnsi="Times New Roman" w:eastAsia="方正小标宋简体" w:cs="方正小标宋简体"/>
          <w:spacing w:val="-4"/>
          <w:sz w:val="44"/>
          <w:szCs w:val="44"/>
          <w:highlight w:val="none"/>
        </w:rPr>
        <w:t>年预算执行情况和202</w:t>
      </w:r>
      <w:r>
        <w:rPr>
          <w:rFonts w:hint="eastAsia" w:eastAsia="方正小标宋简体" w:cs="方正小标宋简体"/>
          <w:spacing w:val="-4"/>
          <w:sz w:val="44"/>
          <w:szCs w:val="44"/>
          <w:highlight w:val="none"/>
          <w:lang w:val="en-US" w:eastAsia="zh-CN"/>
        </w:rPr>
        <w:t>4</w:t>
      </w:r>
      <w:r>
        <w:rPr>
          <w:rFonts w:hint="eastAsia" w:ascii="Times New Roman" w:hAnsi="Times New Roman" w:eastAsia="方正小标宋简体" w:cs="方正小标宋简体"/>
          <w:spacing w:val="-4"/>
          <w:sz w:val="44"/>
          <w:szCs w:val="44"/>
          <w:highlight w:val="none"/>
        </w:rPr>
        <w:t>年预算（草案</w:t>
      </w:r>
      <w:r>
        <w:rPr>
          <w:rFonts w:hint="eastAsia" w:ascii="Times New Roman" w:hAnsi="Times New Roman" w:eastAsia="方正小标宋简体" w:cs="方正小标宋简体"/>
          <w:spacing w:val="-4"/>
          <w:sz w:val="44"/>
          <w:szCs w:val="44"/>
          <w:highlight w:val="none"/>
          <w:lang w:eastAsia="zh-CN"/>
        </w:rPr>
        <w:t>）</w:t>
      </w:r>
      <w:r>
        <w:rPr>
          <w:rFonts w:hint="eastAsia" w:ascii="Times New Roman" w:hAnsi="Times New Roman" w:eastAsia="方正小标宋简体" w:cs="方正小标宋简体"/>
          <w:spacing w:val="-4"/>
          <w:sz w:val="44"/>
          <w:szCs w:val="44"/>
          <w:highlight w:val="none"/>
        </w:rPr>
        <w:t>的</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spacing w:val="-4"/>
          <w:sz w:val="44"/>
          <w:szCs w:val="44"/>
          <w:highlight w:val="none"/>
        </w:rPr>
      </w:pPr>
      <w:r>
        <w:rPr>
          <w:rFonts w:hint="eastAsia" w:ascii="Times New Roman" w:hAnsi="Times New Roman" w:eastAsia="方正小标宋简体" w:cs="方正小标宋简体"/>
          <w:spacing w:val="-4"/>
          <w:sz w:val="44"/>
          <w:szCs w:val="44"/>
          <w:highlight w:val="none"/>
        </w:rPr>
        <w:t>报   告</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Times New Roman" w:hAnsi="Times New Roman" w:eastAsia="方正书宋简体"/>
          <w:spacing w:val="-4"/>
          <w:sz w:val="28"/>
          <w:szCs w:val="28"/>
          <w:highlight w:val="none"/>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spacing w:val="-8"/>
          <w:sz w:val="32"/>
          <w:szCs w:val="32"/>
          <w:highlight w:val="none"/>
        </w:rPr>
      </w:pPr>
      <w:r>
        <w:rPr>
          <w:rFonts w:ascii="Times New Roman" w:hAnsi="Times New Roman"/>
          <w:spacing w:val="-8"/>
          <w:sz w:val="32"/>
          <w:szCs w:val="32"/>
          <w:highlight w:val="none"/>
        </w:rPr>
        <w:t>在</w:t>
      </w:r>
      <w:r>
        <w:rPr>
          <w:rFonts w:hint="eastAsia" w:ascii="Times New Roman" w:hAnsi="Times New Roman"/>
          <w:spacing w:val="-8"/>
          <w:sz w:val="32"/>
          <w:szCs w:val="32"/>
          <w:highlight w:val="none"/>
        </w:rPr>
        <w:t>保定市徐水区第</w:t>
      </w:r>
      <w:r>
        <w:rPr>
          <w:rFonts w:hint="eastAsia" w:ascii="Times New Roman" w:hAnsi="Times New Roman"/>
          <w:spacing w:val="-8"/>
          <w:sz w:val="32"/>
          <w:szCs w:val="32"/>
          <w:highlight w:val="none"/>
          <w:lang w:val="en-US" w:eastAsia="zh-CN"/>
        </w:rPr>
        <w:t>三</w:t>
      </w:r>
      <w:r>
        <w:rPr>
          <w:rFonts w:hint="eastAsia" w:ascii="Times New Roman" w:hAnsi="Times New Roman"/>
          <w:spacing w:val="-8"/>
          <w:sz w:val="32"/>
          <w:szCs w:val="32"/>
          <w:highlight w:val="none"/>
        </w:rPr>
        <w:t>届人民代表大会第</w:t>
      </w:r>
      <w:r>
        <w:rPr>
          <w:rFonts w:hint="eastAsia"/>
          <w:spacing w:val="-8"/>
          <w:sz w:val="32"/>
          <w:szCs w:val="32"/>
          <w:highlight w:val="none"/>
          <w:lang w:val="en-US" w:eastAsia="zh-CN"/>
        </w:rPr>
        <w:t>四</w:t>
      </w:r>
      <w:r>
        <w:rPr>
          <w:rFonts w:hint="eastAsia" w:ascii="Times New Roman" w:hAnsi="Times New Roman"/>
          <w:spacing w:val="-8"/>
          <w:sz w:val="32"/>
          <w:szCs w:val="32"/>
          <w:highlight w:val="none"/>
        </w:rPr>
        <w:t>次会议上</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楷体_GB2312"/>
          <w:spacing w:val="-4"/>
          <w:sz w:val="30"/>
          <w:szCs w:val="28"/>
          <w:highlight w:val="none"/>
        </w:rPr>
      </w:pPr>
      <w:r>
        <w:rPr>
          <w:rFonts w:hint="eastAsia" w:ascii="Times New Roman" w:hAnsi="Times New Roman" w:eastAsia="楷体_GB2312"/>
          <w:spacing w:val="-4"/>
          <w:sz w:val="32"/>
          <w:szCs w:val="32"/>
          <w:highlight w:val="none"/>
        </w:rPr>
        <w:t>保</w:t>
      </w:r>
      <w:r>
        <w:rPr>
          <w:rFonts w:ascii="Times New Roman" w:hAnsi="Times New Roman" w:eastAsia="楷体_GB2312"/>
          <w:spacing w:val="-4"/>
          <w:sz w:val="32"/>
          <w:szCs w:val="32"/>
          <w:highlight w:val="none"/>
        </w:rPr>
        <w:t>定市徐水</w:t>
      </w:r>
      <w:r>
        <w:rPr>
          <w:rFonts w:hint="eastAsia" w:ascii="Times New Roman" w:hAnsi="Times New Roman" w:eastAsia="楷体_GB2312"/>
          <w:spacing w:val="-4"/>
          <w:sz w:val="32"/>
          <w:szCs w:val="32"/>
          <w:highlight w:val="none"/>
        </w:rPr>
        <w:t>区</w:t>
      </w:r>
      <w:r>
        <w:rPr>
          <w:rFonts w:ascii="Times New Roman" w:hAnsi="Times New Roman" w:eastAsia="楷体_GB2312"/>
          <w:spacing w:val="-4"/>
          <w:sz w:val="32"/>
          <w:szCs w:val="32"/>
          <w:highlight w:val="none"/>
        </w:rPr>
        <w:t xml:space="preserve">财政局局长  </w:t>
      </w:r>
      <w:r>
        <w:rPr>
          <w:rFonts w:hint="eastAsia" w:ascii="Times New Roman" w:hAnsi="Times New Roman" w:eastAsia="楷体_GB2312"/>
          <w:spacing w:val="-4"/>
          <w:sz w:val="32"/>
          <w:szCs w:val="32"/>
          <w:highlight w:val="none"/>
          <w:lang w:eastAsia="zh-CN"/>
        </w:rPr>
        <w:t>江磊</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ascii="Times New Roman" w:hAnsi="Times New Roman" w:eastAsia="楷体_GB2312"/>
          <w:spacing w:val="-4"/>
          <w:sz w:val="30"/>
          <w:szCs w:val="28"/>
          <w:highlight w:val="none"/>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spacing w:val="-4"/>
          <w:sz w:val="32"/>
          <w:szCs w:val="32"/>
          <w:highlight w:val="none"/>
        </w:rPr>
      </w:pPr>
      <w:r>
        <w:rPr>
          <w:rFonts w:hint="eastAsia" w:ascii="方正仿宋_GBK" w:hAnsi="方正仿宋_GBK" w:eastAsia="方正仿宋_GBK" w:cs="方正仿宋_GBK"/>
          <w:b/>
          <w:spacing w:val="-4"/>
          <w:sz w:val="32"/>
          <w:szCs w:val="32"/>
          <w:highlight w:val="none"/>
        </w:rPr>
        <w:t>各位代表：</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受区人民政府委托，我向大会报告保定市徐水区2023年预算执行情况和2024年预算（草案），请予审议，并请政协委员和其他列席同志提出意见。</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4" w:firstLineChars="200"/>
        <w:jc w:val="both"/>
        <w:textAlignment w:val="auto"/>
        <w:rPr>
          <w:rFonts w:hint="eastAsia" w:ascii="Times New Roman" w:hAnsi="Times New Roman" w:eastAsia="方正黑体_GBK" w:cs="方正黑体_GBK"/>
          <w:b w:val="0"/>
          <w:bCs w:val="0"/>
          <w:spacing w:val="-4"/>
          <w:sz w:val="32"/>
          <w:szCs w:val="32"/>
          <w:highlight w:val="none"/>
          <w:lang w:val="en-US" w:eastAsia="zh-CN"/>
        </w:rPr>
      </w:pPr>
      <w:r>
        <w:rPr>
          <w:rFonts w:hint="eastAsia" w:ascii="Times New Roman" w:hAnsi="Times New Roman" w:eastAsia="方正黑体_GBK" w:cs="方正黑体_GBK"/>
          <w:b w:val="0"/>
          <w:bCs w:val="0"/>
          <w:spacing w:val="-4"/>
          <w:sz w:val="32"/>
          <w:szCs w:val="32"/>
          <w:highlight w:val="none"/>
        </w:rPr>
        <w:t>一、</w:t>
      </w:r>
      <w:r>
        <w:rPr>
          <w:rFonts w:hint="eastAsia" w:ascii="Times New Roman" w:hAnsi="Times New Roman" w:eastAsia="方正黑体_GBK" w:cs="方正黑体_GBK"/>
          <w:b w:val="0"/>
          <w:bCs w:val="0"/>
          <w:spacing w:val="-4"/>
          <w:sz w:val="32"/>
          <w:szCs w:val="32"/>
          <w:highlight w:val="none"/>
          <w:lang w:val="en-US"/>
        </w:rPr>
        <w:t>202</w:t>
      </w:r>
      <w:r>
        <w:rPr>
          <w:rFonts w:hint="eastAsia" w:eastAsia="方正黑体_GBK" w:cs="方正黑体_GBK"/>
          <w:b w:val="0"/>
          <w:bCs w:val="0"/>
          <w:spacing w:val="-4"/>
          <w:sz w:val="32"/>
          <w:szCs w:val="32"/>
          <w:highlight w:val="none"/>
          <w:lang w:val="en-US" w:eastAsia="zh-CN"/>
        </w:rPr>
        <w:t>3</w:t>
      </w:r>
      <w:r>
        <w:rPr>
          <w:rFonts w:hint="eastAsia" w:ascii="Times New Roman" w:hAnsi="Times New Roman" w:eastAsia="方正黑体_GBK" w:cs="方正黑体_GBK"/>
          <w:b w:val="0"/>
          <w:bCs w:val="0"/>
          <w:spacing w:val="-4"/>
          <w:sz w:val="32"/>
          <w:szCs w:val="32"/>
          <w:highlight w:val="none"/>
          <w:lang w:val="en-US" w:eastAsia="zh-CN"/>
        </w:rPr>
        <w:t>年预算执行情况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default"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是徐水区发展历程中极不平凡的一年。面对严峻复杂的发展形势、艰巨繁重的改革任务和异常尖锐的收支矛盾，在区委的坚强领导下，在区人大及其常委会的监督支持下，全区财政工作坚持以习近平新时代中国特色社会主义思想为指导，全面贯彻党的二十大和二十届二中全会精神，把握高质量发展这一首要任务，坚持稳中求进工作总基调，以人民至上为统领，以深化改革为动力，狠抓收入管理，优化支出结构，妥善调度资金，提升预算绩效管理水平，全区财政</w:t>
      </w:r>
      <w:r>
        <w:rPr>
          <w:rFonts w:hint="default" w:eastAsia="方正仿宋_GBK" w:cs="Times New Roman"/>
          <w:spacing w:val="-6"/>
          <w:sz w:val="32"/>
          <w:szCs w:val="32"/>
          <w:highlight w:val="none"/>
          <w:lang w:val="en-US" w:eastAsia="zh-CN"/>
        </w:rPr>
        <w:t>实现了</w:t>
      </w:r>
      <w:r>
        <w:rPr>
          <w:rFonts w:hint="eastAsia" w:eastAsia="方正仿宋_GBK" w:cs="Times New Roman"/>
          <w:spacing w:val="-6"/>
          <w:sz w:val="32"/>
          <w:szCs w:val="32"/>
          <w:highlight w:val="none"/>
          <w:lang w:val="en-US" w:eastAsia="zh-CN"/>
        </w:rPr>
        <w:t>来之不易的</w:t>
      </w:r>
      <w:r>
        <w:rPr>
          <w:rFonts w:hint="default" w:eastAsia="方正仿宋_GBK" w:cs="Times New Roman"/>
          <w:spacing w:val="-6"/>
          <w:sz w:val="32"/>
          <w:szCs w:val="32"/>
          <w:highlight w:val="none"/>
          <w:lang w:val="en-US" w:eastAsia="zh-CN"/>
        </w:rPr>
        <w:t>平稳运行，</w:t>
      </w:r>
      <w:r>
        <w:rPr>
          <w:rFonts w:hint="eastAsia" w:eastAsia="方正仿宋_GBK" w:cs="Times New Roman"/>
          <w:spacing w:val="-6"/>
          <w:sz w:val="32"/>
          <w:szCs w:val="32"/>
          <w:highlight w:val="none"/>
          <w:lang w:val="en-US" w:eastAsia="zh-CN"/>
        </w:rPr>
        <w:t>发挥了在国家治理中的基础和重要支柱作用，为加快建设新时代经济强区、美丽徐水，精心打造现代化品质生活之城提供了有力的财政支撑。</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4" w:firstLineChars="200"/>
        <w:jc w:val="both"/>
        <w:textAlignment w:val="auto"/>
        <w:rPr>
          <w:rFonts w:hint="eastAsia" w:ascii="Times New Roman" w:hAnsi="Times New Roman" w:eastAsia="方正楷体_GBK" w:cs="方正楷体_GBK"/>
          <w:b w:val="0"/>
          <w:bCs/>
          <w:spacing w:val="-4"/>
          <w:sz w:val="32"/>
          <w:szCs w:val="32"/>
          <w:highlight w:val="none"/>
          <w:u w:val="none"/>
        </w:rPr>
      </w:pPr>
      <w:r>
        <w:rPr>
          <w:rFonts w:hint="eastAsia" w:ascii="Times New Roman" w:hAnsi="Times New Roman" w:eastAsia="方正楷体_GBK" w:cs="方正楷体_GBK"/>
          <w:b w:val="0"/>
          <w:bCs/>
          <w:spacing w:val="-4"/>
          <w:sz w:val="32"/>
          <w:szCs w:val="32"/>
          <w:highlight w:val="none"/>
          <w:u w:val="none"/>
        </w:rPr>
        <w:t>（一）一般公共预算执行情况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方正仿宋_GBK"/>
          <w:b/>
          <w:bCs w:val="0"/>
          <w:spacing w:val="-4"/>
          <w:sz w:val="32"/>
          <w:szCs w:val="32"/>
          <w:highlight w:val="none"/>
          <w:u w:val="none"/>
        </w:rPr>
      </w:pPr>
      <w:r>
        <w:rPr>
          <w:rFonts w:ascii="Times New Roman" w:hAnsi="Times New Roman" w:eastAsia="方正仿宋_GBK"/>
          <w:b/>
          <w:bCs w:val="0"/>
          <w:spacing w:val="-4"/>
          <w:sz w:val="32"/>
          <w:szCs w:val="32"/>
          <w:highlight w:val="none"/>
          <w:u w:val="none"/>
        </w:rPr>
        <w:t>1</w:t>
      </w:r>
      <w:r>
        <w:rPr>
          <w:rFonts w:hint="eastAsia" w:ascii="Times New Roman" w:hAnsi="Times New Roman" w:eastAsia="方正仿宋_GBK" w:cs="仿宋"/>
          <w:b/>
          <w:bCs w:val="0"/>
          <w:color w:val="000000"/>
          <w:sz w:val="32"/>
          <w:szCs w:val="32"/>
          <w:highlight w:val="none"/>
          <w:u w:val="none"/>
        </w:rPr>
        <w:t>.</w:t>
      </w:r>
      <w:r>
        <w:rPr>
          <w:rFonts w:hint="eastAsia" w:ascii="Times New Roman" w:hAnsi="Times New Roman" w:eastAsia="方正仿宋_GBK" w:cs="方正仿宋_GBK"/>
          <w:b/>
          <w:bCs w:val="0"/>
          <w:spacing w:val="-4"/>
          <w:kern w:val="0"/>
          <w:sz w:val="32"/>
          <w:szCs w:val="32"/>
          <w:highlight w:val="none"/>
          <w:u w:val="none"/>
        </w:rPr>
        <w:t>一般公共预算收入执行情况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2023年，一般公共预算收入完成</w:t>
      </w:r>
      <w:r>
        <w:rPr>
          <w:rFonts w:hint="default" w:eastAsia="方正仿宋_GBK" w:cs="Times New Roman"/>
          <w:spacing w:val="-6"/>
          <w:sz w:val="32"/>
          <w:szCs w:val="32"/>
          <w:highlight w:val="none"/>
          <w:lang w:val="en-US" w:eastAsia="zh-CN"/>
        </w:rPr>
        <w:t>20.13</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100.7</w:t>
      </w:r>
      <w:r>
        <w:rPr>
          <w:rFonts w:hint="eastAsia" w:eastAsia="方正仿宋_GBK" w:cs="Times New Roman"/>
          <w:spacing w:val="-6"/>
          <w:sz w:val="32"/>
          <w:szCs w:val="32"/>
          <w:highlight w:val="none"/>
          <w:lang w:val="en-US" w:eastAsia="zh-CN"/>
        </w:rPr>
        <w:t>%，超收</w:t>
      </w:r>
      <w:r>
        <w:rPr>
          <w:rFonts w:hint="default" w:eastAsia="方正仿宋_GBK" w:cs="Times New Roman"/>
          <w:spacing w:val="-6"/>
          <w:sz w:val="32"/>
          <w:szCs w:val="32"/>
          <w:highlight w:val="none"/>
          <w:lang w:val="en-US" w:eastAsia="zh-CN"/>
        </w:rPr>
        <w:t>1338</w:t>
      </w:r>
      <w:r>
        <w:rPr>
          <w:rFonts w:hint="eastAsia" w:eastAsia="方正仿宋_GBK" w:cs="Times New Roman"/>
          <w:spacing w:val="-6"/>
          <w:sz w:val="32"/>
          <w:szCs w:val="32"/>
          <w:highlight w:val="none"/>
          <w:lang w:val="en-US" w:eastAsia="zh-CN"/>
        </w:rPr>
        <w:t>万元，较上年下降</w:t>
      </w:r>
      <w:r>
        <w:rPr>
          <w:rFonts w:hint="default" w:eastAsia="方正仿宋_GBK" w:cs="Times New Roman"/>
          <w:spacing w:val="-6"/>
          <w:sz w:val="32"/>
          <w:szCs w:val="32"/>
          <w:highlight w:val="none"/>
          <w:lang w:val="en-US" w:eastAsia="zh-CN"/>
        </w:rPr>
        <w:t>11.8</w:t>
      </w:r>
      <w:r>
        <w:rPr>
          <w:rFonts w:hint="eastAsia" w:eastAsia="方正仿宋_GBK" w:cs="Times New Roman"/>
          <w:spacing w:val="-6"/>
          <w:sz w:val="32"/>
          <w:szCs w:val="32"/>
          <w:highlight w:val="none"/>
          <w:lang w:val="en-US" w:eastAsia="zh-CN"/>
        </w:rPr>
        <w:t>%，减收</w:t>
      </w:r>
      <w:r>
        <w:rPr>
          <w:rFonts w:hint="default" w:eastAsia="方正仿宋_GBK" w:cs="Times New Roman"/>
          <w:spacing w:val="-6"/>
          <w:sz w:val="32"/>
          <w:szCs w:val="32"/>
          <w:highlight w:val="none"/>
          <w:lang w:val="en-US" w:eastAsia="zh-CN"/>
        </w:rPr>
        <w:t>2.7</w:t>
      </w:r>
      <w:r>
        <w:rPr>
          <w:rFonts w:hint="eastAsia" w:eastAsia="方正仿宋_GBK" w:cs="Times New Roman"/>
          <w:spacing w:val="-6"/>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方正仿宋_GBK"/>
          <w:b/>
          <w:bCs w:val="0"/>
          <w:spacing w:val="-4"/>
          <w:sz w:val="32"/>
          <w:szCs w:val="32"/>
          <w:highlight w:val="none"/>
          <w:u w:val="none"/>
        </w:rPr>
      </w:pPr>
      <w:r>
        <w:rPr>
          <w:rFonts w:ascii="Times New Roman" w:hAnsi="Times New Roman" w:eastAsia="方正仿宋_GBK"/>
          <w:b/>
          <w:bCs w:val="0"/>
          <w:spacing w:val="-4"/>
          <w:sz w:val="32"/>
          <w:szCs w:val="32"/>
          <w:highlight w:val="none"/>
          <w:u w:val="none"/>
        </w:rPr>
        <w:t>2</w:t>
      </w:r>
      <w:r>
        <w:rPr>
          <w:rFonts w:hint="eastAsia" w:ascii="Times New Roman" w:hAnsi="Times New Roman" w:eastAsia="方正仿宋_GBK" w:cs="仿宋"/>
          <w:b/>
          <w:bCs w:val="0"/>
          <w:color w:val="000000"/>
          <w:sz w:val="32"/>
          <w:szCs w:val="32"/>
          <w:highlight w:val="none"/>
          <w:u w:val="none"/>
        </w:rPr>
        <w:t>.</w:t>
      </w:r>
      <w:r>
        <w:rPr>
          <w:rFonts w:hint="eastAsia" w:ascii="Times New Roman" w:hAnsi="Times New Roman" w:eastAsia="方正仿宋_GBK" w:cs="宋体"/>
          <w:b/>
          <w:bCs w:val="0"/>
          <w:spacing w:val="-4"/>
          <w:kern w:val="0"/>
          <w:sz w:val="32"/>
          <w:szCs w:val="32"/>
          <w:highlight w:val="none"/>
          <w:u w:val="none"/>
        </w:rPr>
        <w:t>一</w:t>
      </w:r>
      <w:r>
        <w:rPr>
          <w:rFonts w:ascii="Times New Roman" w:hAnsi="Times New Roman" w:eastAsia="方正仿宋_GBK" w:cs="宋体"/>
          <w:b/>
          <w:bCs w:val="0"/>
          <w:spacing w:val="-4"/>
          <w:kern w:val="0"/>
          <w:sz w:val="32"/>
          <w:szCs w:val="32"/>
          <w:highlight w:val="none"/>
          <w:u w:val="none"/>
        </w:rPr>
        <w:t>般</w:t>
      </w:r>
      <w:r>
        <w:rPr>
          <w:rFonts w:hint="eastAsia" w:ascii="Times New Roman" w:hAnsi="Times New Roman" w:eastAsia="方正仿宋_GBK" w:cs="宋体"/>
          <w:b/>
          <w:bCs w:val="0"/>
          <w:spacing w:val="-4"/>
          <w:kern w:val="0"/>
          <w:sz w:val="32"/>
          <w:szCs w:val="32"/>
          <w:highlight w:val="none"/>
          <w:u w:val="none"/>
        </w:rPr>
        <w:t>公共预算支出执行情况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2023年，一般公共预算支出完成</w:t>
      </w:r>
      <w:r>
        <w:rPr>
          <w:rFonts w:hint="default" w:eastAsia="方正仿宋_GBK" w:cs="Times New Roman"/>
          <w:spacing w:val="-6"/>
          <w:sz w:val="32"/>
          <w:szCs w:val="32"/>
          <w:highlight w:val="none"/>
          <w:lang w:val="en-US" w:eastAsia="zh-CN"/>
        </w:rPr>
        <w:t>41.37</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93.7</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0.1%</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532</w:t>
      </w:r>
      <w:r>
        <w:rPr>
          <w:rFonts w:hint="eastAsia" w:eastAsia="方正仿宋_GBK" w:cs="Times New Roman"/>
          <w:spacing w:val="-6"/>
          <w:sz w:val="32"/>
          <w:szCs w:val="32"/>
          <w:highlight w:val="none"/>
          <w:lang w:val="en-US" w:eastAsia="zh-CN"/>
        </w:rPr>
        <w:t>万元。主要支出项目完成情况是：</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一般公共服务支出完成</w:t>
      </w:r>
      <w:r>
        <w:rPr>
          <w:rFonts w:hint="default" w:eastAsia="方正仿宋_GBK" w:cs="Times New Roman"/>
          <w:spacing w:val="-6"/>
          <w:sz w:val="32"/>
          <w:szCs w:val="32"/>
          <w:highlight w:val="none"/>
          <w:lang w:val="en-US" w:eastAsia="zh-CN"/>
        </w:rPr>
        <w:t>3.79</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99.3</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35.2</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2.06</w:t>
      </w:r>
      <w:r>
        <w:rPr>
          <w:rFonts w:hint="eastAsia" w:eastAsia="方正仿宋_GBK" w:cs="Times New Roman"/>
          <w:spacing w:val="-6"/>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公共安全支出完成</w:t>
      </w:r>
      <w:r>
        <w:rPr>
          <w:rFonts w:hint="default" w:eastAsia="方正仿宋_GBK" w:cs="Times New Roman"/>
          <w:spacing w:val="-6"/>
          <w:sz w:val="32"/>
          <w:szCs w:val="32"/>
          <w:highlight w:val="none"/>
          <w:lang w:val="en-US" w:eastAsia="zh-CN"/>
        </w:rPr>
        <w:t>1.5</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23.1</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4519</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教育支出完成</w:t>
      </w:r>
      <w:r>
        <w:rPr>
          <w:rFonts w:hint="default" w:eastAsia="方正仿宋_GBK" w:cs="Times New Roman"/>
          <w:spacing w:val="-6"/>
          <w:sz w:val="32"/>
          <w:szCs w:val="32"/>
          <w:highlight w:val="none"/>
          <w:lang w:val="en-US" w:eastAsia="zh-CN"/>
        </w:rPr>
        <w:t>12.46</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97.7%</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0.5</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579</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科学技术支出完成</w:t>
      </w:r>
      <w:r>
        <w:rPr>
          <w:rFonts w:hint="default" w:eastAsia="方正仿宋_GBK" w:cs="Times New Roman"/>
          <w:spacing w:val="-6"/>
          <w:sz w:val="32"/>
          <w:szCs w:val="32"/>
          <w:highlight w:val="none"/>
          <w:lang w:val="en-US" w:eastAsia="zh-CN"/>
        </w:rPr>
        <w:t>6267</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0.03</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2</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文化体育与传媒支出完成</w:t>
      </w:r>
      <w:r>
        <w:rPr>
          <w:rFonts w:hint="default" w:eastAsia="方正仿宋_GBK" w:cs="Times New Roman"/>
          <w:spacing w:val="-6"/>
          <w:sz w:val="32"/>
          <w:szCs w:val="32"/>
          <w:highlight w:val="none"/>
          <w:lang w:val="en-US" w:eastAsia="zh-CN"/>
        </w:rPr>
        <w:t>2923</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0.2</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7</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社会保障和就业支出完成</w:t>
      </w:r>
      <w:r>
        <w:rPr>
          <w:rFonts w:hint="default" w:eastAsia="方正仿宋_GBK" w:cs="Times New Roman"/>
          <w:spacing w:val="-6"/>
          <w:sz w:val="32"/>
          <w:szCs w:val="32"/>
          <w:highlight w:val="none"/>
          <w:lang w:val="en-US" w:eastAsia="zh-CN"/>
        </w:rPr>
        <w:t>7.89</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99.6</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28.6</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1.76</w:t>
      </w:r>
      <w:r>
        <w:rPr>
          <w:rFonts w:hint="eastAsia" w:eastAsia="方正仿宋_GBK" w:cs="Times New Roman"/>
          <w:spacing w:val="-6"/>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卫生健康支出完成</w:t>
      </w:r>
      <w:r>
        <w:rPr>
          <w:rFonts w:hint="default" w:eastAsia="方正仿宋_GBK" w:cs="Times New Roman"/>
          <w:spacing w:val="-6"/>
          <w:sz w:val="32"/>
          <w:szCs w:val="32"/>
          <w:highlight w:val="none"/>
          <w:lang w:val="en-US" w:eastAsia="zh-CN"/>
        </w:rPr>
        <w:t>3.53</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98.5</w:t>
      </w:r>
      <w:r>
        <w:rPr>
          <w:rFonts w:hint="eastAsia" w:eastAsia="方正仿宋_GBK" w:cs="Times New Roman"/>
          <w:spacing w:val="-6"/>
          <w:sz w:val="32"/>
          <w:szCs w:val="32"/>
          <w:highlight w:val="none"/>
          <w:lang w:val="en-US" w:eastAsia="zh-CN"/>
        </w:rPr>
        <w:t>%，较上年减少</w:t>
      </w:r>
      <w:r>
        <w:rPr>
          <w:rFonts w:hint="default" w:eastAsia="方正仿宋_GBK" w:cs="Times New Roman"/>
          <w:spacing w:val="-6"/>
          <w:sz w:val="32"/>
          <w:szCs w:val="32"/>
          <w:highlight w:val="none"/>
          <w:lang w:val="en-US" w:eastAsia="zh-CN"/>
        </w:rPr>
        <w:t>15.3</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6360</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节能环保支出完成</w:t>
      </w:r>
      <w:r>
        <w:rPr>
          <w:rFonts w:hint="default" w:eastAsia="方正仿宋_GBK" w:cs="Times New Roman"/>
          <w:spacing w:val="-6"/>
          <w:sz w:val="32"/>
          <w:szCs w:val="32"/>
          <w:highlight w:val="none"/>
          <w:lang w:val="en-US" w:eastAsia="zh-CN"/>
        </w:rPr>
        <w:t>1.69</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67.4</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6798</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城乡社区支出完成</w:t>
      </w:r>
      <w:r>
        <w:rPr>
          <w:rFonts w:hint="default" w:eastAsia="方正仿宋_GBK" w:cs="Times New Roman"/>
          <w:spacing w:val="-6"/>
          <w:sz w:val="32"/>
          <w:szCs w:val="32"/>
          <w:highlight w:val="none"/>
          <w:lang w:val="en-US" w:eastAsia="zh-CN"/>
        </w:rPr>
        <w:t>2.41</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90.3</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16.2</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3371</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农林水支出完成</w:t>
      </w:r>
      <w:r>
        <w:rPr>
          <w:rFonts w:hint="default" w:eastAsia="方正仿宋_GBK" w:cs="Times New Roman"/>
          <w:spacing w:val="-6"/>
          <w:sz w:val="32"/>
          <w:szCs w:val="32"/>
          <w:highlight w:val="none"/>
          <w:lang w:val="en-US" w:eastAsia="zh-CN"/>
        </w:rPr>
        <w:t>3.79</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77.4</w:t>
      </w:r>
      <w:r>
        <w:rPr>
          <w:rFonts w:hint="eastAsia" w:eastAsia="方正仿宋_GBK" w:cs="Times New Roman"/>
          <w:spacing w:val="-6"/>
          <w:sz w:val="32"/>
          <w:szCs w:val="32"/>
          <w:highlight w:val="none"/>
          <w:lang w:val="en-US" w:eastAsia="zh-CN"/>
        </w:rPr>
        <w:t>%，主要是中央专款结转所致，较上年增长</w:t>
      </w:r>
      <w:r>
        <w:rPr>
          <w:rFonts w:hint="default" w:eastAsia="方正仿宋_GBK" w:cs="Times New Roman"/>
          <w:spacing w:val="-6"/>
          <w:sz w:val="32"/>
          <w:szCs w:val="32"/>
          <w:highlight w:val="none"/>
          <w:lang w:val="en-US" w:eastAsia="zh-CN"/>
        </w:rPr>
        <w:t>7.7</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2707</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交通运输支出完成</w:t>
      </w:r>
      <w:r>
        <w:rPr>
          <w:rFonts w:hint="default" w:eastAsia="方正仿宋_GBK" w:cs="Times New Roman"/>
          <w:spacing w:val="-6"/>
          <w:sz w:val="32"/>
          <w:szCs w:val="32"/>
          <w:highlight w:val="none"/>
          <w:lang w:val="en-US" w:eastAsia="zh-CN"/>
        </w:rPr>
        <w:t>6233</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98.7</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7.0</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472</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资源勘探工业信息等支出完成</w:t>
      </w:r>
      <w:r>
        <w:rPr>
          <w:rFonts w:hint="default" w:eastAsia="方正仿宋_GBK" w:cs="Times New Roman"/>
          <w:spacing w:val="-6"/>
          <w:sz w:val="32"/>
          <w:szCs w:val="32"/>
          <w:highlight w:val="none"/>
          <w:lang w:val="en-US" w:eastAsia="zh-CN"/>
        </w:rPr>
        <w:t>606</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32.8</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296</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商业服务业等支出完成</w:t>
      </w:r>
      <w:r>
        <w:rPr>
          <w:rFonts w:hint="default" w:eastAsia="方正仿宋_GBK" w:cs="Times New Roman"/>
          <w:spacing w:val="-6"/>
          <w:sz w:val="32"/>
          <w:szCs w:val="32"/>
          <w:highlight w:val="none"/>
          <w:lang w:val="en-US" w:eastAsia="zh-CN"/>
        </w:rPr>
        <w:t>443</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60.5</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678</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金融支出完成</w:t>
      </w:r>
      <w:r>
        <w:rPr>
          <w:rFonts w:hint="default" w:eastAsia="方正仿宋_GBK" w:cs="Times New Roman"/>
          <w:spacing w:val="-6"/>
          <w:sz w:val="32"/>
          <w:szCs w:val="32"/>
          <w:highlight w:val="none"/>
          <w:lang w:val="en-US" w:eastAsia="zh-CN"/>
        </w:rPr>
        <w:t>111</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82.2</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514</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自然资源海洋气象等支出完成</w:t>
      </w:r>
      <w:r>
        <w:rPr>
          <w:rFonts w:hint="default" w:eastAsia="方正仿宋_GBK" w:cs="Times New Roman"/>
          <w:spacing w:val="-6"/>
          <w:sz w:val="32"/>
          <w:szCs w:val="32"/>
          <w:highlight w:val="none"/>
          <w:lang w:val="en-US" w:eastAsia="zh-CN"/>
        </w:rPr>
        <w:t>8463</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43.9</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2581</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住房保障支出完成</w:t>
      </w:r>
      <w:r>
        <w:rPr>
          <w:rFonts w:hint="default" w:eastAsia="方正仿宋_GBK" w:cs="Times New Roman"/>
          <w:spacing w:val="-6"/>
          <w:sz w:val="32"/>
          <w:szCs w:val="32"/>
          <w:highlight w:val="none"/>
          <w:lang w:val="en-US" w:eastAsia="zh-CN"/>
        </w:rPr>
        <w:t>9559</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99.5</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20.9%</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2528</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粮油物资储备支出完成</w:t>
      </w:r>
      <w:r>
        <w:rPr>
          <w:rFonts w:hint="default" w:eastAsia="方正仿宋_GBK" w:cs="Times New Roman"/>
          <w:spacing w:val="-6"/>
          <w:sz w:val="32"/>
          <w:szCs w:val="32"/>
          <w:highlight w:val="none"/>
          <w:lang w:val="en-US" w:eastAsia="zh-CN"/>
        </w:rPr>
        <w:t>450</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33.1</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112</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灾害防治及应急管理支出完成</w:t>
      </w:r>
      <w:r>
        <w:rPr>
          <w:rFonts w:hint="default" w:eastAsia="方正仿宋_GBK" w:cs="Times New Roman"/>
          <w:spacing w:val="-6"/>
          <w:sz w:val="32"/>
          <w:szCs w:val="32"/>
          <w:highlight w:val="none"/>
          <w:lang w:val="en-US" w:eastAsia="zh-CN"/>
        </w:rPr>
        <w:t>3559</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26.4</w:t>
      </w:r>
      <w:r>
        <w:rPr>
          <w:rFonts w:hint="eastAsia" w:eastAsia="方正仿宋_GBK" w:cs="Times New Roman"/>
          <w:spacing w:val="-6"/>
          <w:sz w:val="32"/>
          <w:szCs w:val="32"/>
          <w:highlight w:val="none"/>
          <w:lang w:val="en-US" w:eastAsia="zh-CN"/>
        </w:rPr>
        <w:t>%，主要是中央专款结转所致，较上年增长</w:t>
      </w:r>
      <w:r>
        <w:rPr>
          <w:rFonts w:hint="default" w:eastAsia="方正仿宋_GBK" w:cs="Times New Roman"/>
          <w:spacing w:val="-6"/>
          <w:sz w:val="32"/>
          <w:szCs w:val="32"/>
          <w:highlight w:val="none"/>
          <w:lang w:val="en-US" w:eastAsia="zh-CN"/>
        </w:rPr>
        <w:t>73.2</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1504</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债务付息支出完成</w:t>
      </w:r>
      <w:r>
        <w:rPr>
          <w:rFonts w:hint="default" w:eastAsia="方正仿宋_GBK" w:cs="Times New Roman"/>
          <w:spacing w:val="-6"/>
          <w:sz w:val="32"/>
          <w:szCs w:val="32"/>
          <w:highlight w:val="none"/>
          <w:lang w:val="en-US" w:eastAsia="zh-CN"/>
        </w:rPr>
        <w:t>4447</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5.3</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222</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债务发行费用支出完成</w:t>
      </w:r>
      <w:r>
        <w:rPr>
          <w:rFonts w:hint="default" w:eastAsia="方正仿宋_GBK" w:cs="Times New Roman"/>
          <w:spacing w:val="-6"/>
          <w:sz w:val="32"/>
          <w:szCs w:val="32"/>
          <w:highlight w:val="none"/>
          <w:lang w:val="en-US" w:eastAsia="zh-CN"/>
        </w:rPr>
        <w:t>24</w:t>
      </w:r>
      <w:r>
        <w:rPr>
          <w:rFonts w:hint="eastAsia" w:eastAsia="方正仿宋_GBK" w:cs="Times New Roman"/>
          <w:spacing w:val="-6"/>
          <w:sz w:val="32"/>
          <w:szCs w:val="32"/>
          <w:highlight w:val="none"/>
          <w:lang w:val="en-US" w:eastAsia="zh-CN"/>
        </w:rPr>
        <w:t>万元，占调整预算的</w:t>
      </w:r>
      <w:r>
        <w:rPr>
          <w:rFonts w:hint="default" w:eastAsia="方正仿宋_GBK" w:cs="Times New Roman"/>
          <w:spacing w:val="-6"/>
          <w:sz w:val="32"/>
          <w:szCs w:val="32"/>
          <w:highlight w:val="none"/>
          <w:lang w:val="en-US" w:eastAsia="zh-CN"/>
        </w:rPr>
        <w:t>100</w:t>
      </w:r>
      <w:r>
        <w:rPr>
          <w:rFonts w:hint="eastAsia" w:eastAsia="方正仿宋_GBK" w:cs="Times New Roman"/>
          <w:spacing w:val="-6"/>
          <w:sz w:val="32"/>
          <w:szCs w:val="32"/>
          <w:highlight w:val="none"/>
          <w:lang w:val="en-US" w:eastAsia="zh-CN"/>
        </w:rPr>
        <w:t>%，较上年增长</w:t>
      </w:r>
      <w:r>
        <w:rPr>
          <w:rFonts w:hint="default" w:eastAsia="方正仿宋_GBK" w:cs="Times New Roman"/>
          <w:spacing w:val="-6"/>
          <w:sz w:val="32"/>
          <w:szCs w:val="32"/>
          <w:highlight w:val="none"/>
          <w:lang w:val="en-US" w:eastAsia="zh-CN"/>
        </w:rPr>
        <w:t>26.3</w:t>
      </w:r>
      <w:r>
        <w:rPr>
          <w:rFonts w:hint="eastAsia" w:eastAsia="方正仿宋_GBK" w:cs="Times New Roman"/>
          <w:spacing w:val="-6"/>
          <w:sz w:val="32"/>
          <w:szCs w:val="32"/>
          <w:highlight w:val="none"/>
          <w:lang w:val="en-US" w:eastAsia="zh-CN"/>
        </w:rPr>
        <w:t>%，增支</w:t>
      </w:r>
      <w:r>
        <w:rPr>
          <w:rFonts w:hint="default" w:eastAsia="方正仿宋_GBK" w:cs="Times New Roman"/>
          <w:spacing w:val="-6"/>
          <w:sz w:val="32"/>
          <w:szCs w:val="32"/>
          <w:highlight w:val="none"/>
          <w:lang w:val="en-US" w:eastAsia="zh-CN"/>
        </w:rPr>
        <w:t>5</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总预备费动支</w:t>
      </w:r>
      <w:r>
        <w:rPr>
          <w:rFonts w:hint="default" w:eastAsia="方正仿宋_GBK" w:cs="Times New Roman"/>
          <w:spacing w:val="-6"/>
          <w:sz w:val="32"/>
          <w:szCs w:val="32"/>
          <w:highlight w:val="none"/>
          <w:lang w:val="en-US" w:eastAsia="zh-CN"/>
        </w:rPr>
        <w:t>4500</w:t>
      </w:r>
      <w:r>
        <w:rPr>
          <w:rFonts w:hint="eastAsia" w:eastAsia="方正仿宋_GBK" w:cs="Times New Roman"/>
          <w:spacing w:val="-6"/>
          <w:sz w:val="32"/>
          <w:szCs w:val="32"/>
          <w:highlight w:val="none"/>
          <w:lang w:val="en-US" w:eastAsia="zh-CN"/>
        </w:rPr>
        <w:t>万元，主要用于疫情防控、维稳等不可预见支出。</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仿宋" w:cs="宋体"/>
          <w:b/>
          <w:bCs/>
          <w:spacing w:val="-4"/>
          <w:kern w:val="0"/>
          <w:sz w:val="32"/>
          <w:szCs w:val="32"/>
          <w:highlight w:val="none"/>
          <w:u w:val="none"/>
        </w:rPr>
      </w:pPr>
      <w:r>
        <w:rPr>
          <w:rFonts w:hint="default" w:ascii="Times New Roman" w:hAnsi="Times New Roman" w:eastAsia="仿宋" w:cs="宋体"/>
          <w:b/>
          <w:bCs/>
          <w:spacing w:val="-4"/>
          <w:kern w:val="0"/>
          <w:sz w:val="32"/>
          <w:szCs w:val="32"/>
          <w:highlight w:val="none"/>
          <w:u w:val="none"/>
          <w:lang w:val="en-US"/>
        </w:rPr>
        <w:t>3.</w:t>
      </w:r>
      <w:r>
        <w:rPr>
          <w:rFonts w:hint="eastAsia" w:ascii="Times New Roman" w:hAnsi="Times New Roman" w:eastAsia="方正仿宋_GBK" w:cs="方正仿宋_GBK"/>
          <w:b/>
          <w:bCs/>
          <w:spacing w:val="-4"/>
          <w:kern w:val="0"/>
          <w:sz w:val="32"/>
          <w:szCs w:val="32"/>
          <w:highlight w:val="none"/>
          <w:u w:val="none"/>
        </w:rPr>
        <w:t>一般公共预算收支平衡情况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2023年，一般公共预算收入</w:t>
      </w:r>
      <w:r>
        <w:rPr>
          <w:rFonts w:hint="default" w:eastAsia="方正仿宋_GBK" w:cs="Times New Roman"/>
          <w:spacing w:val="-6"/>
          <w:sz w:val="32"/>
          <w:szCs w:val="32"/>
          <w:highlight w:val="none"/>
          <w:lang w:val="en-US" w:eastAsia="zh-CN"/>
        </w:rPr>
        <w:t>20.13</w:t>
      </w:r>
      <w:r>
        <w:rPr>
          <w:rFonts w:hint="eastAsia" w:eastAsia="方正仿宋_GBK" w:cs="Times New Roman"/>
          <w:spacing w:val="-6"/>
          <w:sz w:val="32"/>
          <w:szCs w:val="32"/>
          <w:highlight w:val="none"/>
          <w:lang w:val="en-US" w:eastAsia="zh-CN"/>
        </w:rPr>
        <w:t>亿元，上级补助收入</w:t>
      </w:r>
      <w:r>
        <w:rPr>
          <w:rFonts w:hint="default" w:eastAsia="方正仿宋_GBK" w:cs="Times New Roman"/>
          <w:spacing w:val="-6"/>
          <w:sz w:val="32"/>
          <w:szCs w:val="32"/>
          <w:highlight w:val="none"/>
          <w:lang w:val="en-US" w:eastAsia="zh-CN"/>
        </w:rPr>
        <w:t>23.7</w:t>
      </w:r>
      <w:r>
        <w:rPr>
          <w:rFonts w:hint="eastAsia" w:eastAsia="方正仿宋_GBK" w:cs="Times New Roman"/>
          <w:spacing w:val="-6"/>
          <w:sz w:val="32"/>
          <w:szCs w:val="32"/>
          <w:highlight w:val="none"/>
          <w:lang w:val="en-US" w:eastAsia="zh-CN"/>
        </w:rPr>
        <w:t>亿元，动用预算稳定调节基金</w:t>
      </w:r>
      <w:r>
        <w:rPr>
          <w:rFonts w:hint="default" w:eastAsia="方正仿宋_GBK" w:cs="Times New Roman"/>
          <w:spacing w:val="-6"/>
          <w:sz w:val="32"/>
          <w:szCs w:val="32"/>
          <w:highlight w:val="none"/>
          <w:lang w:val="en-US" w:eastAsia="zh-CN"/>
        </w:rPr>
        <w:t>3.17</w:t>
      </w:r>
      <w:r>
        <w:rPr>
          <w:rFonts w:hint="eastAsia" w:eastAsia="方正仿宋_GBK" w:cs="Times New Roman"/>
          <w:spacing w:val="-6"/>
          <w:sz w:val="32"/>
          <w:szCs w:val="32"/>
          <w:highlight w:val="none"/>
          <w:lang w:val="en-US" w:eastAsia="zh-CN"/>
        </w:rPr>
        <w:t>亿元，上年结转</w:t>
      </w:r>
      <w:r>
        <w:rPr>
          <w:rFonts w:hint="default" w:eastAsia="方正仿宋_GBK" w:cs="Times New Roman"/>
          <w:spacing w:val="-6"/>
          <w:sz w:val="32"/>
          <w:szCs w:val="32"/>
          <w:highlight w:val="none"/>
          <w:lang w:val="en-US" w:eastAsia="zh-CN"/>
        </w:rPr>
        <w:t>1.94</w:t>
      </w:r>
      <w:r>
        <w:rPr>
          <w:rFonts w:hint="eastAsia" w:eastAsia="方正仿宋_GBK" w:cs="Times New Roman"/>
          <w:spacing w:val="-6"/>
          <w:sz w:val="32"/>
          <w:szCs w:val="32"/>
          <w:highlight w:val="none"/>
          <w:lang w:val="en-US" w:eastAsia="zh-CN"/>
        </w:rPr>
        <w:t>亿元，调入资金</w:t>
      </w:r>
      <w:r>
        <w:rPr>
          <w:rFonts w:hint="default" w:eastAsia="方正仿宋_GBK" w:cs="Times New Roman"/>
          <w:spacing w:val="-6"/>
          <w:sz w:val="32"/>
          <w:szCs w:val="32"/>
          <w:highlight w:val="none"/>
          <w:lang w:val="en-US" w:eastAsia="zh-CN"/>
        </w:rPr>
        <w:t>4.34</w:t>
      </w:r>
      <w:r>
        <w:rPr>
          <w:rFonts w:hint="eastAsia" w:eastAsia="方正仿宋_GBK" w:cs="Times New Roman"/>
          <w:spacing w:val="-6"/>
          <w:sz w:val="32"/>
          <w:szCs w:val="32"/>
          <w:highlight w:val="none"/>
          <w:lang w:val="en-US" w:eastAsia="zh-CN"/>
        </w:rPr>
        <w:t>亿元，债务转贷收入</w:t>
      </w:r>
      <w:r>
        <w:rPr>
          <w:rFonts w:hint="default" w:eastAsia="方正仿宋_GBK" w:cs="Times New Roman"/>
          <w:spacing w:val="-6"/>
          <w:sz w:val="32"/>
          <w:szCs w:val="32"/>
          <w:highlight w:val="none"/>
          <w:lang w:val="en-US" w:eastAsia="zh-CN"/>
        </w:rPr>
        <w:t>2.78</w:t>
      </w:r>
      <w:r>
        <w:rPr>
          <w:rFonts w:hint="eastAsia" w:eastAsia="方正仿宋_GBK" w:cs="Times New Roman"/>
          <w:spacing w:val="-6"/>
          <w:sz w:val="32"/>
          <w:szCs w:val="32"/>
          <w:highlight w:val="none"/>
          <w:lang w:val="en-US" w:eastAsia="zh-CN"/>
        </w:rPr>
        <w:t>亿元，收入总计为</w:t>
      </w:r>
      <w:r>
        <w:rPr>
          <w:rFonts w:hint="default" w:eastAsia="方正仿宋_GBK" w:cs="Times New Roman"/>
          <w:spacing w:val="-6"/>
          <w:sz w:val="32"/>
          <w:szCs w:val="32"/>
          <w:highlight w:val="none"/>
          <w:lang w:val="en-US" w:eastAsia="zh-CN"/>
        </w:rPr>
        <w:t>56.06</w:t>
      </w:r>
      <w:r>
        <w:rPr>
          <w:rFonts w:hint="eastAsia" w:eastAsia="方正仿宋_GBK" w:cs="Times New Roman"/>
          <w:spacing w:val="-6"/>
          <w:sz w:val="32"/>
          <w:szCs w:val="32"/>
          <w:highlight w:val="none"/>
          <w:lang w:val="en-US" w:eastAsia="zh-CN"/>
        </w:rPr>
        <w:t>亿元。一般公共预算支出</w:t>
      </w:r>
      <w:r>
        <w:rPr>
          <w:rFonts w:hint="default" w:eastAsia="方正仿宋_GBK" w:cs="Times New Roman"/>
          <w:spacing w:val="-6"/>
          <w:sz w:val="32"/>
          <w:szCs w:val="32"/>
          <w:highlight w:val="none"/>
          <w:lang w:val="en-US" w:eastAsia="zh-CN"/>
        </w:rPr>
        <w:t>41.37</w:t>
      </w:r>
      <w:r>
        <w:rPr>
          <w:rFonts w:hint="eastAsia" w:eastAsia="方正仿宋_GBK" w:cs="Times New Roman"/>
          <w:spacing w:val="-6"/>
          <w:sz w:val="32"/>
          <w:szCs w:val="32"/>
          <w:highlight w:val="none"/>
          <w:lang w:val="en-US" w:eastAsia="zh-CN"/>
        </w:rPr>
        <w:t>亿元，上解上级支出</w:t>
      </w:r>
      <w:r>
        <w:rPr>
          <w:rFonts w:hint="default" w:eastAsia="方正仿宋_GBK" w:cs="Times New Roman"/>
          <w:spacing w:val="-6"/>
          <w:sz w:val="32"/>
          <w:szCs w:val="32"/>
          <w:highlight w:val="none"/>
          <w:lang w:val="en-US" w:eastAsia="zh-CN"/>
        </w:rPr>
        <w:t>9.04</w:t>
      </w:r>
      <w:r>
        <w:rPr>
          <w:rFonts w:hint="eastAsia" w:eastAsia="方正仿宋_GBK" w:cs="Times New Roman"/>
          <w:spacing w:val="-6"/>
          <w:sz w:val="32"/>
          <w:szCs w:val="32"/>
          <w:highlight w:val="none"/>
          <w:lang w:val="en-US" w:eastAsia="zh-CN"/>
        </w:rPr>
        <w:t>亿元，债务还本支出</w:t>
      </w:r>
      <w:r>
        <w:rPr>
          <w:rFonts w:hint="default" w:eastAsia="方正仿宋_GBK" w:cs="Times New Roman"/>
          <w:spacing w:val="-6"/>
          <w:sz w:val="32"/>
          <w:szCs w:val="32"/>
          <w:highlight w:val="none"/>
          <w:lang w:val="en-US" w:eastAsia="zh-CN"/>
        </w:rPr>
        <w:t>1.21</w:t>
      </w:r>
      <w:r>
        <w:rPr>
          <w:rFonts w:hint="eastAsia" w:eastAsia="方正仿宋_GBK" w:cs="Times New Roman"/>
          <w:spacing w:val="-6"/>
          <w:sz w:val="32"/>
          <w:szCs w:val="32"/>
          <w:highlight w:val="none"/>
          <w:lang w:val="en-US" w:eastAsia="zh-CN"/>
        </w:rPr>
        <w:t>亿元，结转下年支出</w:t>
      </w:r>
      <w:r>
        <w:rPr>
          <w:rFonts w:hint="default" w:eastAsia="方正仿宋_GBK" w:cs="Times New Roman"/>
          <w:spacing w:val="-6"/>
          <w:sz w:val="32"/>
          <w:szCs w:val="32"/>
          <w:highlight w:val="none"/>
          <w:lang w:val="en-US" w:eastAsia="zh-CN"/>
        </w:rPr>
        <w:t>2.77</w:t>
      </w:r>
      <w:r>
        <w:rPr>
          <w:rFonts w:hint="eastAsia" w:eastAsia="方正仿宋_GBK" w:cs="Times New Roman"/>
          <w:spacing w:val="-6"/>
          <w:sz w:val="32"/>
          <w:szCs w:val="32"/>
          <w:highlight w:val="none"/>
          <w:lang w:val="en-US" w:eastAsia="zh-CN"/>
        </w:rPr>
        <w:t>亿元，调出资金</w:t>
      </w:r>
      <w:r>
        <w:rPr>
          <w:rFonts w:hint="default" w:eastAsia="方正仿宋_GBK" w:cs="Times New Roman"/>
          <w:spacing w:val="-6"/>
          <w:sz w:val="32"/>
          <w:szCs w:val="32"/>
          <w:highlight w:val="none"/>
          <w:lang w:val="en-US" w:eastAsia="zh-CN"/>
        </w:rPr>
        <w:t>1.28</w:t>
      </w:r>
      <w:r>
        <w:rPr>
          <w:rFonts w:hint="eastAsia" w:eastAsia="方正仿宋_GBK" w:cs="Times New Roman"/>
          <w:spacing w:val="-6"/>
          <w:sz w:val="32"/>
          <w:szCs w:val="32"/>
          <w:highlight w:val="none"/>
          <w:lang w:val="en-US" w:eastAsia="zh-CN"/>
        </w:rPr>
        <w:t>亿元，安排预算稳定调节基金</w:t>
      </w:r>
      <w:r>
        <w:rPr>
          <w:rFonts w:hint="default" w:eastAsia="方正仿宋_GBK" w:cs="Times New Roman"/>
          <w:spacing w:val="-6"/>
          <w:sz w:val="32"/>
          <w:szCs w:val="32"/>
          <w:highlight w:val="none"/>
          <w:lang w:val="en-US" w:eastAsia="zh-CN"/>
        </w:rPr>
        <w:t>3900</w:t>
      </w:r>
      <w:r>
        <w:rPr>
          <w:rFonts w:hint="eastAsia" w:eastAsia="方正仿宋_GBK" w:cs="Times New Roman"/>
          <w:spacing w:val="-6"/>
          <w:sz w:val="32"/>
          <w:szCs w:val="32"/>
          <w:highlight w:val="none"/>
          <w:lang w:val="en-US" w:eastAsia="zh-CN"/>
        </w:rPr>
        <w:t>万元，支出总计为</w:t>
      </w:r>
      <w:r>
        <w:rPr>
          <w:rFonts w:hint="default" w:eastAsia="方正仿宋_GBK" w:cs="Times New Roman"/>
          <w:spacing w:val="-6"/>
          <w:sz w:val="32"/>
          <w:szCs w:val="32"/>
          <w:highlight w:val="none"/>
          <w:lang w:val="en-US" w:eastAsia="zh-CN"/>
        </w:rPr>
        <w:t>56.06</w:t>
      </w:r>
      <w:r>
        <w:rPr>
          <w:rFonts w:hint="eastAsia" w:eastAsia="方正仿宋_GBK" w:cs="Times New Roman"/>
          <w:spacing w:val="-6"/>
          <w:sz w:val="32"/>
          <w:szCs w:val="32"/>
          <w:highlight w:val="none"/>
          <w:lang w:val="en-US" w:eastAsia="zh-CN"/>
        </w:rPr>
        <w:t>亿元。收支相抵，当年财政收支平衡。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4" w:firstLineChars="200"/>
        <w:jc w:val="both"/>
        <w:textAlignment w:val="auto"/>
        <w:rPr>
          <w:rFonts w:hint="eastAsia" w:ascii="Times New Roman" w:hAnsi="Times New Roman" w:eastAsia="方正楷体_GBK" w:cs="方正楷体_GBK"/>
          <w:b w:val="0"/>
          <w:bCs w:val="0"/>
          <w:spacing w:val="-4"/>
          <w:sz w:val="32"/>
          <w:szCs w:val="32"/>
          <w:highlight w:val="none"/>
          <w:u w:val="none"/>
        </w:rPr>
      </w:pPr>
      <w:r>
        <w:rPr>
          <w:rFonts w:hint="eastAsia" w:ascii="Times New Roman" w:hAnsi="Times New Roman" w:eastAsia="方正楷体_GBK" w:cs="方正楷体_GBK"/>
          <w:b w:val="0"/>
          <w:bCs w:val="0"/>
          <w:spacing w:val="-4"/>
          <w:kern w:val="0"/>
          <w:sz w:val="32"/>
          <w:szCs w:val="32"/>
          <w:highlight w:val="none"/>
          <w:u w:val="none"/>
        </w:rPr>
        <w:t>（二）政府性基金预算执行情况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2023年，全区政府性基金收入完成</w:t>
      </w:r>
      <w:r>
        <w:rPr>
          <w:rFonts w:hint="default" w:eastAsia="方正仿宋_GBK" w:cs="Times New Roman"/>
          <w:spacing w:val="-6"/>
          <w:sz w:val="32"/>
          <w:szCs w:val="32"/>
          <w:highlight w:val="none"/>
          <w:lang w:val="en-US" w:eastAsia="zh-CN"/>
        </w:rPr>
        <w:t>8.85</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101.7</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17.2</w:t>
      </w:r>
      <w:r>
        <w:rPr>
          <w:rFonts w:hint="eastAsia" w:eastAsia="方正仿宋_GBK" w:cs="Times New Roman"/>
          <w:spacing w:val="-6"/>
          <w:sz w:val="32"/>
          <w:szCs w:val="32"/>
          <w:highlight w:val="none"/>
          <w:lang w:val="en-US" w:eastAsia="zh-CN"/>
        </w:rPr>
        <w:t>%，减收</w:t>
      </w:r>
      <w:r>
        <w:rPr>
          <w:rFonts w:hint="default" w:eastAsia="方正仿宋_GBK" w:cs="Times New Roman"/>
          <w:spacing w:val="-6"/>
          <w:sz w:val="32"/>
          <w:szCs w:val="32"/>
          <w:highlight w:val="none"/>
          <w:lang w:val="en-US" w:eastAsia="zh-CN"/>
        </w:rPr>
        <w:t>1.83</w:t>
      </w:r>
      <w:r>
        <w:rPr>
          <w:rFonts w:hint="eastAsia" w:eastAsia="方正仿宋_GBK" w:cs="Times New Roman"/>
          <w:spacing w:val="-6"/>
          <w:sz w:val="32"/>
          <w:szCs w:val="32"/>
          <w:highlight w:val="none"/>
          <w:lang w:val="en-US" w:eastAsia="zh-CN"/>
        </w:rPr>
        <w:t>亿元，其中：国有土地使用权出让收入</w:t>
      </w:r>
      <w:r>
        <w:rPr>
          <w:rFonts w:hint="default" w:eastAsia="方正仿宋_GBK" w:cs="Times New Roman"/>
          <w:spacing w:val="-6"/>
          <w:sz w:val="32"/>
          <w:szCs w:val="32"/>
          <w:highlight w:val="none"/>
          <w:lang w:val="en-US" w:eastAsia="zh-CN"/>
        </w:rPr>
        <w:t>7.41</w:t>
      </w:r>
      <w:r>
        <w:rPr>
          <w:rFonts w:hint="eastAsia" w:eastAsia="方正仿宋_GBK" w:cs="Times New Roman"/>
          <w:spacing w:val="-6"/>
          <w:sz w:val="32"/>
          <w:szCs w:val="32"/>
          <w:highlight w:val="none"/>
          <w:lang w:val="en-US" w:eastAsia="zh-CN"/>
        </w:rPr>
        <w:t>亿元，国有土地收益基金收入</w:t>
      </w:r>
      <w:r>
        <w:rPr>
          <w:rFonts w:hint="default" w:eastAsia="方正仿宋_GBK" w:cs="Times New Roman"/>
          <w:spacing w:val="-6"/>
          <w:sz w:val="32"/>
          <w:szCs w:val="32"/>
          <w:highlight w:val="none"/>
          <w:lang w:val="en-US" w:eastAsia="zh-CN"/>
        </w:rPr>
        <w:t>6144</w:t>
      </w:r>
      <w:r>
        <w:rPr>
          <w:rFonts w:hint="eastAsia" w:eastAsia="方正仿宋_GBK" w:cs="Times New Roman"/>
          <w:spacing w:val="-6"/>
          <w:sz w:val="32"/>
          <w:szCs w:val="32"/>
          <w:highlight w:val="none"/>
          <w:lang w:val="en-US" w:eastAsia="zh-CN"/>
        </w:rPr>
        <w:t>万元，城市基础设施配套费收入</w:t>
      </w:r>
      <w:r>
        <w:rPr>
          <w:rFonts w:hint="default" w:eastAsia="方正仿宋_GBK" w:cs="Times New Roman"/>
          <w:spacing w:val="-6"/>
          <w:sz w:val="32"/>
          <w:szCs w:val="32"/>
          <w:highlight w:val="none"/>
          <w:lang w:val="en-US" w:eastAsia="zh-CN"/>
        </w:rPr>
        <w:t>5710</w:t>
      </w:r>
      <w:r>
        <w:rPr>
          <w:rFonts w:hint="eastAsia" w:eastAsia="方正仿宋_GBK" w:cs="Times New Roman"/>
          <w:spacing w:val="-6"/>
          <w:sz w:val="32"/>
          <w:szCs w:val="32"/>
          <w:highlight w:val="none"/>
          <w:lang w:val="en-US" w:eastAsia="zh-CN"/>
        </w:rPr>
        <w:t>万元，污水处理费收入</w:t>
      </w:r>
      <w:r>
        <w:rPr>
          <w:rFonts w:hint="default" w:eastAsia="方正仿宋_GBK" w:cs="Times New Roman"/>
          <w:spacing w:val="-6"/>
          <w:sz w:val="32"/>
          <w:szCs w:val="32"/>
          <w:highlight w:val="none"/>
          <w:lang w:val="en-US" w:eastAsia="zh-CN"/>
        </w:rPr>
        <w:t>847</w:t>
      </w:r>
      <w:r>
        <w:rPr>
          <w:rFonts w:hint="eastAsia" w:eastAsia="方正仿宋_GBK" w:cs="Times New Roman"/>
          <w:spacing w:val="-6"/>
          <w:sz w:val="32"/>
          <w:szCs w:val="32"/>
          <w:highlight w:val="none"/>
          <w:lang w:val="en-US" w:eastAsia="zh-CN"/>
        </w:rPr>
        <w:t>万元，农业土地开发收入</w:t>
      </w:r>
      <w:r>
        <w:rPr>
          <w:rFonts w:hint="default" w:eastAsia="方正仿宋_GBK" w:cs="Times New Roman"/>
          <w:spacing w:val="-6"/>
          <w:sz w:val="32"/>
          <w:szCs w:val="32"/>
          <w:highlight w:val="none"/>
          <w:lang w:val="en-US" w:eastAsia="zh-CN"/>
        </w:rPr>
        <w:t>160</w:t>
      </w:r>
      <w:r>
        <w:rPr>
          <w:rFonts w:hint="eastAsia" w:eastAsia="方正仿宋_GBK" w:cs="Times New Roman"/>
          <w:spacing w:val="-6"/>
          <w:sz w:val="32"/>
          <w:szCs w:val="32"/>
          <w:highlight w:val="none"/>
          <w:lang w:val="en-US" w:eastAsia="zh-CN"/>
        </w:rPr>
        <w:t>万元，彩票公益金收入</w:t>
      </w:r>
      <w:r>
        <w:rPr>
          <w:rFonts w:hint="default" w:eastAsia="方正仿宋_GBK" w:cs="Times New Roman"/>
          <w:spacing w:val="-6"/>
          <w:sz w:val="32"/>
          <w:szCs w:val="32"/>
          <w:highlight w:val="none"/>
          <w:lang w:val="en-US" w:eastAsia="zh-CN"/>
        </w:rPr>
        <w:t>261</w:t>
      </w:r>
      <w:r>
        <w:rPr>
          <w:rFonts w:hint="eastAsia" w:eastAsia="方正仿宋_GBK" w:cs="Times New Roman"/>
          <w:spacing w:val="-6"/>
          <w:sz w:val="32"/>
          <w:szCs w:val="32"/>
          <w:highlight w:val="none"/>
          <w:lang w:val="en-US" w:eastAsia="zh-CN"/>
        </w:rPr>
        <w:t>万元，</w:t>
      </w:r>
      <w:r>
        <w:rPr>
          <w:rFonts w:hint="eastAsia" w:eastAsia="方正仿宋_GBK" w:cs="Times New Roman"/>
          <w:spacing w:val="-6"/>
          <w:sz w:val="32"/>
          <w:szCs w:val="32"/>
          <w:highlight w:val="none"/>
          <w:u w:val="none"/>
          <w:lang w:val="en-US" w:eastAsia="zh-CN"/>
        </w:rPr>
        <w:t>其他政府性基金收入</w:t>
      </w:r>
      <w:r>
        <w:rPr>
          <w:rFonts w:hint="default" w:eastAsia="方正仿宋_GBK" w:cs="Times New Roman"/>
          <w:spacing w:val="-6"/>
          <w:sz w:val="32"/>
          <w:szCs w:val="32"/>
          <w:highlight w:val="none"/>
          <w:u w:val="none"/>
          <w:lang w:val="en-US" w:eastAsia="zh-CN"/>
        </w:rPr>
        <w:t>375</w:t>
      </w:r>
      <w:r>
        <w:rPr>
          <w:rFonts w:hint="eastAsia" w:eastAsia="方正仿宋_GBK" w:cs="Times New Roman"/>
          <w:spacing w:val="-6"/>
          <w:sz w:val="32"/>
          <w:szCs w:val="32"/>
          <w:highlight w:val="none"/>
          <w:u w:val="none"/>
          <w:lang w:val="en-US" w:eastAsia="zh-CN"/>
        </w:rPr>
        <w:t>万元，其他地方自行试点项目收益专项债券对应项目专项收入</w:t>
      </w:r>
      <w:r>
        <w:rPr>
          <w:rFonts w:hint="default" w:eastAsia="方正仿宋_GBK" w:cs="Times New Roman"/>
          <w:spacing w:val="-6"/>
          <w:sz w:val="32"/>
          <w:szCs w:val="32"/>
          <w:highlight w:val="none"/>
          <w:u w:val="none"/>
          <w:lang w:val="en-US" w:eastAsia="zh-CN"/>
        </w:rPr>
        <w:t>846</w:t>
      </w:r>
      <w:r>
        <w:rPr>
          <w:rFonts w:hint="eastAsia" w:eastAsia="方正仿宋_GBK" w:cs="Times New Roman"/>
          <w:spacing w:val="-6"/>
          <w:sz w:val="32"/>
          <w:szCs w:val="32"/>
          <w:highlight w:val="none"/>
          <w:u w:val="none"/>
          <w:lang w:val="en-US" w:eastAsia="zh-CN"/>
        </w:rPr>
        <w:t>万元。</w:t>
      </w:r>
      <w:r>
        <w:rPr>
          <w:rFonts w:hint="eastAsia" w:eastAsia="方正仿宋_GBK" w:cs="Times New Roman"/>
          <w:spacing w:val="-6"/>
          <w:sz w:val="32"/>
          <w:szCs w:val="32"/>
          <w:highlight w:val="none"/>
          <w:lang w:val="en-US" w:eastAsia="zh-CN"/>
        </w:rPr>
        <w:t>全区政府性基金支出完成</w:t>
      </w:r>
      <w:r>
        <w:rPr>
          <w:rFonts w:hint="default" w:eastAsia="方正仿宋_GBK" w:cs="Times New Roman"/>
          <w:spacing w:val="-6"/>
          <w:sz w:val="32"/>
          <w:szCs w:val="32"/>
          <w:highlight w:val="none"/>
          <w:lang w:val="en-US" w:eastAsia="zh-CN"/>
        </w:rPr>
        <w:t>28.39</w:t>
      </w:r>
      <w:r>
        <w:rPr>
          <w:rFonts w:hint="eastAsia" w:eastAsia="方正仿宋_GBK" w:cs="Times New Roman"/>
          <w:spacing w:val="-6"/>
          <w:sz w:val="32"/>
          <w:szCs w:val="32"/>
          <w:highlight w:val="none"/>
          <w:lang w:val="en-US" w:eastAsia="zh-CN"/>
        </w:rPr>
        <w:t>亿元，占调整预算的</w:t>
      </w:r>
      <w:r>
        <w:rPr>
          <w:rFonts w:hint="default" w:eastAsia="方正仿宋_GBK" w:cs="Times New Roman"/>
          <w:spacing w:val="-6"/>
          <w:sz w:val="32"/>
          <w:szCs w:val="32"/>
          <w:highlight w:val="none"/>
          <w:lang w:val="en-US" w:eastAsia="zh-CN"/>
        </w:rPr>
        <w:t>98</w:t>
      </w:r>
      <w:r>
        <w:rPr>
          <w:rFonts w:hint="eastAsia" w:eastAsia="方正仿宋_GBK" w:cs="Times New Roman"/>
          <w:spacing w:val="-6"/>
          <w:sz w:val="32"/>
          <w:szCs w:val="32"/>
          <w:highlight w:val="none"/>
          <w:lang w:val="en-US" w:eastAsia="zh-CN"/>
        </w:rPr>
        <w:t>%，较上年下降</w:t>
      </w:r>
      <w:r>
        <w:rPr>
          <w:rFonts w:hint="default" w:eastAsia="方正仿宋_GBK" w:cs="Times New Roman"/>
          <w:spacing w:val="-6"/>
          <w:sz w:val="32"/>
          <w:szCs w:val="32"/>
          <w:highlight w:val="none"/>
          <w:lang w:val="en-US" w:eastAsia="zh-CN"/>
        </w:rPr>
        <w:t>28.2</w:t>
      </w:r>
      <w:r>
        <w:rPr>
          <w:rFonts w:hint="eastAsia" w:eastAsia="方正仿宋_GBK" w:cs="Times New Roman"/>
          <w:spacing w:val="-6"/>
          <w:sz w:val="32"/>
          <w:szCs w:val="32"/>
          <w:highlight w:val="none"/>
          <w:lang w:val="en-US" w:eastAsia="zh-CN"/>
        </w:rPr>
        <w:t>%，减支</w:t>
      </w:r>
      <w:r>
        <w:rPr>
          <w:rFonts w:hint="default" w:eastAsia="方正仿宋_GBK" w:cs="Times New Roman"/>
          <w:spacing w:val="-6"/>
          <w:sz w:val="32"/>
          <w:szCs w:val="32"/>
          <w:highlight w:val="none"/>
          <w:lang w:val="en-US" w:eastAsia="zh-CN"/>
        </w:rPr>
        <w:t>11.15</w:t>
      </w:r>
      <w:r>
        <w:rPr>
          <w:rFonts w:hint="eastAsia" w:eastAsia="方正仿宋_GBK" w:cs="Times New Roman"/>
          <w:spacing w:val="-6"/>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default"/>
          <w:highlight w:val="none"/>
          <w:lang w:val="en-US" w:eastAsia="zh-CN"/>
        </w:rPr>
      </w:pPr>
      <w:r>
        <w:rPr>
          <w:rFonts w:hint="eastAsia" w:eastAsia="方正仿宋_GBK" w:cs="Times New Roman"/>
          <w:spacing w:val="-6"/>
          <w:sz w:val="32"/>
          <w:szCs w:val="32"/>
          <w:highlight w:val="none"/>
          <w:lang w:val="en-US" w:eastAsia="zh-CN"/>
        </w:rPr>
        <w:t>2023年，政府性基金预算收入</w:t>
      </w:r>
      <w:r>
        <w:rPr>
          <w:rFonts w:hint="default" w:eastAsia="方正仿宋_GBK" w:cs="Times New Roman"/>
          <w:spacing w:val="-6"/>
          <w:sz w:val="32"/>
          <w:szCs w:val="32"/>
          <w:highlight w:val="none"/>
          <w:lang w:val="en-US" w:eastAsia="zh-CN"/>
        </w:rPr>
        <w:t>8.85</w:t>
      </w:r>
      <w:r>
        <w:rPr>
          <w:rFonts w:hint="eastAsia" w:eastAsia="方正仿宋_GBK" w:cs="Times New Roman"/>
          <w:spacing w:val="-6"/>
          <w:sz w:val="32"/>
          <w:szCs w:val="32"/>
          <w:highlight w:val="none"/>
          <w:lang w:val="en-US" w:eastAsia="zh-CN"/>
        </w:rPr>
        <w:t>亿元，上级补助收入</w:t>
      </w:r>
      <w:r>
        <w:rPr>
          <w:rFonts w:hint="default" w:eastAsia="方正仿宋_GBK" w:cs="Times New Roman"/>
          <w:spacing w:val="-6"/>
          <w:sz w:val="32"/>
          <w:szCs w:val="32"/>
          <w:highlight w:val="none"/>
          <w:lang w:val="en-US" w:eastAsia="zh-CN"/>
        </w:rPr>
        <w:t>3330</w:t>
      </w:r>
      <w:r>
        <w:rPr>
          <w:rFonts w:hint="eastAsia" w:eastAsia="方正仿宋_GBK" w:cs="Times New Roman"/>
          <w:spacing w:val="-6"/>
          <w:sz w:val="32"/>
          <w:szCs w:val="32"/>
          <w:highlight w:val="none"/>
          <w:lang w:val="en-US" w:eastAsia="zh-CN"/>
        </w:rPr>
        <w:t>万元，上年结转</w:t>
      </w:r>
      <w:r>
        <w:rPr>
          <w:rFonts w:hint="default" w:eastAsia="方正仿宋_GBK" w:cs="Times New Roman"/>
          <w:spacing w:val="-6"/>
          <w:sz w:val="32"/>
          <w:szCs w:val="32"/>
          <w:highlight w:val="none"/>
          <w:lang w:val="en-US" w:eastAsia="zh-CN"/>
        </w:rPr>
        <w:t>4.99</w:t>
      </w:r>
      <w:r>
        <w:rPr>
          <w:rFonts w:hint="eastAsia" w:eastAsia="方正仿宋_GBK" w:cs="Times New Roman"/>
          <w:spacing w:val="-6"/>
          <w:sz w:val="32"/>
          <w:szCs w:val="32"/>
          <w:highlight w:val="none"/>
          <w:lang w:val="en-US" w:eastAsia="zh-CN"/>
        </w:rPr>
        <w:t>亿元，调入资金</w:t>
      </w:r>
      <w:r>
        <w:rPr>
          <w:rFonts w:hint="default" w:eastAsia="方正仿宋_GBK" w:cs="Times New Roman"/>
          <w:spacing w:val="-6"/>
          <w:sz w:val="32"/>
          <w:szCs w:val="32"/>
          <w:highlight w:val="none"/>
          <w:lang w:val="en-US" w:eastAsia="zh-CN"/>
        </w:rPr>
        <w:t>2.22</w:t>
      </w:r>
      <w:r>
        <w:rPr>
          <w:rFonts w:hint="eastAsia" w:eastAsia="方正仿宋_GBK" w:cs="Times New Roman"/>
          <w:spacing w:val="-6"/>
          <w:sz w:val="32"/>
          <w:szCs w:val="32"/>
          <w:highlight w:val="none"/>
          <w:lang w:val="en-US" w:eastAsia="zh-CN"/>
        </w:rPr>
        <w:t>亿元，债务转贷收入</w:t>
      </w:r>
      <w:r>
        <w:rPr>
          <w:rFonts w:hint="default" w:eastAsia="方正仿宋_GBK" w:cs="Times New Roman"/>
          <w:spacing w:val="-6"/>
          <w:sz w:val="32"/>
          <w:szCs w:val="32"/>
          <w:highlight w:val="none"/>
          <w:lang w:val="en-US" w:eastAsia="zh-CN"/>
        </w:rPr>
        <w:t>13.45</w:t>
      </w:r>
      <w:r>
        <w:rPr>
          <w:rFonts w:hint="eastAsia" w:eastAsia="方正仿宋_GBK" w:cs="Times New Roman"/>
          <w:spacing w:val="-6"/>
          <w:sz w:val="32"/>
          <w:szCs w:val="32"/>
          <w:highlight w:val="none"/>
          <w:lang w:val="en-US" w:eastAsia="zh-CN"/>
        </w:rPr>
        <w:t>亿元，收入总计为</w:t>
      </w:r>
      <w:r>
        <w:rPr>
          <w:rFonts w:hint="default" w:eastAsia="方正仿宋_GBK" w:cs="Times New Roman"/>
          <w:spacing w:val="-6"/>
          <w:sz w:val="32"/>
          <w:szCs w:val="32"/>
          <w:highlight w:val="none"/>
          <w:lang w:val="en-US" w:eastAsia="zh-CN"/>
        </w:rPr>
        <w:t>29.84</w:t>
      </w:r>
      <w:r>
        <w:rPr>
          <w:rFonts w:hint="eastAsia" w:eastAsia="方正仿宋_GBK" w:cs="Times New Roman"/>
          <w:spacing w:val="-6"/>
          <w:sz w:val="32"/>
          <w:szCs w:val="32"/>
          <w:highlight w:val="none"/>
          <w:lang w:val="en-US" w:eastAsia="zh-CN"/>
        </w:rPr>
        <w:t>亿元。政府性基金预算支出</w:t>
      </w:r>
      <w:r>
        <w:rPr>
          <w:rFonts w:hint="default" w:eastAsia="方正仿宋_GBK" w:cs="Times New Roman"/>
          <w:spacing w:val="-6"/>
          <w:sz w:val="32"/>
          <w:szCs w:val="32"/>
          <w:highlight w:val="none"/>
          <w:lang w:val="en-US" w:eastAsia="zh-CN"/>
        </w:rPr>
        <w:t>28.39</w:t>
      </w:r>
      <w:r>
        <w:rPr>
          <w:rFonts w:hint="eastAsia" w:eastAsia="方正仿宋_GBK" w:cs="Times New Roman"/>
          <w:spacing w:val="-6"/>
          <w:sz w:val="32"/>
          <w:szCs w:val="32"/>
          <w:highlight w:val="none"/>
          <w:lang w:val="en-US" w:eastAsia="zh-CN"/>
        </w:rPr>
        <w:t>亿元，结转下年支出</w:t>
      </w:r>
      <w:r>
        <w:rPr>
          <w:rFonts w:hint="default" w:eastAsia="方正仿宋_GBK" w:cs="Times New Roman"/>
          <w:spacing w:val="-6"/>
          <w:sz w:val="32"/>
          <w:szCs w:val="32"/>
          <w:highlight w:val="none"/>
          <w:lang w:val="en-US" w:eastAsia="zh-CN"/>
        </w:rPr>
        <w:t>5648</w:t>
      </w:r>
      <w:r>
        <w:rPr>
          <w:rFonts w:hint="eastAsia" w:eastAsia="方正仿宋_GBK" w:cs="Times New Roman"/>
          <w:spacing w:val="-6"/>
          <w:sz w:val="32"/>
          <w:szCs w:val="32"/>
          <w:highlight w:val="none"/>
          <w:lang w:val="en-US" w:eastAsia="zh-CN"/>
        </w:rPr>
        <w:t>万元，调出资金</w:t>
      </w:r>
      <w:r>
        <w:rPr>
          <w:rFonts w:hint="default" w:eastAsia="方正仿宋_GBK" w:cs="Times New Roman"/>
          <w:spacing w:val="-6"/>
          <w:sz w:val="32"/>
          <w:szCs w:val="32"/>
          <w:highlight w:val="none"/>
          <w:lang w:val="en-US" w:eastAsia="zh-CN"/>
        </w:rPr>
        <w:t>8869</w:t>
      </w:r>
      <w:r>
        <w:rPr>
          <w:rFonts w:hint="eastAsia" w:eastAsia="方正仿宋_GBK" w:cs="Times New Roman"/>
          <w:spacing w:val="-6"/>
          <w:sz w:val="32"/>
          <w:szCs w:val="32"/>
          <w:highlight w:val="none"/>
          <w:lang w:val="en-US" w:eastAsia="zh-CN"/>
        </w:rPr>
        <w:t>万元，支出总计为</w:t>
      </w:r>
      <w:r>
        <w:rPr>
          <w:rFonts w:hint="default" w:eastAsia="方正仿宋_GBK" w:cs="Times New Roman"/>
          <w:spacing w:val="-6"/>
          <w:sz w:val="32"/>
          <w:szCs w:val="32"/>
          <w:highlight w:val="none"/>
          <w:lang w:val="en-US" w:eastAsia="zh-CN"/>
        </w:rPr>
        <w:t>29.84</w:t>
      </w:r>
      <w:r>
        <w:rPr>
          <w:rFonts w:hint="eastAsia" w:eastAsia="方正仿宋_GBK" w:cs="Times New Roman"/>
          <w:spacing w:val="-6"/>
          <w:sz w:val="32"/>
          <w:szCs w:val="32"/>
          <w:highlight w:val="none"/>
          <w:lang w:val="en-US" w:eastAsia="zh-CN"/>
        </w:rPr>
        <w:t>亿元。收支相抵，当年财政收支平衡。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4" w:firstLineChars="200"/>
        <w:jc w:val="both"/>
        <w:textAlignment w:val="auto"/>
        <w:rPr>
          <w:rFonts w:hint="eastAsia" w:ascii="Times New Roman" w:hAnsi="Times New Roman" w:eastAsia="方正楷体_GBK" w:cs="方正楷体_GBK"/>
          <w:b w:val="0"/>
          <w:bCs w:val="0"/>
          <w:spacing w:val="-4"/>
          <w:sz w:val="32"/>
          <w:szCs w:val="32"/>
          <w:highlight w:val="none"/>
          <w:u w:val="none"/>
        </w:rPr>
      </w:pPr>
      <w:r>
        <w:rPr>
          <w:rFonts w:hint="eastAsia" w:ascii="Times New Roman" w:hAnsi="Times New Roman" w:eastAsia="方正楷体_GBK" w:cs="方正楷体_GBK"/>
          <w:b w:val="0"/>
          <w:bCs w:val="0"/>
          <w:spacing w:val="-4"/>
          <w:kern w:val="0"/>
          <w:sz w:val="32"/>
          <w:szCs w:val="32"/>
          <w:highlight w:val="none"/>
          <w:u w:val="none"/>
        </w:rPr>
        <w:t>（</w:t>
      </w:r>
      <w:r>
        <w:rPr>
          <w:rFonts w:hint="eastAsia" w:eastAsia="方正楷体_GBK" w:cs="方正楷体_GBK"/>
          <w:b w:val="0"/>
          <w:bCs w:val="0"/>
          <w:spacing w:val="-4"/>
          <w:kern w:val="0"/>
          <w:sz w:val="32"/>
          <w:szCs w:val="32"/>
          <w:highlight w:val="none"/>
          <w:u w:val="none"/>
          <w:lang w:val="en-US" w:eastAsia="zh-CN"/>
        </w:rPr>
        <w:t>三</w:t>
      </w:r>
      <w:r>
        <w:rPr>
          <w:rFonts w:hint="eastAsia" w:ascii="Times New Roman" w:hAnsi="Times New Roman" w:eastAsia="方正楷体_GBK" w:cs="方正楷体_GBK"/>
          <w:b w:val="0"/>
          <w:bCs w:val="0"/>
          <w:spacing w:val="-4"/>
          <w:kern w:val="0"/>
          <w:sz w:val="32"/>
          <w:szCs w:val="32"/>
          <w:highlight w:val="none"/>
          <w:u w:val="none"/>
        </w:rPr>
        <w:t>）</w:t>
      </w:r>
      <w:r>
        <w:rPr>
          <w:rFonts w:hint="eastAsia" w:ascii="Times New Roman" w:hAnsi="Times New Roman" w:eastAsia="方正楷体_GBK" w:cs="方正楷体_GBK"/>
          <w:b w:val="0"/>
          <w:bCs w:val="0"/>
          <w:sz w:val="32"/>
          <w:szCs w:val="32"/>
          <w:highlight w:val="none"/>
          <w:u w:val="none"/>
        </w:rPr>
        <w:t>社会保险基金预算执行情况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2023年，全区社会保险基金收入完成6.09亿元，占调整预算的97%，其中：机关事业单位基本养老保险基金收入3.66亿元，城乡居民基本养老保险基金收入2.43亿元。全区社会保险基金支出完成5.58亿元，占调整预算的10</w:t>
      </w:r>
      <w:r>
        <w:rPr>
          <w:rFonts w:hint="default" w:eastAsia="方正仿宋_GBK" w:cs="Times New Roman"/>
          <w:spacing w:val="-6"/>
          <w:sz w:val="32"/>
          <w:szCs w:val="32"/>
          <w:highlight w:val="none"/>
          <w:lang w:val="en-US" w:eastAsia="zh-CN"/>
        </w:rPr>
        <w:t>0</w:t>
      </w:r>
      <w:r>
        <w:rPr>
          <w:rFonts w:hint="eastAsia" w:eastAsia="方正仿宋_GBK" w:cs="Times New Roman"/>
          <w:spacing w:val="-6"/>
          <w:sz w:val="32"/>
          <w:szCs w:val="32"/>
          <w:highlight w:val="none"/>
          <w:lang w:val="en-US" w:eastAsia="zh-CN"/>
        </w:rPr>
        <w:t>%，其中：机关事业单位基本养老保险基金支出3.46亿元，城乡居民基本养老保险基金支出2.12亿元。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ascii="Times New Roman" w:hAnsi="Times New Roman" w:eastAsia="方正楷体_GBK" w:cs="方正楷体_GBK"/>
          <w:b w:val="0"/>
          <w:bCs w:val="0"/>
          <w:color w:val="auto"/>
          <w:sz w:val="32"/>
          <w:szCs w:val="24"/>
          <w:highlight w:val="none"/>
          <w:u w:val="none"/>
          <w:lang w:val="zh-CN"/>
        </w:rPr>
      </w:pPr>
      <w:r>
        <w:rPr>
          <w:rFonts w:hint="eastAsia" w:ascii="Times New Roman" w:hAnsi="Times New Roman" w:eastAsia="方正楷体_GBK" w:cs="方正楷体_GBK"/>
          <w:b w:val="0"/>
          <w:bCs w:val="0"/>
          <w:color w:val="auto"/>
          <w:sz w:val="32"/>
          <w:szCs w:val="24"/>
          <w:highlight w:val="none"/>
          <w:u w:val="none"/>
          <w:lang w:val="zh-CN"/>
        </w:rPr>
        <w:t>（四）国有资本经营预算执行情况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zh-CN" w:eastAsia="zh-CN"/>
        </w:rPr>
      </w:pPr>
      <w:r>
        <w:rPr>
          <w:rFonts w:hint="default" w:eastAsia="方正仿宋_GBK" w:cs="Times New Roman"/>
          <w:spacing w:val="-6"/>
          <w:sz w:val="32"/>
          <w:szCs w:val="32"/>
          <w:highlight w:val="none"/>
          <w:lang w:val="en-US" w:eastAsia="zh-CN"/>
        </w:rPr>
        <w:t>2023</w:t>
      </w:r>
      <w:r>
        <w:rPr>
          <w:rFonts w:hint="eastAsia" w:eastAsia="方正仿宋_GBK" w:cs="Times New Roman"/>
          <w:spacing w:val="-6"/>
          <w:sz w:val="32"/>
          <w:szCs w:val="32"/>
          <w:highlight w:val="none"/>
          <w:lang w:val="zh-CN" w:eastAsia="zh-CN"/>
        </w:rPr>
        <w:t>年，全区国有资本经营预算收入完成</w:t>
      </w:r>
      <w:r>
        <w:rPr>
          <w:rFonts w:hint="default" w:eastAsia="方正仿宋_GBK" w:cs="Times New Roman"/>
          <w:spacing w:val="-6"/>
          <w:sz w:val="32"/>
          <w:szCs w:val="32"/>
          <w:highlight w:val="none"/>
          <w:lang w:val="en-US" w:eastAsia="zh-CN"/>
        </w:rPr>
        <w:t>0</w:t>
      </w:r>
      <w:r>
        <w:rPr>
          <w:rFonts w:hint="eastAsia" w:eastAsia="方正仿宋_GBK" w:cs="Times New Roman"/>
          <w:spacing w:val="-6"/>
          <w:sz w:val="32"/>
          <w:szCs w:val="32"/>
          <w:highlight w:val="none"/>
          <w:lang w:val="zh-CN" w:eastAsia="zh-CN"/>
        </w:rPr>
        <w:t>万元，支出完成</w:t>
      </w:r>
      <w:r>
        <w:rPr>
          <w:rFonts w:hint="default" w:eastAsia="方正仿宋_GBK" w:cs="Times New Roman"/>
          <w:spacing w:val="-6"/>
          <w:sz w:val="32"/>
          <w:szCs w:val="32"/>
          <w:highlight w:val="none"/>
          <w:lang w:val="en-US" w:eastAsia="zh-CN"/>
        </w:rPr>
        <w:t>117</w:t>
      </w:r>
      <w:r>
        <w:rPr>
          <w:rFonts w:hint="eastAsia" w:eastAsia="方正仿宋_GBK" w:cs="Times New Roman"/>
          <w:spacing w:val="-6"/>
          <w:sz w:val="32"/>
          <w:szCs w:val="32"/>
          <w:highlight w:val="none"/>
          <w:lang w:val="zh-CN" w:eastAsia="zh-CN"/>
        </w:rPr>
        <w:t>万元，全部为上级转移支付资金。</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楷体_GBK" w:cs="方正楷体_GBK"/>
          <w:b w:val="0"/>
          <w:bCs w:val="0"/>
          <w:color w:val="auto"/>
          <w:sz w:val="32"/>
          <w:szCs w:val="24"/>
          <w:highlight w:val="none"/>
          <w:u w:val="none"/>
          <w:lang w:val="en-US" w:eastAsia="zh-CN"/>
        </w:rPr>
      </w:pPr>
      <w:r>
        <w:rPr>
          <w:rFonts w:hint="eastAsia" w:eastAsia="方正楷体_GBK" w:cs="方正楷体_GBK"/>
          <w:b w:val="0"/>
          <w:bCs w:val="0"/>
          <w:color w:val="auto"/>
          <w:sz w:val="32"/>
          <w:szCs w:val="24"/>
          <w:highlight w:val="none"/>
          <w:u w:val="none"/>
          <w:lang w:val="en-US" w:eastAsia="zh-CN"/>
        </w:rPr>
        <w:t>（五）地方政府债务情况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ascii="Times New Roman" w:hAnsi="Times New Roman" w:eastAsia="仿宋" w:cs="宋体"/>
          <w:b/>
          <w:bCs/>
          <w:spacing w:val="-4"/>
          <w:kern w:val="0"/>
          <w:sz w:val="32"/>
          <w:szCs w:val="32"/>
          <w:highlight w:val="none"/>
          <w:u w:val="none"/>
          <w:lang w:val="en-US" w:eastAsia="zh-CN"/>
        </w:rPr>
      </w:pPr>
      <w:r>
        <w:rPr>
          <w:rFonts w:hint="eastAsia" w:ascii="Times New Roman" w:hAnsi="Times New Roman" w:eastAsia="仿宋" w:cs="宋体"/>
          <w:b/>
          <w:bCs/>
          <w:spacing w:val="-4"/>
          <w:kern w:val="0"/>
          <w:sz w:val="32"/>
          <w:szCs w:val="32"/>
          <w:highlight w:val="none"/>
          <w:u w:val="none"/>
          <w:lang w:val="en-US" w:eastAsia="zh-CN"/>
        </w:rPr>
        <w:t>1.地方政府债务限额及余额情况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根据保定市财政局下达新增政府债券及存量政府债务情况，截止2023年底，我区政府债务限额</w:t>
      </w:r>
      <w:r>
        <w:rPr>
          <w:rFonts w:hint="default" w:eastAsia="方正仿宋_GBK" w:cs="Times New Roman"/>
          <w:spacing w:val="-6"/>
          <w:sz w:val="32"/>
          <w:szCs w:val="32"/>
          <w:highlight w:val="none"/>
          <w:lang w:val="en-US" w:eastAsia="zh-CN"/>
        </w:rPr>
        <w:t>98.84</w:t>
      </w:r>
      <w:r>
        <w:rPr>
          <w:rFonts w:hint="eastAsia" w:eastAsia="方正仿宋_GBK" w:cs="Times New Roman"/>
          <w:spacing w:val="-6"/>
          <w:sz w:val="32"/>
          <w:szCs w:val="32"/>
          <w:highlight w:val="none"/>
          <w:lang w:val="en-US" w:eastAsia="zh-CN"/>
        </w:rPr>
        <w:t>亿元，其中，一般债务</w:t>
      </w:r>
      <w:r>
        <w:rPr>
          <w:rFonts w:hint="default" w:eastAsia="方正仿宋_GBK" w:cs="Times New Roman"/>
          <w:spacing w:val="-6"/>
          <w:sz w:val="32"/>
          <w:szCs w:val="32"/>
          <w:highlight w:val="none"/>
          <w:lang w:val="en-US" w:eastAsia="zh-CN"/>
        </w:rPr>
        <w:t>14.65</w:t>
      </w:r>
      <w:r>
        <w:rPr>
          <w:rFonts w:hint="eastAsia" w:eastAsia="方正仿宋_GBK" w:cs="Times New Roman"/>
          <w:spacing w:val="-6"/>
          <w:sz w:val="32"/>
          <w:szCs w:val="32"/>
          <w:highlight w:val="none"/>
          <w:lang w:val="en-US" w:eastAsia="zh-CN"/>
        </w:rPr>
        <w:t>亿元、专项债务84.19亿元，政府债务余额为</w:t>
      </w:r>
      <w:bookmarkStart w:id="0" w:name="_GoBack"/>
      <w:bookmarkEnd w:id="0"/>
      <w:r>
        <w:rPr>
          <w:rFonts w:hint="eastAsia" w:eastAsia="方正仿宋_GBK" w:cs="Times New Roman"/>
          <w:spacing w:val="-6"/>
          <w:sz w:val="32"/>
          <w:szCs w:val="32"/>
          <w:highlight w:val="none"/>
          <w:lang w:val="en-US" w:eastAsia="zh-CN"/>
        </w:rPr>
        <w:t>98.31亿元，其中，一般债务14.13亿元、专项债务84.18亿元，未突破政府债务限额。</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ascii="Times New Roman" w:hAnsi="Times New Roman" w:eastAsia="仿宋" w:cs="宋体"/>
          <w:b/>
          <w:bCs/>
          <w:spacing w:val="-4"/>
          <w:kern w:val="0"/>
          <w:sz w:val="32"/>
          <w:szCs w:val="32"/>
          <w:highlight w:val="none"/>
          <w:u w:val="none"/>
          <w:lang w:val="en-US" w:eastAsia="zh-CN"/>
        </w:rPr>
      </w:pPr>
      <w:r>
        <w:rPr>
          <w:rFonts w:hint="eastAsia" w:ascii="Times New Roman" w:hAnsi="Times New Roman" w:eastAsia="仿宋" w:cs="宋体"/>
          <w:b/>
          <w:bCs/>
          <w:spacing w:val="-4"/>
          <w:kern w:val="0"/>
          <w:sz w:val="32"/>
          <w:szCs w:val="32"/>
          <w:highlight w:val="none"/>
          <w:u w:val="none"/>
          <w:lang w:val="en-US" w:eastAsia="zh-CN"/>
        </w:rPr>
        <w:t>2.地方政府债券发行及使用情况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2023年，保定市财政局下达我区政府债券资金16.23亿元，其中，一般债券2.78亿元（含再融资债券1.08亿元），专项债券13.45亿元。截止2023年底，政府债券共支付14.89亿元，其中，一般债券1.44亿元，专项债券13.45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ascii="Times New Roman" w:hAnsi="Times New Roman" w:eastAsia="仿宋" w:cs="宋体"/>
          <w:b/>
          <w:bCs/>
          <w:spacing w:val="-4"/>
          <w:kern w:val="0"/>
          <w:sz w:val="32"/>
          <w:szCs w:val="32"/>
          <w:highlight w:val="none"/>
          <w:u w:val="none"/>
          <w:lang w:val="en-US" w:eastAsia="zh-CN"/>
        </w:rPr>
      </w:pPr>
      <w:r>
        <w:rPr>
          <w:rFonts w:hint="eastAsia" w:ascii="Times New Roman" w:hAnsi="Times New Roman" w:eastAsia="仿宋" w:cs="宋体"/>
          <w:b/>
          <w:bCs/>
          <w:spacing w:val="-4"/>
          <w:kern w:val="0"/>
          <w:sz w:val="32"/>
          <w:szCs w:val="32"/>
          <w:highlight w:val="none"/>
          <w:u w:val="none"/>
          <w:lang w:val="en-US" w:eastAsia="zh-CN"/>
        </w:rPr>
        <w:t>3.政府债务还本付息情况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根据保定市财政局下发的政府债券本息偿还计划，将政府债务应偿还本息足额列入年度预算并按期上解。2023年我区共上解政府债券本息及付息服务费4.03亿元，没有发生逾期风险事件。</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ascii="Times New Roman" w:hAnsi="Times New Roman" w:eastAsia="方正楷体_GBK" w:cs="方正楷体_GBK"/>
          <w:b w:val="0"/>
          <w:bCs w:val="0"/>
          <w:color w:val="auto"/>
          <w:sz w:val="32"/>
          <w:szCs w:val="24"/>
          <w:highlight w:val="none"/>
          <w:u w:val="none"/>
          <w:lang w:val="zh-CN"/>
        </w:rPr>
      </w:pPr>
      <w:r>
        <w:rPr>
          <w:rFonts w:hint="eastAsia" w:eastAsia="方正楷体_GBK" w:cs="方正楷体_GBK"/>
          <w:b w:val="0"/>
          <w:bCs w:val="0"/>
          <w:color w:val="auto"/>
          <w:sz w:val="32"/>
          <w:szCs w:val="24"/>
          <w:highlight w:val="none"/>
          <w:u w:val="none"/>
          <w:lang w:val="en-US" w:eastAsia="zh-CN"/>
        </w:rPr>
        <w:t>（六）</w:t>
      </w:r>
      <w:r>
        <w:rPr>
          <w:rFonts w:hint="eastAsia" w:ascii="Times New Roman" w:hAnsi="Times New Roman" w:eastAsia="方正楷体_GBK" w:cs="方正楷体_GBK"/>
          <w:b w:val="0"/>
          <w:bCs w:val="0"/>
          <w:color w:val="auto"/>
          <w:sz w:val="32"/>
          <w:szCs w:val="24"/>
          <w:highlight w:val="none"/>
          <w:u w:val="none"/>
          <w:lang w:val="zh-CN"/>
        </w:rPr>
        <w:t>预算执行特点和成效</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9" w:firstLineChars="200"/>
        <w:jc w:val="both"/>
        <w:textAlignment w:val="auto"/>
        <w:rPr>
          <w:rFonts w:hint="eastAsia" w:ascii="Times New Roman" w:hAnsi="Times New Roman" w:eastAsia="方正仿宋_GBK" w:cs="Times New Roman"/>
          <w:spacing w:val="-6"/>
          <w:sz w:val="32"/>
          <w:szCs w:val="32"/>
          <w:highlight w:val="none"/>
          <w:lang w:val="en-US" w:eastAsia="zh-CN"/>
        </w:rPr>
      </w:pPr>
      <w:r>
        <w:rPr>
          <w:rFonts w:hint="eastAsia" w:eastAsia="方正仿宋_GBK" w:cs="Times New Roman"/>
          <w:b/>
          <w:bCs/>
          <w:spacing w:val="-6"/>
          <w:sz w:val="32"/>
          <w:szCs w:val="32"/>
          <w:highlight w:val="none"/>
          <w:lang w:val="en-US" w:eastAsia="zh-CN"/>
        </w:rPr>
        <w:t>1.“稳”字当头，确保财政收支平衡。</w:t>
      </w:r>
      <w:r>
        <w:rPr>
          <w:rFonts w:hint="eastAsia" w:ascii="Times New Roman" w:hAnsi="Times New Roman" w:eastAsia="方正仿宋_GBK" w:cs="Times New Roman"/>
          <w:spacing w:val="-6"/>
          <w:sz w:val="32"/>
          <w:szCs w:val="32"/>
          <w:highlight w:val="none"/>
          <w:lang w:val="en-US" w:eastAsia="zh-CN"/>
        </w:rPr>
        <w:t>面对减税降</w:t>
      </w:r>
      <w:r>
        <w:rPr>
          <w:rFonts w:hint="eastAsia" w:eastAsia="方正仿宋_GBK" w:cs="Times New Roman"/>
          <w:spacing w:val="-6"/>
          <w:sz w:val="32"/>
          <w:szCs w:val="32"/>
          <w:highlight w:val="none"/>
          <w:lang w:val="en-US" w:eastAsia="zh-CN"/>
        </w:rPr>
        <w:t>费</w:t>
      </w:r>
      <w:r>
        <w:rPr>
          <w:rFonts w:hint="eastAsia" w:ascii="Times New Roman" w:hAnsi="Times New Roman" w:eastAsia="方正仿宋_GBK" w:cs="Times New Roman"/>
          <w:spacing w:val="-6"/>
          <w:sz w:val="32"/>
          <w:szCs w:val="32"/>
          <w:highlight w:val="none"/>
          <w:lang w:val="en-US" w:eastAsia="zh-CN"/>
        </w:rPr>
        <w:t>政策实施形成的减收因素，全区财税部门和执收执罚部门精准监控重点税源，强化协调联动，强力督导调度，依法治税管费，税收收入占一般公共预算收入的比重达到</w:t>
      </w:r>
      <w:r>
        <w:rPr>
          <w:rFonts w:hint="default" w:ascii="Times New Roman" w:hAnsi="Times New Roman" w:eastAsia="方正仿宋_GBK" w:cs="Times New Roman"/>
          <w:spacing w:val="-6"/>
          <w:sz w:val="32"/>
          <w:szCs w:val="32"/>
          <w:highlight w:val="none"/>
          <w:lang w:val="en-US" w:eastAsia="zh-CN"/>
        </w:rPr>
        <w:t>80</w:t>
      </w:r>
      <w:r>
        <w:rPr>
          <w:rFonts w:hint="eastAsia" w:ascii="Times New Roman" w:hAnsi="Times New Roman" w:eastAsia="方正仿宋_GBK" w:cs="Times New Roman"/>
          <w:spacing w:val="-6"/>
          <w:sz w:val="32"/>
          <w:szCs w:val="32"/>
          <w:highlight w:val="none"/>
          <w:lang w:val="en-US" w:eastAsia="zh-CN"/>
        </w:rPr>
        <w:t>%，较上年增长</w:t>
      </w:r>
      <w:r>
        <w:rPr>
          <w:rFonts w:hint="default" w:ascii="Times New Roman" w:hAnsi="Times New Roman" w:eastAsia="方正仿宋_GBK" w:cs="Times New Roman"/>
          <w:spacing w:val="-6"/>
          <w:sz w:val="32"/>
          <w:szCs w:val="32"/>
          <w:highlight w:val="none"/>
          <w:lang w:val="en-US" w:eastAsia="zh-CN"/>
        </w:rPr>
        <w:t>7.9</w:t>
      </w:r>
      <w:r>
        <w:rPr>
          <w:rFonts w:hint="eastAsia" w:ascii="Times New Roman" w:hAnsi="Times New Roman" w:eastAsia="方正仿宋_GBK" w:cs="Times New Roman"/>
          <w:spacing w:val="-6"/>
          <w:sz w:val="32"/>
          <w:szCs w:val="32"/>
          <w:highlight w:val="none"/>
          <w:lang w:val="en-US" w:eastAsia="zh-CN"/>
        </w:rPr>
        <w:t>个百分点。同时，大力争取资金、严控一般性支出、盘活存量资金三措并举，科学调度库款，兜牢</w:t>
      </w:r>
      <w:r>
        <w:rPr>
          <w:rFonts w:hint="eastAsia" w:eastAsia="方正仿宋_GBK" w:cs="Times New Roman"/>
          <w:spacing w:val="-6"/>
          <w:sz w:val="32"/>
          <w:szCs w:val="32"/>
          <w:highlight w:val="none"/>
          <w:lang w:val="en-US" w:eastAsia="zh-CN"/>
        </w:rPr>
        <w:t>筑</w:t>
      </w:r>
      <w:r>
        <w:rPr>
          <w:rFonts w:hint="eastAsia" w:ascii="Times New Roman" w:hAnsi="Times New Roman" w:eastAsia="方正仿宋_GBK" w:cs="Times New Roman"/>
          <w:spacing w:val="-6"/>
          <w:sz w:val="32"/>
          <w:szCs w:val="32"/>
          <w:highlight w:val="none"/>
          <w:lang w:val="en-US" w:eastAsia="zh-CN"/>
        </w:rPr>
        <w:t>实“三保”底线，全力保障全区民生实事、大事要事。在收入总量下降的情况下，一般公共预算支出与上年基本持平，确保了全区财政平稳运行、可持续发展。</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80" w:lineRule="exact"/>
        <w:ind w:firstLine="643"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b/>
          <w:bCs/>
          <w:kern w:val="0"/>
          <w:sz w:val="32"/>
          <w:szCs w:val="32"/>
          <w:highlight w:val="none"/>
          <w:lang w:val="en-US" w:eastAsia="zh-CN"/>
        </w:rPr>
        <w:t>2</w:t>
      </w:r>
      <w:r>
        <w:rPr>
          <w:rFonts w:hint="eastAsia" w:ascii="Times New Roman" w:hAnsi="Times New Roman" w:eastAsia="方正仿宋_GBK" w:cs="Times New Roman"/>
          <w:b/>
          <w:bCs/>
          <w:kern w:val="0"/>
          <w:sz w:val="32"/>
          <w:szCs w:val="32"/>
          <w:highlight w:val="none"/>
          <w:lang w:val="en-US" w:eastAsia="zh-CN"/>
        </w:rPr>
        <w:t>.“实”字筑基，助力经济回升向好。</w:t>
      </w:r>
      <w:r>
        <w:rPr>
          <w:rFonts w:hint="eastAsia" w:eastAsia="方正仿宋_GBK" w:cs="Times New Roman"/>
          <w:spacing w:val="-6"/>
          <w:sz w:val="32"/>
          <w:szCs w:val="32"/>
          <w:highlight w:val="none"/>
          <w:lang w:val="en-US" w:eastAsia="zh-CN"/>
        </w:rPr>
        <w:t>立足发展要务，积极的财政政策加力提效，不断巩固和增强经济回升向好态势。</w:t>
      </w:r>
      <w:r>
        <w:rPr>
          <w:rFonts w:hint="eastAsia" w:eastAsia="方正仿宋_GBK" w:cs="Times New Roman"/>
          <w:b/>
          <w:bCs/>
          <w:kern w:val="0"/>
          <w:sz w:val="32"/>
          <w:szCs w:val="32"/>
          <w:highlight w:val="none"/>
          <w:lang w:val="en-US" w:eastAsia="zh-CN"/>
        </w:rPr>
        <w:t>一是着力减负担增效益。</w:t>
      </w:r>
      <w:r>
        <w:rPr>
          <w:rFonts w:hint="eastAsia" w:eastAsia="方正仿宋_GBK" w:cs="Times New Roman"/>
          <w:spacing w:val="-6"/>
          <w:sz w:val="32"/>
          <w:szCs w:val="32"/>
          <w:highlight w:val="none"/>
          <w:lang w:val="en-US" w:eastAsia="zh-CN"/>
        </w:rPr>
        <w:t>用足用好减税降费政策，通过印发宣传资料、制作动漫视频、组织座谈会等，多渠道、多方式、多角度提高政策宣传覆盖面，打通政策落地“最后一公里”。</w:t>
      </w:r>
      <w:r>
        <w:rPr>
          <w:rFonts w:hint="default" w:eastAsia="方正仿宋_GBK" w:cs="Times New Roman"/>
          <w:spacing w:val="-6"/>
          <w:sz w:val="32"/>
          <w:szCs w:val="32"/>
          <w:highlight w:val="none"/>
          <w:lang w:val="en-US" w:eastAsia="zh-CN"/>
        </w:rPr>
        <w:t>2023</w:t>
      </w:r>
      <w:r>
        <w:rPr>
          <w:rFonts w:hint="eastAsia" w:eastAsia="方正仿宋_GBK" w:cs="Times New Roman"/>
          <w:spacing w:val="-6"/>
          <w:sz w:val="32"/>
          <w:szCs w:val="32"/>
          <w:highlight w:val="none"/>
          <w:lang w:val="en-US" w:eastAsia="zh-CN"/>
        </w:rPr>
        <w:t>年</w:t>
      </w:r>
      <w:r>
        <w:rPr>
          <w:rFonts w:hint="eastAsia" w:eastAsia="方正仿宋_GBK" w:cs="Times New Roman"/>
          <w:spacing w:val="-6"/>
          <w:sz w:val="32"/>
          <w:szCs w:val="32"/>
          <w:highlight w:val="none"/>
          <w:lang w:val="zh-CN" w:eastAsia="zh-CN"/>
        </w:rPr>
        <w:t>，全区累计减税降费</w:t>
      </w:r>
      <w:r>
        <w:rPr>
          <w:rFonts w:hint="eastAsia" w:eastAsia="方正仿宋_GBK" w:cs="Times New Roman"/>
          <w:spacing w:val="-6"/>
          <w:sz w:val="32"/>
          <w:szCs w:val="32"/>
          <w:highlight w:val="none"/>
          <w:lang w:val="en-US" w:eastAsia="zh-CN"/>
        </w:rPr>
        <w:t>和退税缓税</w:t>
      </w:r>
      <w:r>
        <w:rPr>
          <w:rFonts w:hint="eastAsia" w:eastAsia="方正仿宋_GBK" w:cs="Times New Roman"/>
          <w:spacing w:val="-6"/>
          <w:sz w:val="32"/>
          <w:szCs w:val="32"/>
          <w:highlight w:val="none"/>
          <w:lang w:val="zh-CN" w:eastAsia="zh-CN"/>
        </w:rPr>
        <w:t>缓费</w:t>
      </w:r>
      <w:r>
        <w:rPr>
          <w:rFonts w:hint="default" w:eastAsia="方正仿宋_GBK" w:cs="Times New Roman"/>
          <w:spacing w:val="-6"/>
          <w:sz w:val="32"/>
          <w:szCs w:val="32"/>
          <w:highlight w:val="none"/>
          <w:lang w:val="en-US" w:eastAsia="zh-CN"/>
        </w:rPr>
        <w:t>17.23</w:t>
      </w:r>
      <w:r>
        <w:rPr>
          <w:rFonts w:hint="eastAsia" w:eastAsia="方正仿宋_GBK" w:cs="Times New Roman"/>
          <w:spacing w:val="-6"/>
          <w:sz w:val="32"/>
          <w:szCs w:val="32"/>
          <w:highlight w:val="none"/>
          <w:lang w:val="zh-CN" w:eastAsia="zh-CN"/>
        </w:rPr>
        <w:t>亿元，</w:t>
      </w:r>
      <w:r>
        <w:rPr>
          <w:rFonts w:hint="eastAsia" w:eastAsia="方正仿宋_GBK" w:cs="Times New Roman"/>
          <w:spacing w:val="-6"/>
          <w:sz w:val="32"/>
          <w:szCs w:val="32"/>
          <w:highlight w:val="none"/>
          <w:lang w:val="en-US" w:eastAsia="zh-CN"/>
        </w:rPr>
        <w:t>助企抒困、提振了市场信心</w:t>
      </w:r>
      <w:r>
        <w:rPr>
          <w:rFonts w:hint="eastAsia" w:eastAsia="方正仿宋_GBK" w:cs="Times New Roman"/>
          <w:spacing w:val="-6"/>
          <w:sz w:val="32"/>
          <w:szCs w:val="32"/>
          <w:highlight w:val="none"/>
          <w:lang w:val="zh-CN" w:eastAsia="zh-CN"/>
        </w:rPr>
        <w:t>。</w:t>
      </w:r>
      <w:r>
        <w:rPr>
          <w:rFonts w:hint="eastAsia" w:eastAsia="方正仿宋_GBK" w:cs="Times New Roman"/>
          <w:spacing w:val="-6"/>
          <w:sz w:val="32"/>
          <w:szCs w:val="32"/>
          <w:highlight w:val="none"/>
          <w:lang w:val="en-US" w:eastAsia="zh-CN"/>
        </w:rPr>
        <w:t>优化政府采购领域营商环境，落实政府采购预留中小企业份额要求和提高小微企业价格评审优惠幅度政策，加大政府采购领域保证金专项清理力度，推进政府采购公开招标“双盲”评审工作落地执行，充分调动各类经营主体积极性。</w:t>
      </w:r>
      <w:r>
        <w:rPr>
          <w:rFonts w:hint="eastAsia" w:eastAsia="方正仿宋_GBK" w:cs="Times New Roman"/>
          <w:b/>
          <w:bCs/>
          <w:kern w:val="0"/>
          <w:sz w:val="32"/>
          <w:szCs w:val="32"/>
          <w:highlight w:val="none"/>
          <w:lang w:val="en-US" w:eastAsia="zh-CN"/>
        </w:rPr>
        <w:t>二是着力扩投资促消费。</w:t>
      </w:r>
      <w:r>
        <w:rPr>
          <w:rFonts w:hint="eastAsia" w:eastAsia="方正仿宋_GBK" w:cs="Times New Roman"/>
          <w:spacing w:val="-6"/>
          <w:sz w:val="32"/>
          <w:szCs w:val="32"/>
          <w:highlight w:val="none"/>
          <w:lang w:val="en-US" w:eastAsia="zh-CN"/>
        </w:rPr>
        <w:t>结合全区发展实际和项目建设需求，争取上级资金25.35亿元，主要用于棚户区和老旧小区改造、交通基础设施建设、农村人居环境整治等领域，发挥了财政资金稳投资、补短板、惠民生作用。</w:t>
      </w:r>
      <w:r>
        <w:rPr>
          <w:rFonts w:hint="eastAsia" w:eastAsia="方正仿宋_GBK" w:cs="Times New Roman"/>
          <w:spacing w:val="-6"/>
          <w:sz w:val="32"/>
          <w:szCs w:val="32"/>
          <w:highlight w:val="none"/>
          <w:lang w:val="zh-CN" w:eastAsia="zh-CN"/>
        </w:rPr>
        <w:t>投入资金</w:t>
      </w:r>
      <w:r>
        <w:rPr>
          <w:rFonts w:hint="eastAsia" w:eastAsia="方正仿宋_GBK" w:cs="Times New Roman"/>
          <w:spacing w:val="-6"/>
          <w:sz w:val="32"/>
          <w:szCs w:val="32"/>
          <w:highlight w:val="none"/>
          <w:lang w:val="en-US" w:eastAsia="zh-CN"/>
        </w:rPr>
        <w:t>696</w:t>
      </w:r>
      <w:r>
        <w:rPr>
          <w:rFonts w:hint="eastAsia" w:eastAsia="方正仿宋_GBK" w:cs="Times New Roman"/>
          <w:spacing w:val="-6"/>
          <w:sz w:val="32"/>
          <w:szCs w:val="32"/>
          <w:highlight w:val="none"/>
          <w:lang w:val="zh-CN" w:eastAsia="zh-CN"/>
        </w:rPr>
        <w:t>万元</w:t>
      </w:r>
      <w:r>
        <w:rPr>
          <w:rFonts w:hint="eastAsia" w:eastAsia="方正仿宋_GBK" w:cs="Times New Roman"/>
          <w:spacing w:val="-6"/>
          <w:sz w:val="32"/>
          <w:szCs w:val="32"/>
          <w:highlight w:val="none"/>
          <w:lang w:val="en-US" w:eastAsia="zh-CN"/>
        </w:rPr>
        <w:t>支持</w:t>
      </w:r>
      <w:r>
        <w:rPr>
          <w:rFonts w:hint="eastAsia" w:eastAsia="方正仿宋_GBK" w:cs="Times New Roman"/>
          <w:spacing w:val="-6"/>
          <w:sz w:val="32"/>
          <w:szCs w:val="32"/>
          <w:highlight w:val="none"/>
          <w:lang w:val="zh-CN" w:eastAsia="zh-CN"/>
        </w:rPr>
        <w:t>汽车消费</w:t>
      </w:r>
      <w:r>
        <w:rPr>
          <w:rFonts w:hint="eastAsia" w:eastAsia="方正仿宋_GBK" w:cs="Times New Roman"/>
          <w:spacing w:val="-6"/>
          <w:sz w:val="32"/>
          <w:szCs w:val="32"/>
          <w:highlight w:val="none"/>
          <w:lang w:val="en-US" w:eastAsia="zh-CN"/>
        </w:rPr>
        <w:t>和“</w:t>
      </w:r>
      <w:r>
        <w:rPr>
          <w:rFonts w:hint="default" w:eastAsia="方正仿宋_GBK" w:cs="Times New Roman"/>
          <w:spacing w:val="-6"/>
          <w:sz w:val="32"/>
          <w:szCs w:val="32"/>
          <w:highlight w:val="none"/>
          <w:lang w:val="en-US" w:eastAsia="zh-CN"/>
        </w:rPr>
        <w:t>嗨购徐水</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年货到家</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活动</w:t>
      </w:r>
      <w:r>
        <w:rPr>
          <w:rFonts w:hint="eastAsia" w:eastAsia="方正仿宋_GBK" w:cs="Times New Roman"/>
          <w:spacing w:val="-6"/>
          <w:sz w:val="32"/>
          <w:szCs w:val="32"/>
          <w:highlight w:val="none"/>
          <w:lang w:val="en-US" w:eastAsia="zh-CN"/>
        </w:rPr>
        <w:t>，打造消费场景，促进全区消费市场回暖复苏。</w:t>
      </w:r>
      <w:r>
        <w:rPr>
          <w:rFonts w:hint="eastAsia" w:ascii="Times New Roman" w:hAnsi="Times New Roman" w:eastAsia="方正仿宋_GBK" w:cs="Times New Roman"/>
          <w:b/>
          <w:bCs/>
          <w:kern w:val="0"/>
          <w:sz w:val="32"/>
          <w:szCs w:val="32"/>
          <w:highlight w:val="none"/>
          <w:lang w:val="en-US" w:eastAsia="zh-CN"/>
        </w:rPr>
        <w:t>三是</w:t>
      </w:r>
      <w:r>
        <w:rPr>
          <w:rFonts w:hint="eastAsia" w:eastAsia="方正仿宋_GBK" w:cs="Times New Roman"/>
          <w:b/>
          <w:bCs/>
          <w:kern w:val="0"/>
          <w:sz w:val="32"/>
          <w:szCs w:val="32"/>
          <w:highlight w:val="none"/>
          <w:lang w:val="en-US" w:eastAsia="zh-CN"/>
        </w:rPr>
        <w:t>着力助</w:t>
      </w:r>
      <w:r>
        <w:rPr>
          <w:rFonts w:hint="eastAsia" w:ascii="Times New Roman" w:hAnsi="Times New Roman" w:eastAsia="方正仿宋_GBK" w:cs="Times New Roman"/>
          <w:b/>
          <w:bCs/>
          <w:kern w:val="0"/>
          <w:sz w:val="32"/>
          <w:szCs w:val="32"/>
          <w:highlight w:val="none"/>
          <w:lang w:val="en-US" w:eastAsia="zh-CN"/>
        </w:rPr>
        <w:t>创新</w:t>
      </w:r>
      <w:r>
        <w:rPr>
          <w:rFonts w:hint="eastAsia" w:eastAsia="方正仿宋_GBK" w:cs="Times New Roman"/>
          <w:b/>
          <w:bCs/>
          <w:kern w:val="0"/>
          <w:sz w:val="32"/>
          <w:szCs w:val="32"/>
          <w:highlight w:val="none"/>
          <w:lang w:val="en-US" w:eastAsia="zh-CN"/>
        </w:rPr>
        <w:t>增动能。</w:t>
      </w:r>
      <w:r>
        <w:rPr>
          <w:rFonts w:hint="eastAsia" w:ascii="Times New Roman" w:hAnsi="Times New Roman" w:eastAsia="方正仿宋_GBK" w:cs="方正仿宋_GBK"/>
          <w:sz w:val="32"/>
          <w:szCs w:val="32"/>
          <w:highlight w:val="none"/>
          <w:lang w:val="en-US" w:eastAsia="zh-CN"/>
        </w:rPr>
        <w:t>2023年</w:t>
      </w:r>
      <w:r>
        <w:rPr>
          <w:rFonts w:hint="eastAsia" w:ascii="Times New Roman" w:hAnsi="Times New Roman" w:eastAsia="方正仿宋_GBK" w:cs="方正仿宋_GBK"/>
          <w:sz w:val="32"/>
          <w:szCs w:val="32"/>
          <w:highlight w:val="none"/>
          <w:lang w:val="zh-CN" w:eastAsia="zh-CN"/>
        </w:rPr>
        <w:t>科</w:t>
      </w:r>
      <w:r>
        <w:rPr>
          <w:rFonts w:hint="eastAsia" w:eastAsia="方正仿宋_GBK" w:cs="Times New Roman"/>
          <w:spacing w:val="-6"/>
          <w:sz w:val="32"/>
          <w:szCs w:val="32"/>
          <w:highlight w:val="none"/>
          <w:lang w:val="zh-CN" w:eastAsia="zh-CN"/>
        </w:rPr>
        <w:t>技支出6</w:t>
      </w:r>
      <w:r>
        <w:rPr>
          <w:rFonts w:hint="eastAsia" w:eastAsia="方正仿宋_GBK" w:cs="Times New Roman"/>
          <w:spacing w:val="-6"/>
          <w:sz w:val="32"/>
          <w:szCs w:val="32"/>
          <w:highlight w:val="none"/>
          <w:lang w:val="en-US" w:eastAsia="zh-CN"/>
        </w:rPr>
        <w:t>267</w:t>
      </w:r>
      <w:r>
        <w:rPr>
          <w:rFonts w:hint="eastAsia" w:eastAsia="方正仿宋_GBK" w:cs="Times New Roman"/>
          <w:spacing w:val="-6"/>
          <w:sz w:val="32"/>
          <w:szCs w:val="32"/>
          <w:highlight w:val="none"/>
          <w:lang w:val="zh-CN" w:eastAsia="zh-CN"/>
        </w:rPr>
        <w:t>万元，占公共预算支出的1.5</w:t>
      </w:r>
      <w:r>
        <w:rPr>
          <w:rFonts w:hint="eastAsia" w:eastAsia="方正仿宋_GBK" w:cs="Times New Roman"/>
          <w:spacing w:val="-6"/>
          <w:sz w:val="32"/>
          <w:szCs w:val="32"/>
          <w:highlight w:val="none"/>
          <w:lang w:val="en-US" w:eastAsia="zh-CN"/>
        </w:rPr>
        <w:t>1</w:t>
      </w:r>
      <w:r>
        <w:rPr>
          <w:rFonts w:hint="eastAsia" w:eastAsia="方正仿宋_GBK" w:cs="Times New Roman"/>
          <w:spacing w:val="-6"/>
          <w:sz w:val="32"/>
          <w:szCs w:val="32"/>
          <w:highlight w:val="none"/>
          <w:lang w:val="zh-CN" w:eastAsia="zh-CN"/>
        </w:rPr>
        <w:t>%，</w:t>
      </w:r>
      <w:r>
        <w:rPr>
          <w:rFonts w:hint="eastAsia" w:eastAsia="方正仿宋_GBK" w:cs="Times New Roman"/>
          <w:spacing w:val="-6"/>
          <w:sz w:val="32"/>
          <w:szCs w:val="32"/>
          <w:highlight w:val="none"/>
          <w:lang w:val="en-US" w:eastAsia="zh-CN"/>
        </w:rPr>
        <w:t>重点支持省校科技合作、县域科技创新跃升奖励、研发费用加计扣除后补助、科技创新引导等方面，增强发展内生动力。</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9"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b/>
          <w:bCs/>
          <w:spacing w:val="-6"/>
          <w:sz w:val="32"/>
          <w:szCs w:val="32"/>
          <w:highlight w:val="none"/>
          <w:lang w:val="en-US" w:eastAsia="zh-CN"/>
        </w:rPr>
        <w:t>3.</w:t>
      </w:r>
      <w:r>
        <w:rPr>
          <w:rFonts w:hint="eastAsia" w:ascii="方正仿宋_GBK" w:hAnsi="方正仿宋_GBK" w:eastAsia="方正仿宋_GBK" w:cs="方正仿宋_GBK"/>
          <w:b/>
          <w:bCs/>
          <w:kern w:val="2"/>
          <w:sz w:val="32"/>
          <w:szCs w:val="32"/>
          <w:highlight w:val="none"/>
          <w:shd w:val="clear" w:color="auto" w:fill="FFFFFF"/>
          <w:lang w:val="en-US" w:eastAsia="zh-CN" w:bidi="ar-SA"/>
        </w:rPr>
        <w:t>“保</w:t>
      </w:r>
      <w:r>
        <w:rPr>
          <w:rFonts w:hint="default" w:ascii="方正仿宋_GBK" w:hAnsi="方正仿宋_GBK" w:eastAsia="方正仿宋_GBK" w:cs="方正仿宋_GBK"/>
          <w:b/>
          <w:bCs/>
          <w:kern w:val="2"/>
          <w:sz w:val="32"/>
          <w:szCs w:val="32"/>
          <w:highlight w:val="none"/>
          <w:shd w:val="clear" w:color="auto" w:fill="FFFFFF"/>
          <w:lang w:val="en-US" w:eastAsia="zh-CN" w:bidi="ar-SA"/>
        </w:rPr>
        <w:t>”</w:t>
      </w:r>
      <w:r>
        <w:rPr>
          <w:rFonts w:hint="eastAsia" w:ascii="方正仿宋_GBK" w:hAnsi="方正仿宋_GBK" w:eastAsia="方正仿宋_GBK" w:cs="方正仿宋_GBK"/>
          <w:b/>
          <w:bCs/>
          <w:kern w:val="2"/>
          <w:sz w:val="32"/>
          <w:szCs w:val="32"/>
          <w:highlight w:val="none"/>
          <w:shd w:val="clear" w:color="auto" w:fill="FFFFFF"/>
          <w:lang w:val="en-US" w:eastAsia="zh-CN" w:bidi="ar-SA"/>
        </w:rPr>
        <w:t>字兜底，着力增进民生福祉。</w:t>
      </w:r>
      <w:r>
        <w:rPr>
          <w:rFonts w:hint="eastAsia" w:eastAsia="方正仿宋_GBK" w:cs="Times New Roman"/>
          <w:spacing w:val="-6"/>
          <w:sz w:val="32"/>
          <w:szCs w:val="32"/>
          <w:highlight w:val="none"/>
          <w:lang w:val="en-US" w:eastAsia="zh-CN"/>
        </w:rPr>
        <w:t>精心落实教育、社保、就业等民生保障政策，精准解决人民群众急难愁盼问题。</w:t>
      </w:r>
      <w:r>
        <w:rPr>
          <w:rFonts w:hint="eastAsia" w:eastAsia="方正仿宋_GBK"/>
          <w:b/>
          <w:bCs/>
          <w:kern w:val="0"/>
          <w:sz w:val="32"/>
          <w:szCs w:val="32"/>
          <w:highlight w:val="none"/>
          <w:lang w:val="en-US" w:eastAsia="zh-CN"/>
        </w:rPr>
        <w:t>一是</w:t>
      </w:r>
      <w:r>
        <w:rPr>
          <w:rFonts w:hint="eastAsia" w:ascii="Times New Roman" w:hAnsi="Times New Roman" w:eastAsia="方正仿宋_GBK" w:cs="Times New Roman"/>
          <w:b/>
          <w:bCs/>
          <w:kern w:val="0"/>
          <w:sz w:val="32"/>
          <w:szCs w:val="32"/>
          <w:highlight w:val="none"/>
          <w:lang w:val="en-US" w:eastAsia="zh-CN"/>
        </w:rPr>
        <w:t>支持教育优质均衡发展。</w:t>
      </w:r>
      <w:r>
        <w:rPr>
          <w:rFonts w:hint="eastAsia" w:eastAsia="方正仿宋_GBK" w:cs="Times New Roman"/>
          <w:spacing w:val="-6"/>
          <w:sz w:val="32"/>
          <w:szCs w:val="32"/>
          <w:highlight w:val="none"/>
          <w:lang w:val="en-US" w:eastAsia="zh-CN"/>
        </w:rPr>
        <w:t>足额落实各学段生均公用经费</w:t>
      </w:r>
      <w:r>
        <w:rPr>
          <w:rFonts w:hint="default" w:eastAsia="方正仿宋_GBK" w:cs="Times New Roman"/>
          <w:spacing w:val="-6"/>
          <w:sz w:val="32"/>
          <w:szCs w:val="32"/>
          <w:highlight w:val="none"/>
          <w:lang w:val="en-US" w:eastAsia="zh-CN"/>
        </w:rPr>
        <w:t>1</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1</w:t>
      </w:r>
      <w:r>
        <w:rPr>
          <w:rFonts w:hint="eastAsia" w:eastAsia="方正仿宋_GBK" w:cs="Times New Roman"/>
          <w:spacing w:val="-6"/>
          <w:sz w:val="32"/>
          <w:szCs w:val="32"/>
          <w:highlight w:val="none"/>
          <w:lang w:val="en-US" w:eastAsia="zh-CN"/>
        </w:rPr>
        <w:t>亿元，拨付专项资金1.45亿元，用于职教中心综合楼及学生餐厅建设、高中办学条件改善、校舍安全建设和义务教育薄弱学校改造、小学生营养餐改善、落实国家资助等政策。</w:t>
      </w:r>
      <w:r>
        <w:rPr>
          <w:rFonts w:hint="eastAsia" w:eastAsia="方正仿宋_GBK" w:cs="Times New Roman"/>
          <w:b/>
          <w:bCs/>
          <w:kern w:val="0"/>
          <w:sz w:val="32"/>
          <w:szCs w:val="32"/>
          <w:highlight w:val="none"/>
          <w:lang w:val="en-US" w:eastAsia="zh-CN"/>
        </w:rPr>
        <w:t>二是</w:t>
      </w:r>
      <w:r>
        <w:rPr>
          <w:rFonts w:hint="eastAsia" w:ascii="Times New Roman" w:hAnsi="Times New Roman" w:eastAsia="方正仿宋_GBK" w:cs="Times New Roman"/>
          <w:b/>
          <w:bCs/>
          <w:kern w:val="0"/>
          <w:sz w:val="32"/>
          <w:szCs w:val="32"/>
          <w:highlight w:val="none"/>
          <w:lang w:val="en-US" w:eastAsia="zh-CN"/>
        </w:rPr>
        <w:t>坚持农业农村优先发展</w:t>
      </w:r>
      <w:r>
        <w:rPr>
          <w:rFonts w:hint="eastAsia" w:eastAsia="方正仿宋_GBK" w:cs="Times New Roman"/>
          <w:b/>
          <w:bCs/>
          <w:kern w:val="0"/>
          <w:sz w:val="32"/>
          <w:szCs w:val="32"/>
          <w:highlight w:val="none"/>
          <w:lang w:val="en-US" w:eastAsia="zh-CN"/>
        </w:rPr>
        <w:t>。</w:t>
      </w:r>
      <w:r>
        <w:rPr>
          <w:rFonts w:hint="eastAsia" w:eastAsia="方正仿宋_GBK" w:cs="Times New Roman"/>
          <w:spacing w:val="-6"/>
          <w:sz w:val="32"/>
          <w:szCs w:val="32"/>
          <w:highlight w:val="none"/>
          <w:lang w:val="en-US" w:eastAsia="zh-CN"/>
        </w:rPr>
        <w:t>拨付专项资金3.6亿元，用于巩固拓展脱贫攻坚成果同乡村振兴有效衔接、耕地地力保护和农业保险保费补贴、高标准农田建设、农村生活水源江水置换、农村公益事业建设、村级组织运转等，加强和改善乡村治理，扎实推进乡村全面振兴。本级财政“三农”投入较上年增长4</w:t>
      </w:r>
      <w:r>
        <w:rPr>
          <w:rFonts w:hint="default" w:eastAsia="方正仿宋_GBK" w:cs="Times New Roman"/>
          <w:spacing w:val="-6"/>
          <w:sz w:val="32"/>
          <w:szCs w:val="32"/>
          <w:highlight w:val="none"/>
          <w:lang w:val="en-US" w:eastAsia="zh-CN"/>
        </w:rPr>
        <w:t>%</w:t>
      </w:r>
      <w:r>
        <w:rPr>
          <w:rFonts w:hint="eastAsia" w:eastAsia="方正仿宋_GBK" w:cs="Times New Roman"/>
          <w:spacing w:val="-6"/>
          <w:sz w:val="32"/>
          <w:szCs w:val="32"/>
          <w:highlight w:val="none"/>
          <w:lang w:val="en-US" w:eastAsia="zh-CN"/>
        </w:rPr>
        <w:t>，土地出让收益用于农业农村比例</w:t>
      </w:r>
      <w:r>
        <w:rPr>
          <w:rFonts w:hint="default" w:eastAsia="方正仿宋_GBK" w:cs="Times New Roman"/>
          <w:spacing w:val="-6"/>
          <w:sz w:val="32"/>
          <w:szCs w:val="32"/>
          <w:highlight w:val="none"/>
          <w:lang w:val="en-US" w:eastAsia="zh-CN"/>
        </w:rPr>
        <w:t>76.56%</w:t>
      </w:r>
      <w:r>
        <w:rPr>
          <w:rFonts w:hint="eastAsia" w:eastAsia="方正仿宋_GBK" w:cs="Times New Roman"/>
          <w:spacing w:val="-6"/>
          <w:sz w:val="32"/>
          <w:szCs w:val="32"/>
          <w:highlight w:val="none"/>
          <w:lang w:val="en-US" w:eastAsia="zh-CN"/>
        </w:rPr>
        <w:t>，达到市定考核目标。</w:t>
      </w:r>
      <w:r>
        <w:rPr>
          <w:rFonts w:hint="eastAsia" w:ascii="Times New Roman" w:hAnsi="Times New Roman" w:eastAsia="方正仿宋_GBK" w:cs="Times New Roman"/>
          <w:b/>
          <w:bCs/>
          <w:kern w:val="0"/>
          <w:sz w:val="32"/>
          <w:szCs w:val="32"/>
          <w:highlight w:val="none"/>
          <w:lang w:val="en-US" w:eastAsia="zh-CN" w:bidi="ar-SA"/>
        </w:rPr>
        <w:t>三是</w:t>
      </w:r>
      <w:r>
        <w:rPr>
          <w:rFonts w:hint="eastAsia" w:eastAsia="方正仿宋_GBK" w:cs="Times New Roman"/>
          <w:b/>
          <w:bCs/>
          <w:kern w:val="0"/>
          <w:sz w:val="32"/>
          <w:szCs w:val="32"/>
          <w:highlight w:val="none"/>
          <w:lang w:val="en-US" w:eastAsia="zh-CN" w:bidi="ar-SA"/>
        </w:rPr>
        <w:t>兜准兜牢民生底线。</w:t>
      </w:r>
      <w:r>
        <w:rPr>
          <w:rFonts w:hint="eastAsia" w:eastAsia="方正仿宋_GBK" w:cs="Times New Roman"/>
          <w:spacing w:val="-6"/>
          <w:sz w:val="32"/>
          <w:szCs w:val="32"/>
          <w:highlight w:val="none"/>
          <w:lang w:val="en-US" w:eastAsia="zh-CN"/>
        </w:rPr>
        <w:t>拨付专项资金3亿元，用于城乡居民基本医疗保险、医疗救助补助、基本公共卫生服务、落实国家基本药物制度等，着力减轻人民群众看病就医负担。其中：城乡居民基本医疗保险人均财政补助提高30元，达到每人每年640元，惠及群众49.9万人，基本公共卫生服务经费人均财政补助标准提高5元，达到每人每年89元，惠及60.52万人。拨付专项资金2.87亿元，用于城乡居民基本养老保险补助，惠及群众20.1万人。拨付困难群众补助资金4494.23万元，用于低保对象、特困人员、孤儿、残疾人、临时救助等基本生活保障。拨付就业补助资金1328.24万元，落实就业优先政策，提高就业服务能力。</w:t>
      </w:r>
      <w:r>
        <w:rPr>
          <w:rFonts w:hint="eastAsia" w:eastAsia="方正仿宋_GBK" w:cs="Times New Roman"/>
          <w:b/>
          <w:bCs/>
          <w:spacing w:val="-6"/>
          <w:sz w:val="32"/>
          <w:szCs w:val="32"/>
          <w:highlight w:val="none"/>
          <w:lang w:val="en-US" w:eastAsia="zh-CN"/>
        </w:rPr>
        <w:t>四</w:t>
      </w:r>
      <w:r>
        <w:rPr>
          <w:rFonts w:hint="eastAsia" w:eastAsia="方正仿宋_GBK" w:cs="Times New Roman"/>
          <w:b/>
          <w:bCs/>
          <w:kern w:val="0"/>
          <w:sz w:val="32"/>
          <w:szCs w:val="32"/>
          <w:highlight w:val="none"/>
          <w:u w:val="none"/>
          <w:lang w:val="en-US" w:eastAsia="zh-CN"/>
        </w:rPr>
        <w:t>是</w:t>
      </w:r>
      <w:r>
        <w:rPr>
          <w:rFonts w:hint="eastAsia" w:ascii="Times New Roman" w:hAnsi="Times New Roman" w:eastAsia="方正仿宋_GBK" w:cs="Times New Roman"/>
          <w:b/>
          <w:bCs/>
          <w:kern w:val="0"/>
          <w:sz w:val="32"/>
          <w:szCs w:val="32"/>
          <w:highlight w:val="none"/>
          <w:u w:val="none"/>
          <w:lang w:val="en-US" w:eastAsia="zh-CN"/>
        </w:rPr>
        <w:t>支持</w:t>
      </w:r>
      <w:r>
        <w:rPr>
          <w:rFonts w:hint="eastAsia" w:eastAsia="方正仿宋_GBK" w:cs="Times New Roman"/>
          <w:b/>
          <w:bCs/>
          <w:color w:val="auto"/>
          <w:sz w:val="32"/>
          <w:szCs w:val="32"/>
          <w:highlight w:val="none"/>
          <w:lang w:val="en-US" w:eastAsia="zh-CN"/>
        </w:rPr>
        <w:t>改善</w:t>
      </w:r>
      <w:r>
        <w:rPr>
          <w:rFonts w:hint="eastAsia" w:ascii="Times New Roman" w:hAnsi="Times New Roman" w:eastAsia="方正仿宋_GBK" w:cs="Times New Roman"/>
          <w:b/>
          <w:bCs/>
          <w:kern w:val="0"/>
          <w:sz w:val="32"/>
          <w:szCs w:val="32"/>
          <w:highlight w:val="none"/>
          <w:u w:val="none"/>
          <w:lang w:val="en-US" w:eastAsia="zh-CN"/>
        </w:rPr>
        <w:t>城乡基础设施</w:t>
      </w:r>
      <w:r>
        <w:rPr>
          <w:rFonts w:hint="eastAsia" w:eastAsia="方正仿宋_GBK" w:cs="Times New Roman"/>
          <w:b/>
          <w:bCs/>
          <w:kern w:val="0"/>
          <w:sz w:val="32"/>
          <w:szCs w:val="32"/>
          <w:highlight w:val="none"/>
          <w:u w:val="none"/>
          <w:lang w:val="en-US" w:eastAsia="zh-CN"/>
        </w:rPr>
        <w:t>和</w:t>
      </w:r>
      <w:r>
        <w:rPr>
          <w:rFonts w:hint="eastAsia" w:ascii="Times New Roman" w:hAnsi="Times New Roman" w:eastAsia="方正仿宋_GBK" w:cs="Times New Roman"/>
          <w:b/>
          <w:bCs/>
          <w:color w:val="auto"/>
          <w:sz w:val="32"/>
          <w:szCs w:val="32"/>
          <w:highlight w:val="none"/>
          <w:lang w:val="en-US" w:eastAsia="zh-CN"/>
        </w:rPr>
        <w:t>人居环境</w:t>
      </w:r>
      <w:r>
        <w:rPr>
          <w:rFonts w:hint="eastAsia" w:eastAsia="方正仿宋_GBK" w:cs="Times New Roman"/>
          <w:b/>
          <w:bCs/>
          <w:kern w:val="0"/>
          <w:sz w:val="32"/>
          <w:szCs w:val="32"/>
          <w:highlight w:val="none"/>
          <w:u w:val="none"/>
          <w:lang w:val="en-US" w:eastAsia="zh-CN"/>
        </w:rPr>
        <w:t>。</w:t>
      </w:r>
      <w:r>
        <w:rPr>
          <w:rFonts w:hint="default" w:eastAsia="方正仿宋_GBK" w:cs="Times New Roman"/>
          <w:spacing w:val="-6"/>
          <w:sz w:val="32"/>
          <w:szCs w:val="32"/>
          <w:highlight w:val="none"/>
          <w:lang w:val="en-US" w:eastAsia="zh-CN"/>
        </w:rPr>
        <w:t>拨付资金</w:t>
      </w:r>
      <w:r>
        <w:rPr>
          <w:rFonts w:hint="eastAsia" w:eastAsia="方正仿宋_GBK" w:cs="Times New Roman"/>
          <w:spacing w:val="-6"/>
          <w:sz w:val="32"/>
          <w:szCs w:val="32"/>
          <w:highlight w:val="none"/>
          <w:lang w:val="en-US" w:eastAsia="zh-CN"/>
        </w:rPr>
        <w:t>2.89亿</w:t>
      </w:r>
      <w:r>
        <w:rPr>
          <w:rFonts w:hint="default" w:eastAsia="方正仿宋_GBK" w:cs="Times New Roman"/>
          <w:spacing w:val="-6"/>
          <w:sz w:val="32"/>
          <w:szCs w:val="32"/>
          <w:highlight w:val="none"/>
          <w:lang w:val="en-US" w:eastAsia="zh-CN"/>
        </w:rPr>
        <w:t>元</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用于城乡环卫及垃圾焚烧处理</w:t>
      </w:r>
      <w:r>
        <w:rPr>
          <w:rFonts w:hint="eastAsia" w:eastAsia="方正仿宋_GBK" w:cs="Times New Roman"/>
          <w:spacing w:val="-6"/>
          <w:sz w:val="32"/>
          <w:szCs w:val="32"/>
          <w:highlight w:val="none"/>
          <w:lang w:val="en-US" w:eastAsia="zh-CN"/>
        </w:rPr>
        <w:t>、公厕维护、</w:t>
      </w:r>
      <w:r>
        <w:rPr>
          <w:rFonts w:hint="default" w:eastAsia="方正仿宋_GBK" w:cs="Times New Roman"/>
          <w:spacing w:val="-6"/>
          <w:sz w:val="32"/>
          <w:szCs w:val="32"/>
          <w:highlight w:val="none"/>
          <w:lang w:val="en-US" w:eastAsia="zh-CN"/>
        </w:rPr>
        <w:t>老旧小区</w:t>
      </w:r>
      <w:r>
        <w:rPr>
          <w:rFonts w:hint="eastAsia" w:eastAsia="方正仿宋_GBK" w:cs="Times New Roman"/>
          <w:spacing w:val="-6"/>
          <w:sz w:val="32"/>
          <w:szCs w:val="32"/>
          <w:highlight w:val="none"/>
          <w:lang w:val="en-US" w:eastAsia="zh-CN"/>
        </w:rPr>
        <w:t>和</w:t>
      </w:r>
      <w:r>
        <w:rPr>
          <w:rFonts w:hint="default" w:eastAsia="方正仿宋_GBK" w:cs="Times New Roman"/>
          <w:spacing w:val="-6"/>
          <w:sz w:val="32"/>
          <w:szCs w:val="32"/>
          <w:highlight w:val="none"/>
          <w:lang w:val="en-US" w:eastAsia="zh-CN"/>
        </w:rPr>
        <w:t>棚户区改造、城乡道路提升改造工程、高压线路架空入地、四好农村路</w:t>
      </w:r>
      <w:r>
        <w:rPr>
          <w:rFonts w:hint="eastAsia" w:eastAsia="方正仿宋_GBK" w:cs="Times New Roman"/>
          <w:spacing w:val="-6"/>
          <w:sz w:val="32"/>
          <w:szCs w:val="32"/>
          <w:highlight w:val="none"/>
          <w:lang w:val="en-US" w:eastAsia="zh-CN"/>
        </w:rPr>
        <w:t>等，加快公共服务共建共享。</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jc w:val="both"/>
        <w:textAlignment w:val="auto"/>
        <w:rPr>
          <w:rFonts w:hint="default" w:eastAsia="方正仿宋_GBK" w:cs="Times New Roman"/>
          <w:spacing w:val="-6"/>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4.“绿”字赋能，绘就发展鲜明底色。</w:t>
      </w:r>
      <w:r>
        <w:rPr>
          <w:rFonts w:hint="eastAsia" w:eastAsia="方正仿宋_GBK" w:cs="Times New Roman"/>
          <w:spacing w:val="-6"/>
          <w:sz w:val="32"/>
          <w:szCs w:val="32"/>
          <w:highlight w:val="none"/>
          <w:lang w:val="en-US" w:eastAsia="zh-CN"/>
        </w:rPr>
        <w:t>坚持绿水青山就是金山银山理念，持续推动生态文明建设。拨付资金</w:t>
      </w:r>
      <w:r>
        <w:rPr>
          <w:rFonts w:hint="default" w:eastAsia="方正仿宋_GBK" w:cs="Times New Roman"/>
          <w:spacing w:val="-6"/>
          <w:sz w:val="32"/>
          <w:szCs w:val="32"/>
          <w:highlight w:val="none"/>
          <w:lang w:val="en-US" w:eastAsia="zh-CN"/>
        </w:rPr>
        <w:t>3865万元</w:t>
      </w:r>
      <w:r>
        <w:rPr>
          <w:rFonts w:hint="eastAsia" w:eastAsia="方正仿宋_GBK" w:cs="Times New Roman"/>
          <w:spacing w:val="-6"/>
          <w:sz w:val="32"/>
          <w:szCs w:val="32"/>
          <w:highlight w:val="none"/>
          <w:lang w:val="en-US" w:eastAsia="zh-CN"/>
        </w:rPr>
        <w:t>用于</w:t>
      </w:r>
      <w:r>
        <w:rPr>
          <w:rFonts w:hint="default" w:eastAsia="方正仿宋_GBK" w:cs="Times New Roman"/>
          <w:spacing w:val="-6"/>
          <w:sz w:val="32"/>
          <w:szCs w:val="32"/>
          <w:highlight w:val="none"/>
          <w:lang w:val="en-US" w:eastAsia="zh-CN"/>
        </w:rPr>
        <w:t>推进白洋淀上游矿山恢复治理</w:t>
      </w:r>
      <w:r>
        <w:rPr>
          <w:rFonts w:hint="eastAsia" w:eastAsia="方正仿宋_GBK" w:cs="Times New Roman"/>
          <w:spacing w:val="-6"/>
          <w:sz w:val="32"/>
          <w:szCs w:val="32"/>
          <w:highlight w:val="none"/>
          <w:lang w:val="en-US" w:eastAsia="zh-CN"/>
        </w:rPr>
        <w:t>，持续</w:t>
      </w:r>
      <w:r>
        <w:rPr>
          <w:rFonts w:hint="default" w:eastAsia="方正仿宋_GBK" w:cs="Times New Roman"/>
          <w:spacing w:val="-6"/>
          <w:sz w:val="32"/>
          <w:szCs w:val="32"/>
          <w:highlight w:val="none"/>
          <w:lang w:val="en-US" w:eastAsia="zh-CN"/>
        </w:rPr>
        <w:t>改善和保护水生态。</w:t>
      </w:r>
      <w:r>
        <w:rPr>
          <w:rFonts w:hint="eastAsia" w:eastAsia="方正仿宋_GBK" w:cs="Times New Roman"/>
          <w:spacing w:val="-6"/>
          <w:sz w:val="32"/>
          <w:szCs w:val="32"/>
          <w:highlight w:val="none"/>
          <w:lang w:val="en-US" w:eastAsia="zh-CN"/>
        </w:rPr>
        <w:t>拨付</w:t>
      </w:r>
      <w:r>
        <w:rPr>
          <w:rFonts w:hint="default" w:eastAsia="方正仿宋_GBK" w:cs="Times New Roman"/>
          <w:spacing w:val="-6"/>
          <w:sz w:val="32"/>
          <w:szCs w:val="32"/>
          <w:highlight w:val="none"/>
          <w:lang w:val="en-US" w:eastAsia="zh-CN"/>
        </w:rPr>
        <w:t>资金</w:t>
      </w:r>
      <w:r>
        <w:rPr>
          <w:rFonts w:hint="eastAsia" w:eastAsia="方正仿宋_GBK" w:cs="Times New Roman"/>
          <w:spacing w:val="-6"/>
          <w:sz w:val="32"/>
          <w:szCs w:val="32"/>
          <w:highlight w:val="none"/>
          <w:lang w:val="en-US" w:eastAsia="zh-CN"/>
        </w:rPr>
        <w:t>2.68亿元，用于</w:t>
      </w:r>
      <w:r>
        <w:rPr>
          <w:rFonts w:hint="default" w:eastAsia="方正仿宋_GBK" w:cs="Times New Roman"/>
          <w:spacing w:val="-6"/>
          <w:sz w:val="32"/>
          <w:szCs w:val="32"/>
          <w:highlight w:val="none"/>
          <w:lang w:val="en-US" w:eastAsia="zh-CN"/>
        </w:rPr>
        <w:t>农村冬季</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双代</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清洁取暖补贴</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洁净型煤补贴</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大气污染防治</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污水处理</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土地绿化流转</w:t>
      </w:r>
      <w:r>
        <w:rPr>
          <w:rFonts w:hint="eastAsia" w:eastAsia="方正仿宋_GBK" w:cs="Times New Roman"/>
          <w:spacing w:val="-6"/>
          <w:sz w:val="32"/>
          <w:szCs w:val="32"/>
          <w:highlight w:val="none"/>
          <w:lang w:val="en-US" w:eastAsia="zh-CN"/>
        </w:rPr>
        <w:t>等，改善</w:t>
      </w:r>
      <w:r>
        <w:rPr>
          <w:rFonts w:hint="default" w:eastAsia="方正仿宋_GBK" w:cs="Times New Roman"/>
          <w:spacing w:val="-6"/>
          <w:sz w:val="32"/>
          <w:szCs w:val="32"/>
          <w:highlight w:val="none"/>
          <w:lang w:val="en-US" w:eastAsia="zh-CN"/>
        </w:rPr>
        <w:t>大气、水、土壤</w:t>
      </w:r>
      <w:r>
        <w:rPr>
          <w:rFonts w:hint="eastAsia" w:eastAsia="方正仿宋_GBK" w:cs="Times New Roman"/>
          <w:spacing w:val="-6"/>
          <w:sz w:val="32"/>
          <w:szCs w:val="32"/>
          <w:highlight w:val="none"/>
          <w:lang w:val="en-US" w:eastAsia="zh-CN"/>
        </w:rPr>
        <w:t>环境</w:t>
      </w:r>
      <w:r>
        <w:rPr>
          <w:rFonts w:hint="default" w:eastAsia="方正仿宋_GBK" w:cs="Times New Roman"/>
          <w:spacing w:val="-6"/>
          <w:sz w:val="32"/>
          <w:szCs w:val="32"/>
          <w:highlight w:val="none"/>
          <w:lang w:val="en-US" w:eastAsia="zh-CN"/>
        </w:rPr>
        <w:t>。</w:t>
      </w:r>
      <w:r>
        <w:rPr>
          <w:rFonts w:hint="eastAsia" w:eastAsia="方正仿宋_GBK" w:cs="Times New Roman"/>
          <w:spacing w:val="-6"/>
          <w:sz w:val="32"/>
          <w:szCs w:val="32"/>
          <w:highlight w:val="none"/>
          <w:lang w:val="en-US" w:eastAsia="zh-CN"/>
        </w:rPr>
        <w:t>争取</w:t>
      </w:r>
      <w:r>
        <w:rPr>
          <w:rFonts w:hint="default" w:eastAsia="方正仿宋_GBK" w:cs="Times New Roman"/>
          <w:spacing w:val="-6"/>
          <w:sz w:val="32"/>
          <w:szCs w:val="32"/>
          <w:highlight w:val="none"/>
          <w:lang w:val="en-US" w:eastAsia="zh-CN"/>
        </w:rPr>
        <w:t>瀑河上游生态廊道建设及生态环境整治工程项目中央专项资金1691万元，已支出1000万元</w:t>
      </w:r>
      <w:r>
        <w:rPr>
          <w:rFonts w:hint="eastAsia" w:eastAsia="方正仿宋_GBK" w:cs="Times New Roman"/>
          <w:spacing w:val="-6"/>
          <w:sz w:val="32"/>
          <w:szCs w:val="32"/>
          <w:highlight w:val="none"/>
          <w:lang w:val="en-US" w:eastAsia="zh-CN"/>
        </w:rPr>
        <w:t>，推进</w:t>
      </w:r>
      <w:r>
        <w:rPr>
          <w:rFonts w:hint="default" w:eastAsia="方正仿宋_GBK" w:cs="Times New Roman"/>
          <w:spacing w:val="-6"/>
          <w:sz w:val="32"/>
          <w:szCs w:val="32"/>
          <w:highlight w:val="none"/>
          <w:lang w:val="en-US" w:eastAsia="zh-CN"/>
        </w:rPr>
        <w:t>山水林田湖草沙</w:t>
      </w:r>
      <w:r>
        <w:rPr>
          <w:rFonts w:hint="eastAsia" w:eastAsia="方正仿宋_GBK" w:cs="Times New Roman"/>
          <w:spacing w:val="-6"/>
          <w:sz w:val="32"/>
          <w:szCs w:val="32"/>
          <w:highlight w:val="none"/>
          <w:lang w:val="en-US" w:eastAsia="zh-CN"/>
        </w:rPr>
        <w:t>一体化保护和系统治理</w:t>
      </w:r>
      <w:r>
        <w:rPr>
          <w:rFonts w:hint="default" w:eastAsia="方正仿宋_GBK" w:cs="Times New Roman"/>
          <w:spacing w:val="-6"/>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jc w:val="both"/>
        <w:textAlignment w:val="auto"/>
        <w:rPr>
          <w:rFonts w:hint="eastAsia" w:eastAsia="方正仿宋_GBK" w:cs="Times New Roman"/>
          <w:spacing w:val="-6"/>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5.“防”字为重，筑牢安全发展根基。</w:t>
      </w:r>
      <w:r>
        <w:rPr>
          <w:rFonts w:hint="default" w:eastAsia="方正仿宋_GBK" w:cs="Times New Roman"/>
          <w:spacing w:val="-6"/>
          <w:sz w:val="32"/>
          <w:szCs w:val="32"/>
          <w:highlight w:val="none"/>
          <w:lang w:val="en-US" w:eastAsia="zh-CN"/>
        </w:rPr>
        <w:t>平衡好促发展和防风险的关系，</w:t>
      </w:r>
      <w:r>
        <w:rPr>
          <w:rFonts w:hint="eastAsia" w:eastAsia="方正仿宋_GBK" w:cs="Times New Roman"/>
          <w:spacing w:val="-6"/>
          <w:sz w:val="32"/>
          <w:szCs w:val="32"/>
          <w:highlight w:val="none"/>
          <w:lang w:val="en-US" w:eastAsia="zh-CN"/>
        </w:rPr>
        <w:t>拨付专项资金1.76亿元，用于政法保障、维稳、消防、安全生产，全力保障人民群众生命财产安全和社会大局稳定。抓紧抓实救灾资金保障，拨付救灾资金3718万元用于应急救援和灾后重建，提升应对风险灾害能力，有序推进灾区生产生活秩序全面恢复。强化政府债务限额管理，坚决遏制隐性债务增量，坚决杜绝违规举债融资，努力维护经济安全。</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9"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b/>
          <w:bCs/>
          <w:spacing w:val="-6"/>
          <w:sz w:val="32"/>
          <w:szCs w:val="32"/>
          <w:highlight w:val="none"/>
          <w:lang w:val="en-US" w:eastAsia="zh-CN"/>
        </w:rPr>
        <w:t>6.</w:t>
      </w:r>
      <w:r>
        <w:rPr>
          <w:rFonts w:hint="eastAsia" w:ascii="Times New Roman" w:hAnsi="Times New Roman" w:eastAsia="方正仿宋_GBK" w:cs="Times New Roman"/>
          <w:b/>
          <w:bCs/>
          <w:kern w:val="0"/>
          <w:sz w:val="32"/>
          <w:szCs w:val="32"/>
          <w:highlight w:val="none"/>
          <w:lang w:val="en-US" w:eastAsia="zh-CN"/>
        </w:rPr>
        <w:t>“改”字增效，提升财政治理</w:t>
      </w:r>
      <w:r>
        <w:rPr>
          <w:rFonts w:hint="eastAsia" w:eastAsia="方正仿宋_GBK" w:cs="Times New Roman"/>
          <w:b/>
          <w:bCs/>
          <w:kern w:val="0"/>
          <w:sz w:val="32"/>
          <w:szCs w:val="32"/>
          <w:highlight w:val="none"/>
          <w:lang w:val="en-US" w:eastAsia="zh-CN"/>
        </w:rPr>
        <w:t>水平</w:t>
      </w:r>
      <w:r>
        <w:rPr>
          <w:rFonts w:hint="eastAsia" w:ascii="Times New Roman" w:hAnsi="Times New Roman" w:eastAsia="方正仿宋_GBK" w:cs="Times New Roman"/>
          <w:b/>
          <w:bCs/>
          <w:kern w:val="0"/>
          <w:sz w:val="32"/>
          <w:szCs w:val="32"/>
          <w:highlight w:val="none"/>
          <w:lang w:val="en-US" w:eastAsia="zh-CN"/>
        </w:rPr>
        <w:t>。</w:t>
      </w:r>
      <w:r>
        <w:rPr>
          <w:rFonts w:hint="eastAsia" w:eastAsia="方正仿宋_GBK" w:cs="Times New Roman"/>
          <w:spacing w:val="-6"/>
          <w:sz w:val="32"/>
          <w:szCs w:val="32"/>
          <w:highlight w:val="none"/>
          <w:lang w:val="en-US" w:eastAsia="zh-CN"/>
        </w:rPr>
        <w:t>建立健全“行政绩效+业务绩效”相结合的一体化绩效考核模式，调整对乡镇和区直部门的财政管理绩效考核，将重大政策落实、预算编制管理、预算执行管理、资产管理、债务管理、预算信息化等指标纳入对乡镇和区直部门的考核，推动财政管理工作升级扩面。打造“预算评审+事前绩效评估”双轮驱动、深度融合的预算绩效管理新模式，规范政府项目资金审批程序，助力政府科学决策。以“保定市财政数字化转型和数字财政建设试点”为契机，打造以财政大数据应用为支撑、现代信息技术为主要手段、模块化定制的财政财务工作场景，提升财政管理与服务、财政分析与决策智能化水平，成为全市数字技术和财政业务深度融合的典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ascii="Times New Roman" w:hAnsi="Times New Roman" w:eastAsia="仿宋_GB2312" w:cs="宋体"/>
          <w:spacing w:val="-4"/>
          <w:kern w:val="0"/>
          <w:sz w:val="32"/>
          <w:szCs w:val="32"/>
          <w:highlight w:val="none"/>
        </w:rPr>
      </w:pPr>
      <w:r>
        <w:rPr>
          <w:rFonts w:hint="eastAsia" w:eastAsia="方正仿宋_GBK" w:cs="Times New Roman"/>
          <w:spacing w:val="-6"/>
          <w:sz w:val="32"/>
          <w:szCs w:val="32"/>
          <w:highlight w:val="none"/>
          <w:lang w:val="en-US" w:eastAsia="zh-CN"/>
        </w:rPr>
        <w:t xml:space="preserve">在肯定成绩的同时，我们也清醒地认识到新形势下财政工作面临新的困难和挑战，主要表现在：财源基础抗冲击能力不足，财政增收难度大；减收增支因素进一步凸显，收支矛盾日益突出；部门绩效理念有待增强，提升预算绩效还有较大空间；争取债券规模大，偿还债务压力进一步加剧。对此，我们将坚持问题导向，进一步统筹谋划，采取有效措施，努力加以解决。    </w:t>
      </w:r>
      <w:r>
        <w:rPr>
          <w:rFonts w:hint="eastAsia" w:ascii="Times New Roman" w:hAnsi="Times New Roman" w:eastAsia="仿宋_GB2312" w:cs="宋体"/>
          <w:spacing w:val="-4"/>
          <w:kern w:val="0"/>
          <w:sz w:val="32"/>
          <w:szCs w:val="32"/>
          <w:highlight w:val="none"/>
        </w:rPr>
        <w:t xml:space="preserve"> </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4" w:firstLineChars="200"/>
        <w:jc w:val="both"/>
        <w:textAlignment w:val="auto"/>
        <w:rPr>
          <w:rFonts w:hint="eastAsia" w:ascii="Times New Roman" w:hAnsi="Times New Roman" w:eastAsia="方正黑体_GBK" w:cs="方正黑体_GBK"/>
          <w:spacing w:val="-4"/>
          <w:sz w:val="32"/>
          <w:szCs w:val="32"/>
          <w:highlight w:val="none"/>
        </w:rPr>
      </w:pPr>
      <w:r>
        <w:rPr>
          <w:rFonts w:hint="eastAsia" w:ascii="Times New Roman" w:hAnsi="Times New Roman" w:eastAsia="方正黑体_GBK" w:cs="方正黑体_GBK"/>
          <w:spacing w:val="-4"/>
          <w:sz w:val="32"/>
          <w:szCs w:val="32"/>
          <w:highlight w:val="none"/>
        </w:rPr>
        <w:t>二、202</w:t>
      </w:r>
      <w:r>
        <w:rPr>
          <w:rFonts w:hint="eastAsia" w:eastAsia="方正黑体_GBK" w:cs="方正黑体_GBK"/>
          <w:spacing w:val="-4"/>
          <w:sz w:val="32"/>
          <w:szCs w:val="32"/>
          <w:highlight w:val="none"/>
          <w:lang w:val="en-US" w:eastAsia="zh-CN"/>
        </w:rPr>
        <w:t>4</w:t>
      </w:r>
      <w:r>
        <w:rPr>
          <w:rFonts w:hint="eastAsia" w:ascii="Times New Roman" w:hAnsi="Times New Roman" w:eastAsia="方正黑体_GBK" w:cs="方正黑体_GBK"/>
          <w:spacing w:val="-4"/>
          <w:sz w:val="32"/>
          <w:szCs w:val="32"/>
          <w:highlight w:val="none"/>
        </w:rPr>
        <w:t>年预算（草案）</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ascii="Times New Roman" w:hAnsi="Times New Roman" w:eastAsia="方正楷体_GBK" w:cs="方正楷体_GBK"/>
          <w:b w:val="0"/>
          <w:bCs/>
          <w:spacing w:val="-6"/>
          <w:sz w:val="32"/>
          <w:szCs w:val="32"/>
          <w:highlight w:val="none"/>
        </w:rPr>
      </w:pPr>
      <w:r>
        <w:rPr>
          <w:rFonts w:hint="eastAsia" w:ascii="Times New Roman" w:hAnsi="Times New Roman" w:eastAsia="方正楷体_GBK" w:cs="方正楷体_GBK"/>
          <w:b w:val="0"/>
          <w:bCs/>
          <w:spacing w:val="-6"/>
          <w:sz w:val="32"/>
          <w:szCs w:val="32"/>
          <w:highlight w:val="none"/>
        </w:rPr>
        <w:t>（一）202</w:t>
      </w:r>
      <w:r>
        <w:rPr>
          <w:rFonts w:hint="eastAsia" w:eastAsia="方正楷体_GBK" w:cs="方正楷体_GBK"/>
          <w:b w:val="0"/>
          <w:bCs/>
          <w:spacing w:val="-6"/>
          <w:sz w:val="32"/>
          <w:szCs w:val="32"/>
          <w:highlight w:val="none"/>
          <w:lang w:val="en-US" w:eastAsia="zh-CN"/>
        </w:rPr>
        <w:t>4</w:t>
      </w:r>
      <w:r>
        <w:rPr>
          <w:rFonts w:hint="eastAsia" w:ascii="Times New Roman" w:hAnsi="Times New Roman" w:eastAsia="方正楷体_GBK" w:cs="方正楷体_GBK"/>
          <w:b w:val="0"/>
          <w:bCs/>
          <w:spacing w:val="-6"/>
          <w:sz w:val="32"/>
          <w:szCs w:val="32"/>
          <w:highlight w:val="none"/>
        </w:rPr>
        <w:t>年预算安排的指导思想</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坚持以习近平新时代中国特色社会主义思想为指导，全面贯彻党的二十大和二十届二中全会精神，落实中央和省委、市委、区委经济工作会议部署，坚持稳中求进、以进促稳、先立后破，完整、准确、全面贯彻新发展理念，积极服务和融入新发展格局，着力推动高质量发展。严格遵守《预算法》，坚持党政机关过“紧日子”，大力优化财政支出结构，兜牢“三保”底线。落实积极财政政策适度加力、提质增效要求，严肃财经纪律，提高财政资金使用绩效，切实增强经济活力、防范化解风险、改善社会预期，巩固和增强经济回升向好态势，为加快建设新时代经济强区、美丽徐水提供持续有力的财政支撑。</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ascii="Times New Roman" w:hAnsi="Times New Roman" w:eastAsia="方正楷体_GBK" w:cs="方正楷体_GBK"/>
          <w:b w:val="0"/>
          <w:bCs/>
          <w:spacing w:val="-6"/>
          <w:sz w:val="32"/>
          <w:szCs w:val="32"/>
          <w:highlight w:val="none"/>
        </w:rPr>
      </w:pPr>
      <w:r>
        <w:rPr>
          <w:rFonts w:hint="eastAsia" w:ascii="Times New Roman" w:hAnsi="Times New Roman" w:eastAsia="方正楷体_GBK" w:cs="方正楷体_GBK"/>
          <w:b w:val="0"/>
          <w:bCs/>
          <w:spacing w:val="-6"/>
          <w:sz w:val="32"/>
          <w:szCs w:val="32"/>
          <w:highlight w:val="none"/>
        </w:rPr>
        <w:t>（二）预算安排的基本原则</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b/>
          <w:bCs/>
          <w:color w:val="auto"/>
          <w:spacing w:val="-4"/>
          <w:sz w:val="32"/>
          <w:szCs w:val="32"/>
          <w:highlight w:val="none"/>
          <w:lang w:val="en-US" w:eastAsia="zh-CN"/>
        </w:rPr>
        <w:t>一</w:t>
      </w:r>
      <w:r>
        <w:rPr>
          <w:rFonts w:hint="eastAsia" w:ascii="Times New Roman" w:hAnsi="Times New Roman" w:eastAsia="方正仿宋_GBK" w:cs="Times New Roman"/>
          <w:b/>
          <w:bCs/>
          <w:color w:val="auto"/>
          <w:spacing w:val="-4"/>
          <w:sz w:val="32"/>
          <w:szCs w:val="32"/>
          <w:highlight w:val="none"/>
        </w:rPr>
        <w:t>是</w:t>
      </w:r>
      <w:r>
        <w:rPr>
          <w:rFonts w:hint="eastAsia" w:ascii="Times New Roman" w:hAnsi="Times New Roman" w:eastAsia="方正仿宋_GBK" w:cs="Times New Roman"/>
          <w:b/>
          <w:bCs/>
          <w:color w:val="000000"/>
          <w:sz w:val="32"/>
          <w:szCs w:val="32"/>
          <w:highlight w:val="none"/>
          <w:lang w:val="en-US" w:eastAsia="zh-CN"/>
        </w:rPr>
        <w:t>依法依规。</w:t>
      </w:r>
      <w:r>
        <w:rPr>
          <w:rFonts w:hint="eastAsia" w:eastAsia="方正仿宋_GBK" w:cs="Times New Roman"/>
          <w:spacing w:val="-6"/>
          <w:sz w:val="32"/>
          <w:szCs w:val="32"/>
          <w:highlight w:val="none"/>
          <w:lang w:val="en-US" w:eastAsia="zh-CN"/>
        </w:rPr>
        <w:t>严格执行《预算法》关于预算管理职权、预算收支范围、预算编制、预算执行、预算调整等方面规定。</w:t>
      </w:r>
      <w:r>
        <w:rPr>
          <w:rFonts w:hint="eastAsia" w:eastAsia="方正仿宋_GBK" w:cs="Times New Roman"/>
          <w:b/>
          <w:bCs/>
          <w:spacing w:val="-4"/>
          <w:sz w:val="32"/>
          <w:szCs w:val="32"/>
          <w:highlight w:val="none"/>
          <w:u w:val="none"/>
          <w:lang w:val="en-US" w:eastAsia="zh-CN"/>
        </w:rPr>
        <w:t>二</w:t>
      </w:r>
      <w:r>
        <w:rPr>
          <w:rFonts w:hint="eastAsia" w:ascii="Times New Roman" w:hAnsi="Times New Roman" w:eastAsia="方正仿宋_GBK" w:cs="Times New Roman"/>
          <w:b/>
          <w:bCs/>
          <w:spacing w:val="-4"/>
          <w:sz w:val="32"/>
          <w:szCs w:val="32"/>
          <w:highlight w:val="none"/>
          <w:u w:val="none"/>
          <w:lang w:val="en-US" w:eastAsia="zh-CN"/>
        </w:rPr>
        <w:t>是</w:t>
      </w:r>
      <w:r>
        <w:rPr>
          <w:rFonts w:hint="eastAsia" w:ascii="Times New Roman" w:hAnsi="Times New Roman" w:eastAsia="方正仿宋_GBK" w:cs="Times New Roman"/>
          <w:b/>
          <w:bCs/>
          <w:spacing w:val="-4"/>
          <w:sz w:val="32"/>
          <w:szCs w:val="32"/>
          <w:highlight w:val="none"/>
          <w:lang w:val="en-US" w:eastAsia="zh-CN"/>
        </w:rPr>
        <w:t>量入为出</w:t>
      </w:r>
      <w:r>
        <w:rPr>
          <w:rFonts w:hint="eastAsia" w:ascii="Times New Roman" w:hAnsi="Times New Roman" w:eastAsia="方正仿宋_GBK" w:cs="Times New Roman"/>
          <w:spacing w:val="-4"/>
          <w:sz w:val="32"/>
          <w:szCs w:val="32"/>
          <w:highlight w:val="none"/>
          <w:lang w:val="en-US" w:eastAsia="zh-CN"/>
        </w:rPr>
        <w:t>。</w:t>
      </w:r>
      <w:r>
        <w:rPr>
          <w:rFonts w:hint="eastAsia" w:eastAsia="方正仿宋_GBK" w:cs="Times New Roman"/>
          <w:spacing w:val="-6"/>
          <w:sz w:val="32"/>
          <w:szCs w:val="32"/>
          <w:highlight w:val="none"/>
          <w:lang w:val="en-US" w:eastAsia="zh-CN"/>
        </w:rPr>
        <w:t>提高财政资源配置效率，收入预算与经济社会发展相适应，支出预算与财政承受能力相适应，做到量力而行、收支平衡。</w:t>
      </w:r>
      <w:r>
        <w:rPr>
          <w:rFonts w:hint="eastAsia" w:ascii="Times New Roman" w:hAnsi="Times New Roman" w:eastAsia="方正仿宋_GBK" w:cs="Times New Roman"/>
          <w:b/>
          <w:bCs/>
          <w:sz w:val="32"/>
          <w:highlight w:val="none"/>
        </w:rPr>
        <w:t>三</w:t>
      </w:r>
      <w:r>
        <w:rPr>
          <w:rFonts w:ascii="Times New Roman" w:hAnsi="Times New Roman" w:eastAsia="方正仿宋_GBK" w:cs="Times New Roman"/>
          <w:b/>
          <w:bCs/>
          <w:sz w:val="32"/>
          <w:highlight w:val="none"/>
        </w:rPr>
        <w:t>是</w:t>
      </w:r>
      <w:r>
        <w:rPr>
          <w:rFonts w:hint="eastAsia" w:ascii="Times New Roman" w:hAnsi="Times New Roman" w:eastAsia="方正仿宋_GBK" w:cs="Times New Roman"/>
          <w:b/>
          <w:bCs/>
          <w:spacing w:val="-4"/>
          <w:sz w:val="32"/>
          <w:szCs w:val="32"/>
          <w:highlight w:val="none"/>
          <w:lang w:val="en-US" w:eastAsia="zh-CN"/>
        </w:rPr>
        <w:t>突出重点</w:t>
      </w:r>
      <w:r>
        <w:rPr>
          <w:rFonts w:hint="eastAsia" w:ascii="Times New Roman" w:hAnsi="Times New Roman" w:eastAsia="方正仿宋_GBK" w:cs="Times New Roman"/>
          <w:b/>
          <w:bCs/>
          <w:sz w:val="32"/>
          <w:highlight w:val="none"/>
          <w:lang w:eastAsia="zh-CN"/>
        </w:rPr>
        <w:t>。</w:t>
      </w:r>
      <w:r>
        <w:rPr>
          <w:rFonts w:hint="eastAsia" w:eastAsia="方正仿宋_GBK" w:cs="Times New Roman"/>
          <w:spacing w:val="-6"/>
          <w:sz w:val="32"/>
          <w:szCs w:val="32"/>
          <w:highlight w:val="none"/>
          <w:lang w:val="en-US" w:eastAsia="zh-CN"/>
        </w:rPr>
        <w:t>优先保障民生支出和发展急需，加大对“三保”、教育科技、乡村振兴、医疗卫生、京雄保一体化等重点领域保障力度，集中财力办大事。</w:t>
      </w:r>
      <w:r>
        <w:rPr>
          <w:rFonts w:hint="eastAsia" w:ascii="Times New Roman" w:hAnsi="Times New Roman" w:eastAsia="方正仿宋_GBK" w:cs="Times New Roman"/>
          <w:b/>
          <w:bCs/>
          <w:spacing w:val="-4"/>
          <w:sz w:val="32"/>
          <w:szCs w:val="32"/>
          <w:highlight w:val="none"/>
        </w:rPr>
        <w:t>四是</w:t>
      </w:r>
      <w:r>
        <w:rPr>
          <w:rFonts w:hint="eastAsia" w:ascii="Times New Roman" w:hAnsi="Times New Roman" w:eastAsia="方正仿宋_GBK" w:cs="Times New Roman"/>
          <w:b/>
          <w:bCs/>
          <w:color w:val="000000"/>
          <w:sz w:val="32"/>
          <w:szCs w:val="32"/>
          <w:highlight w:val="none"/>
          <w:lang w:val="en-US" w:eastAsia="zh-CN"/>
        </w:rPr>
        <w:t>厉行节约。</w:t>
      </w:r>
      <w:r>
        <w:rPr>
          <w:rFonts w:hint="eastAsia" w:eastAsia="方正仿宋_GBK" w:cs="Times New Roman"/>
          <w:spacing w:val="-6"/>
          <w:sz w:val="32"/>
          <w:szCs w:val="32"/>
          <w:highlight w:val="none"/>
          <w:lang w:val="en-US" w:eastAsia="zh-CN"/>
        </w:rPr>
        <w:t>不折不扣贯彻落实党政机关过紧日子要求，有保有压，严控一般性支出，把有限的资金用在刀刃上。</w:t>
      </w:r>
      <w:r>
        <w:rPr>
          <w:rFonts w:hint="eastAsia" w:ascii="Times New Roman" w:hAnsi="Times New Roman" w:eastAsia="方正仿宋_GBK" w:cs="Times New Roman"/>
          <w:b/>
          <w:bCs/>
          <w:color w:val="000000"/>
          <w:sz w:val="32"/>
          <w:szCs w:val="32"/>
          <w:highlight w:val="none"/>
        </w:rPr>
        <w:t>五是</w:t>
      </w:r>
      <w:r>
        <w:rPr>
          <w:rFonts w:hint="eastAsia" w:ascii="Times New Roman" w:hAnsi="Times New Roman" w:eastAsia="方正仿宋_GBK" w:cs="Times New Roman"/>
          <w:b/>
          <w:bCs/>
          <w:sz w:val="32"/>
          <w:highlight w:val="none"/>
          <w:lang w:val="en-US" w:eastAsia="zh-CN"/>
        </w:rPr>
        <w:t>绩效为</w:t>
      </w:r>
      <w:r>
        <w:rPr>
          <w:rFonts w:hint="eastAsia" w:eastAsia="方正仿宋_GBK" w:cs="Times New Roman"/>
          <w:b/>
          <w:bCs/>
          <w:sz w:val="32"/>
          <w:highlight w:val="none"/>
          <w:lang w:val="en-US" w:eastAsia="zh-CN"/>
        </w:rPr>
        <w:t>重。</w:t>
      </w:r>
      <w:r>
        <w:rPr>
          <w:rFonts w:hint="eastAsia" w:eastAsia="方正仿宋_GBK" w:cs="Times New Roman"/>
          <w:spacing w:val="-6"/>
          <w:sz w:val="32"/>
          <w:szCs w:val="32"/>
          <w:highlight w:val="none"/>
          <w:lang w:val="en-US" w:eastAsia="zh-CN"/>
        </w:rPr>
        <w:t>加快构建全方位、全过程、全覆盖预算绩效管理体系，着力提升财政政策和资金的精准性、有效性。</w:t>
      </w:r>
      <w:r>
        <w:rPr>
          <w:rFonts w:hint="eastAsia" w:ascii="Times New Roman" w:hAnsi="Times New Roman" w:eastAsia="方正仿宋_GBK" w:cs="Times New Roman"/>
          <w:b/>
          <w:bCs/>
          <w:color w:val="000000"/>
          <w:sz w:val="32"/>
          <w:szCs w:val="32"/>
          <w:highlight w:val="none"/>
        </w:rPr>
        <w:t>六是</w:t>
      </w:r>
      <w:r>
        <w:rPr>
          <w:rFonts w:hint="eastAsia" w:ascii="Times New Roman" w:hAnsi="Times New Roman" w:eastAsia="方正仿宋_GBK" w:cs="Times New Roman"/>
          <w:b/>
          <w:bCs/>
          <w:color w:val="000000"/>
          <w:sz w:val="32"/>
          <w:szCs w:val="32"/>
          <w:highlight w:val="none"/>
          <w:lang w:val="en-US" w:eastAsia="zh-CN"/>
        </w:rPr>
        <w:t>防控风险</w:t>
      </w:r>
      <w:r>
        <w:rPr>
          <w:rFonts w:hint="eastAsia" w:eastAsia="方正仿宋_GBK" w:cs="Times New Roman"/>
          <w:b/>
          <w:bCs/>
          <w:color w:val="000000"/>
          <w:sz w:val="32"/>
          <w:szCs w:val="32"/>
          <w:highlight w:val="none"/>
          <w:lang w:val="en-US" w:eastAsia="zh-CN"/>
        </w:rPr>
        <w:t>。</w:t>
      </w:r>
      <w:r>
        <w:rPr>
          <w:rFonts w:hint="eastAsia" w:eastAsia="方正仿宋_GBK" w:cs="Times New Roman"/>
          <w:spacing w:val="-6"/>
          <w:sz w:val="32"/>
          <w:szCs w:val="32"/>
          <w:highlight w:val="none"/>
          <w:lang w:val="en-US" w:eastAsia="zh-CN"/>
        </w:rPr>
        <w:t>严格政府债务限额管理和预算管理，政府债务保持合理适度，确保财政平稳运行和收支平衡。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ascii="Times New Roman" w:hAnsi="Times New Roman" w:eastAsia="方正楷体_GBK" w:cs="方正楷体_GBK"/>
          <w:b w:val="0"/>
          <w:bCs/>
          <w:spacing w:val="-6"/>
          <w:sz w:val="32"/>
          <w:szCs w:val="32"/>
          <w:highlight w:val="none"/>
        </w:rPr>
      </w:pPr>
      <w:r>
        <w:rPr>
          <w:rFonts w:hint="eastAsia" w:ascii="Times New Roman" w:hAnsi="Times New Roman" w:eastAsia="方正楷体_GBK" w:cs="方正楷体_GBK"/>
          <w:b w:val="0"/>
          <w:bCs/>
          <w:spacing w:val="-6"/>
          <w:sz w:val="32"/>
          <w:szCs w:val="32"/>
          <w:highlight w:val="none"/>
        </w:rPr>
        <w:t>（三）预算安排</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方正仿宋_GBK" w:cs="Times New Roman"/>
          <w:b/>
          <w:spacing w:val="-4"/>
          <w:sz w:val="32"/>
          <w:szCs w:val="32"/>
          <w:highlight w:val="none"/>
        </w:rPr>
      </w:pPr>
      <w:r>
        <w:rPr>
          <w:rFonts w:ascii="Times New Roman" w:hAnsi="Times New Roman" w:eastAsia="方正仿宋_GBK" w:cs="Times New Roman"/>
          <w:b/>
          <w:bCs/>
          <w:spacing w:val="-4"/>
          <w:kern w:val="0"/>
          <w:sz w:val="32"/>
          <w:szCs w:val="32"/>
          <w:highlight w:val="none"/>
        </w:rPr>
        <w:t>1</w:t>
      </w:r>
      <w:r>
        <w:rPr>
          <w:rFonts w:hint="eastAsia" w:ascii="Times New Roman" w:hAnsi="Times New Roman" w:eastAsia="方正仿宋_GBK" w:cs="Times New Roman"/>
          <w:b/>
          <w:bCs/>
          <w:spacing w:val="-4"/>
          <w:kern w:val="0"/>
          <w:sz w:val="32"/>
          <w:szCs w:val="32"/>
          <w:highlight w:val="none"/>
        </w:rPr>
        <w:t>.一般公共预算安排情况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eastAsia="方正仿宋_GBK" w:cs="Times New Roman"/>
          <w:spacing w:val="-6"/>
          <w:sz w:val="32"/>
          <w:szCs w:val="32"/>
          <w:highlight w:val="none"/>
          <w:lang w:val="en-US" w:eastAsia="zh-CN"/>
        </w:rPr>
      </w:pPr>
      <w:r>
        <w:rPr>
          <w:rFonts w:hint="eastAsia" w:ascii="Times New Roman" w:hAnsi="Times New Roman" w:eastAsia="方正仿宋_GBK" w:cs="Times New Roman"/>
          <w:b/>
          <w:bCs/>
          <w:spacing w:val="-4"/>
          <w:kern w:val="0"/>
          <w:sz w:val="32"/>
          <w:szCs w:val="32"/>
          <w:highlight w:val="none"/>
          <w:u w:val="none"/>
        </w:rPr>
        <w:t>（1</w:t>
      </w:r>
      <w:r>
        <w:rPr>
          <w:rFonts w:ascii="Times New Roman" w:hAnsi="Times New Roman" w:eastAsia="方正仿宋_GBK" w:cs="Times New Roman"/>
          <w:b/>
          <w:bCs/>
          <w:spacing w:val="-4"/>
          <w:kern w:val="0"/>
          <w:sz w:val="32"/>
          <w:szCs w:val="32"/>
          <w:highlight w:val="none"/>
          <w:u w:val="none"/>
        </w:rPr>
        <w:t>）</w:t>
      </w:r>
      <w:r>
        <w:rPr>
          <w:rFonts w:hint="eastAsia" w:ascii="Times New Roman" w:hAnsi="Times New Roman" w:eastAsia="方正仿宋_GBK" w:cs="Times New Roman"/>
          <w:b/>
          <w:bCs/>
          <w:spacing w:val="-4"/>
          <w:kern w:val="0"/>
          <w:sz w:val="32"/>
          <w:szCs w:val="32"/>
          <w:highlight w:val="none"/>
          <w:u w:val="none"/>
        </w:rPr>
        <w:t>收入预算。</w:t>
      </w:r>
      <w:r>
        <w:rPr>
          <w:rFonts w:hint="eastAsia" w:eastAsia="方正仿宋_GBK" w:cs="Times New Roman"/>
          <w:spacing w:val="-6"/>
          <w:sz w:val="32"/>
          <w:szCs w:val="32"/>
          <w:highlight w:val="none"/>
          <w:lang w:val="en-US" w:eastAsia="zh-CN"/>
        </w:rPr>
        <w:t>2024年，一般公共预算收入安排</w:t>
      </w:r>
      <w:r>
        <w:rPr>
          <w:rFonts w:hint="default" w:eastAsia="方正仿宋_GBK" w:cs="Times New Roman"/>
          <w:spacing w:val="-6"/>
          <w:sz w:val="32"/>
          <w:szCs w:val="32"/>
          <w:highlight w:val="none"/>
          <w:lang w:val="en-US" w:eastAsia="zh-CN"/>
        </w:rPr>
        <w:t>21.45</w:t>
      </w:r>
      <w:r>
        <w:rPr>
          <w:rFonts w:hint="eastAsia" w:eastAsia="方正仿宋_GBK" w:cs="Times New Roman"/>
          <w:spacing w:val="-6"/>
          <w:sz w:val="32"/>
          <w:szCs w:val="32"/>
          <w:highlight w:val="none"/>
          <w:lang w:val="en-US" w:eastAsia="zh-CN"/>
        </w:rPr>
        <w:t>亿元，较上年增长</w:t>
      </w:r>
      <w:r>
        <w:rPr>
          <w:rFonts w:hint="default" w:eastAsia="方正仿宋_GBK" w:cs="Times New Roman"/>
          <w:spacing w:val="-6"/>
          <w:sz w:val="32"/>
          <w:szCs w:val="32"/>
          <w:highlight w:val="none"/>
          <w:lang w:val="en-US" w:eastAsia="zh-CN"/>
        </w:rPr>
        <w:t>6.5%</w:t>
      </w:r>
      <w:r>
        <w:rPr>
          <w:rFonts w:hint="eastAsia" w:eastAsia="方正仿宋_GBK" w:cs="Times New Roman"/>
          <w:spacing w:val="-6"/>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eastAsia="方正仿宋_GBK" w:cs="Times New Roman"/>
          <w:spacing w:val="-6"/>
          <w:sz w:val="32"/>
          <w:szCs w:val="32"/>
          <w:highlight w:val="none"/>
          <w:lang w:val="en-US" w:eastAsia="zh-CN"/>
        </w:rPr>
      </w:pPr>
      <w:r>
        <w:rPr>
          <w:rFonts w:hint="eastAsia" w:ascii="Times New Roman" w:hAnsi="Times New Roman" w:eastAsia="方正仿宋_GBK" w:cs="Times New Roman"/>
          <w:b/>
          <w:bCs/>
          <w:spacing w:val="-4"/>
          <w:kern w:val="0"/>
          <w:sz w:val="32"/>
          <w:szCs w:val="32"/>
          <w:highlight w:val="none"/>
          <w:u w:val="none"/>
        </w:rPr>
        <w:t>（2</w:t>
      </w:r>
      <w:r>
        <w:rPr>
          <w:rFonts w:ascii="Times New Roman" w:hAnsi="Times New Roman" w:eastAsia="方正仿宋_GBK" w:cs="Times New Roman"/>
          <w:b/>
          <w:bCs/>
          <w:spacing w:val="-4"/>
          <w:kern w:val="0"/>
          <w:sz w:val="32"/>
          <w:szCs w:val="32"/>
          <w:highlight w:val="none"/>
          <w:u w:val="none"/>
        </w:rPr>
        <w:t>）支出预算。</w:t>
      </w:r>
      <w:r>
        <w:rPr>
          <w:rFonts w:hint="eastAsia" w:eastAsia="方正仿宋_GBK" w:cs="Times New Roman"/>
          <w:spacing w:val="-6"/>
          <w:sz w:val="32"/>
          <w:szCs w:val="32"/>
          <w:highlight w:val="none"/>
          <w:lang w:val="en-US" w:eastAsia="zh-CN"/>
        </w:rPr>
        <w:t>2024年，一般公共预算支出安排</w:t>
      </w:r>
      <w:r>
        <w:rPr>
          <w:rFonts w:hint="default" w:eastAsia="方正仿宋_GBK" w:cs="Times New Roman"/>
          <w:spacing w:val="-6"/>
          <w:sz w:val="32"/>
          <w:szCs w:val="32"/>
          <w:highlight w:val="none"/>
          <w:lang w:val="en-US" w:eastAsia="zh-CN"/>
        </w:rPr>
        <w:t>40.29</w:t>
      </w:r>
      <w:r>
        <w:rPr>
          <w:rFonts w:hint="eastAsia" w:eastAsia="方正仿宋_GBK" w:cs="Times New Roman"/>
          <w:spacing w:val="-6"/>
          <w:sz w:val="32"/>
          <w:szCs w:val="32"/>
          <w:highlight w:val="none"/>
          <w:lang w:val="en-US" w:eastAsia="zh-CN"/>
        </w:rPr>
        <w:t>亿元，主要支出项目安排情况是：一般公共服务支出</w:t>
      </w:r>
      <w:r>
        <w:rPr>
          <w:rFonts w:hint="default" w:eastAsia="方正仿宋_GBK" w:cs="Times New Roman"/>
          <w:spacing w:val="-6"/>
          <w:sz w:val="32"/>
          <w:szCs w:val="32"/>
          <w:highlight w:val="none"/>
          <w:lang w:val="en-US" w:eastAsia="zh-CN"/>
        </w:rPr>
        <w:t>5.23</w:t>
      </w:r>
      <w:r>
        <w:rPr>
          <w:rFonts w:hint="eastAsia" w:eastAsia="方正仿宋_GBK" w:cs="Times New Roman"/>
          <w:spacing w:val="-6"/>
          <w:sz w:val="32"/>
          <w:szCs w:val="32"/>
          <w:highlight w:val="none"/>
          <w:lang w:val="en-US" w:eastAsia="zh-CN"/>
        </w:rPr>
        <w:t>亿元，公共安全支出</w:t>
      </w:r>
      <w:r>
        <w:rPr>
          <w:rFonts w:hint="default" w:eastAsia="方正仿宋_GBK" w:cs="Times New Roman"/>
          <w:spacing w:val="-6"/>
          <w:sz w:val="32"/>
          <w:szCs w:val="32"/>
          <w:highlight w:val="none"/>
          <w:lang w:val="en-US" w:eastAsia="zh-CN"/>
        </w:rPr>
        <w:t>1.35</w:t>
      </w:r>
      <w:r>
        <w:rPr>
          <w:rFonts w:hint="eastAsia" w:eastAsia="方正仿宋_GBK" w:cs="Times New Roman"/>
          <w:spacing w:val="-6"/>
          <w:sz w:val="32"/>
          <w:szCs w:val="32"/>
          <w:highlight w:val="none"/>
          <w:lang w:val="en-US" w:eastAsia="zh-CN"/>
        </w:rPr>
        <w:t>亿元，教育支出</w:t>
      </w:r>
      <w:r>
        <w:rPr>
          <w:rFonts w:hint="default" w:eastAsia="方正仿宋_GBK" w:cs="Times New Roman"/>
          <w:spacing w:val="-6"/>
          <w:sz w:val="32"/>
          <w:szCs w:val="32"/>
          <w:highlight w:val="none"/>
          <w:lang w:val="en-US" w:eastAsia="zh-CN"/>
        </w:rPr>
        <w:t>12.58</w:t>
      </w:r>
      <w:r>
        <w:rPr>
          <w:rFonts w:hint="eastAsia" w:eastAsia="方正仿宋_GBK" w:cs="Times New Roman"/>
          <w:spacing w:val="-6"/>
          <w:sz w:val="32"/>
          <w:szCs w:val="32"/>
          <w:highlight w:val="none"/>
          <w:lang w:val="en-US" w:eastAsia="zh-CN"/>
        </w:rPr>
        <w:t>亿元，科学技术支出</w:t>
      </w:r>
      <w:r>
        <w:rPr>
          <w:rFonts w:hint="default" w:eastAsia="方正仿宋_GBK" w:cs="Times New Roman"/>
          <w:spacing w:val="-6"/>
          <w:sz w:val="32"/>
          <w:szCs w:val="32"/>
          <w:highlight w:val="none"/>
          <w:lang w:val="en-US" w:eastAsia="zh-CN"/>
        </w:rPr>
        <w:t>2652</w:t>
      </w:r>
      <w:r>
        <w:rPr>
          <w:rFonts w:hint="eastAsia" w:eastAsia="方正仿宋_GBK" w:cs="Times New Roman"/>
          <w:spacing w:val="-6"/>
          <w:sz w:val="32"/>
          <w:szCs w:val="32"/>
          <w:highlight w:val="none"/>
          <w:lang w:val="en-US" w:eastAsia="zh-CN"/>
        </w:rPr>
        <w:t>万元，文化旅游体育与传媒支出</w:t>
      </w:r>
      <w:r>
        <w:rPr>
          <w:rFonts w:hint="default" w:eastAsia="方正仿宋_GBK" w:cs="Times New Roman"/>
          <w:spacing w:val="-6"/>
          <w:sz w:val="32"/>
          <w:szCs w:val="32"/>
          <w:highlight w:val="none"/>
          <w:lang w:val="en-US" w:eastAsia="zh-CN"/>
        </w:rPr>
        <w:t>2786</w:t>
      </w:r>
      <w:r>
        <w:rPr>
          <w:rFonts w:hint="eastAsia" w:eastAsia="方正仿宋_GBK" w:cs="Times New Roman"/>
          <w:spacing w:val="-6"/>
          <w:sz w:val="32"/>
          <w:szCs w:val="32"/>
          <w:highlight w:val="none"/>
          <w:lang w:val="en-US" w:eastAsia="zh-CN"/>
        </w:rPr>
        <w:t>万元，社会保障和就业支出</w:t>
      </w:r>
      <w:r>
        <w:rPr>
          <w:rFonts w:hint="default" w:eastAsia="方正仿宋_GBK" w:cs="Times New Roman"/>
          <w:spacing w:val="-6"/>
          <w:sz w:val="32"/>
          <w:szCs w:val="32"/>
          <w:highlight w:val="none"/>
          <w:lang w:val="en-US" w:eastAsia="zh-CN"/>
        </w:rPr>
        <w:t>9.12</w:t>
      </w:r>
      <w:r>
        <w:rPr>
          <w:rFonts w:hint="eastAsia" w:eastAsia="方正仿宋_GBK" w:cs="Times New Roman"/>
          <w:spacing w:val="-6"/>
          <w:sz w:val="32"/>
          <w:szCs w:val="32"/>
          <w:highlight w:val="none"/>
          <w:lang w:val="en-US" w:eastAsia="zh-CN"/>
        </w:rPr>
        <w:t>亿元，卫生健康支出</w:t>
      </w:r>
      <w:r>
        <w:rPr>
          <w:rFonts w:hint="default" w:eastAsia="方正仿宋_GBK" w:cs="Times New Roman"/>
          <w:spacing w:val="-6"/>
          <w:sz w:val="32"/>
          <w:szCs w:val="32"/>
          <w:highlight w:val="none"/>
          <w:lang w:val="en-US" w:eastAsia="zh-CN"/>
        </w:rPr>
        <w:t>3.38</w:t>
      </w:r>
      <w:r>
        <w:rPr>
          <w:rFonts w:hint="eastAsia" w:eastAsia="方正仿宋_GBK" w:cs="Times New Roman"/>
          <w:spacing w:val="-6"/>
          <w:sz w:val="32"/>
          <w:szCs w:val="32"/>
          <w:highlight w:val="none"/>
          <w:lang w:val="en-US" w:eastAsia="zh-CN"/>
        </w:rPr>
        <w:t>亿元，节能环保支出</w:t>
      </w:r>
      <w:r>
        <w:rPr>
          <w:rFonts w:hint="default" w:eastAsia="方正仿宋_GBK" w:cs="Times New Roman"/>
          <w:spacing w:val="-6"/>
          <w:sz w:val="32"/>
          <w:szCs w:val="32"/>
          <w:highlight w:val="none"/>
          <w:lang w:val="en-US" w:eastAsia="zh-CN"/>
        </w:rPr>
        <w:t>1321</w:t>
      </w:r>
      <w:r>
        <w:rPr>
          <w:rFonts w:hint="eastAsia" w:eastAsia="方正仿宋_GBK" w:cs="Times New Roman"/>
          <w:spacing w:val="-6"/>
          <w:sz w:val="32"/>
          <w:szCs w:val="32"/>
          <w:highlight w:val="none"/>
          <w:lang w:val="en-US" w:eastAsia="zh-CN"/>
        </w:rPr>
        <w:t>万元，城乡社区支出</w:t>
      </w:r>
      <w:r>
        <w:rPr>
          <w:rFonts w:hint="default" w:eastAsia="方正仿宋_GBK" w:cs="Times New Roman"/>
          <w:spacing w:val="-6"/>
          <w:sz w:val="32"/>
          <w:szCs w:val="32"/>
          <w:highlight w:val="none"/>
          <w:lang w:val="en-US" w:eastAsia="zh-CN"/>
        </w:rPr>
        <w:t>7425</w:t>
      </w:r>
      <w:r>
        <w:rPr>
          <w:rFonts w:hint="eastAsia" w:eastAsia="方正仿宋_GBK" w:cs="Times New Roman"/>
          <w:spacing w:val="-6"/>
          <w:sz w:val="32"/>
          <w:szCs w:val="32"/>
          <w:highlight w:val="none"/>
          <w:lang w:val="en-US" w:eastAsia="zh-CN"/>
        </w:rPr>
        <w:t>万元，农林水支出</w:t>
      </w:r>
      <w:r>
        <w:rPr>
          <w:rFonts w:hint="default" w:eastAsia="方正仿宋_GBK" w:cs="Times New Roman"/>
          <w:spacing w:val="-6"/>
          <w:sz w:val="32"/>
          <w:szCs w:val="32"/>
          <w:highlight w:val="none"/>
          <w:lang w:val="en-US" w:eastAsia="zh-CN"/>
        </w:rPr>
        <w:t>3.54</w:t>
      </w:r>
      <w:r>
        <w:rPr>
          <w:rFonts w:hint="eastAsia" w:eastAsia="方正仿宋_GBK" w:cs="Times New Roman"/>
          <w:spacing w:val="-6"/>
          <w:sz w:val="32"/>
          <w:szCs w:val="32"/>
          <w:highlight w:val="none"/>
          <w:lang w:val="en-US" w:eastAsia="zh-CN"/>
        </w:rPr>
        <w:t>亿元，交通运输支出</w:t>
      </w:r>
      <w:r>
        <w:rPr>
          <w:rFonts w:hint="default" w:eastAsia="方正仿宋_GBK" w:cs="Times New Roman"/>
          <w:spacing w:val="-6"/>
          <w:sz w:val="32"/>
          <w:szCs w:val="32"/>
          <w:highlight w:val="none"/>
          <w:lang w:val="en-US" w:eastAsia="zh-CN"/>
        </w:rPr>
        <w:t>2414</w:t>
      </w:r>
      <w:r>
        <w:rPr>
          <w:rFonts w:hint="eastAsia" w:eastAsia="方正仿宋_GBK" w:cs="Times New Roman"/>
          <w:spacing w:val="-6"/>
          <w:sz w:val="32"/>
          <w:szCs w:val="32"/>
          <w:highlight w:val="none"/>
          <w:lang w:val="en-US" w:eastAsia="zh-CN"/>
        </w:rPr>
        <w:t>万元，资源勘探工业信息等支出</w:t>
      </w:r>
      <w:r>
        <w:rPr>
          <w:rFonts w:hint="default" w:eastAsia="方正仿宋_GBK" w:cs="Times New Roman"/>
          <w:spacing w:val="-6"/>
          <w:sz w:val="32"/>
          <w:szCs w:val="32"/>
          <w:highlight w:val="none"/>
          <w:lang w:val="en-US" w:eastAsia="zh-CN"/>
        </w:rPr>
        <w:t>479</w:t>
      </w:r>
      <w:r>
        <w:rPr>
          <w:rFonts w:hint="eastAsia" w:eastAsia="方正仿宋_GBK" w:cs="Times New Roman"/>
          <w:spacing w:val="-6"/>
          <w:sz w:val="32"/>
          <w:szCs w:val="32"/>
          <w:highlight w:val="none"/>
          <w:lang w:val="en-US" w:eastAsia="zh-CN"/>
        </w:rPr>
        <w:t>万元，商业服务业等支出</w:t>
      </w:r>
      <w:r>
        <w:rPr>
          <w:rFonts w:hint="default" w:eastAsia="方正仿宋_GBK" w:cs="Times New Roman"/>
          <w:spacing w:val="-6"/>
          <w:sz w:val="32"/>
          <w:szCs w:val="32"/>
          <w:highlight w:val="none"/>
          <w:lang w:val="en-US" w:eastAsia="zh-CN"/>
        </w:rPr>
        <w:t>165</w:t>
      </w:r>
      <w:r>
        <w:rPr>
          <w:rFonts w:hint="eastAsia" w:eastAsia="方正仿宋_GBK" w:cs="Times New Roman"/>
          <w:spacing w:val="-6"/>
          <w:sz w:val="32"/>
          <w:szCs w:val="32"/>
          <w:highlight w:val="none"/>
          <w:lang w:val="en-US" w:eastAsia="zh-CN"/>
        </w:rPr>
        <w:t>万元，金融支出</w:t>
      </w:r>
      <w:r>
        <w:rPr>
          <w:rFonts w:hint="default" w:eastAsia="方正仿宋_GBK" w:cs="Times New Roman"/>
          <w:spacing w:val="-6"/>
          <w:sz w:val="32"/>
          <w:szCs w:val="32"/>
          <w:highlight w:val="none"/>
          <w:lang w:val="en-US" w:eastAsia="zh-CN"/>
        </w:rPr>
        <w:t>101</w:t>
      </w:r>
      <w:r>
        <w:rPr>
          <w:rFonts w:hint="eastAsia" w:eastAsia="方正仿宋_GBK" w:cs="Times New Roman"/>
          <w:spacing w:val="-6"/>
          <w:sz w:val="32"/>
          <w:szCs w:val="32"/>
          <w:highlight w:val="none"/>
          <w:lang w:val="en-US" w:eastAsia="zh-CN"/>
        </w:rPr>
        <w:t>万元，自然资源海洋气象等支出</w:t>
      </w:r>
      <w:r>
        <w:rPr>
          <w:rFonts w:hint="default" w:eastAsia="方正仿宋_GBK" w:cs="Times New Roman"/>
          <w:spacing w:val="-6"/>
          <w:sz w:val="32"/>
          <w:szCs w:val="32"/>
          <w:highlight w:val="none"/>
          <w:lang w:val="en-US" w:eastAsia="zh-CN"/>
        </w:rPr>
        <w:t>3315</w:t>
      </w:r>
      <w:r>
        <w:rPr>
          <w:rFonts w:hint="eastAsia" w:eastAsia="方正仿宋_GBK" w:cs="Times New Roman"/>
          <w:spacing w:val="-6"/>
          <w:sz w:val="32"/>
          <w:szCs w:val="32"/>
          <w:highlight w:val="none"/>
          <w:lang w:val="en-US" w:eastAsia="zh-CN"/>
        </w:rPr>
        <w:t>万元，住房保障支出</w:t>
      </w:r>
      <w:r>
        <w:rPr>
          <w:rFonts w:hint="default" w:eastAsia="方正仿宋_GBK" w:cs="Times New Roman"/>
          <w:spacing w:val="-6"/>
          <w:sz w:val="32"/>
          <w:szCs w:val="32"/>
          <w:highlight w:val="none"/>
          <w:lang w:val="en-US" w:eastAsia="zh-CN"/>
        </w:rPr>
        <w:t>1.28</w:t>
      </w:r>
      <w:r>
        <w:rPr>
          <w:rFonts w:hint="eastAsia" w:eastAsia="方正仿宋_GBK" w:cs="Times New Roman"/>
          <w:spacing w:val="-6"/>
          <w:sz w:val="32"/>
          <w:szCs w:val="32"/>
          <w:highlight w:val="none"/>
          <w:lang w:val="en-US" w:eastAsia="zh-CN"/>
        </w:rPr>
        <w:t>亿元，粮油物资储备支出</w:t>
      </w:r>
      <w:r>
        <w:rPr>
          <w:rFonts w:hint="default" w:eastAsia="方正仿宋_GBK" w:cs="Times New Roman"/>
          <w:spacing w:val="-6"/>
          <w:sz w:val="32"/>
          <w:szCs w:val="32"/>
          <w:highlight w:val="none"/>
          <w:lang w:val="en-US" w:eastAsia="zh-CN"/>
        </w:rPr>
        <w:t>323</w:t>
      </w:r>
      <w:r>
        <w:rPr>
          <w:rFonts w:hint="eastAsia" w:eastAsia="方正仿宋_GBK" w:cs="Times New Roman"/>
          <w:spacing w:val="-6"/>
          <w:sz w:val="32"/>
          <w:szCs w:val="32"/>
          <w:highlight w:val="none"/>
          <w:lang w:val="en-US" w:eastAsia="zh-CN"/>
        </w:rPr>
        <w:t>万元，灾害防治及应急管理支出</w:t>
      </w:r>
      <w:r>
        <w:rPr>
          <w:rFonts w:hint="default" w:eastAsia="方正仿宋_GBK" w:cs="Times New Roman"/>
          <w:spacing w:val="-6"/>
          <w:sz w:val="32"/>
          <w:szCs w:val="32"/>
          <w:highlight w:val="none"/>
          <w:lang w:val="en-US" w:eastAsia="zh-CN"/>
        </w:rPr>
        <w:t>2470</w:t>
      </w:r>
      <w:r>
        <w:rPr>
          <w:rFonts w:hint="eastAsia" w:eastAsia="方正仿宋_GBK" w:cs="Times New Roman"/>
          <w:spacing w:val="-6"/>
          <w:sz w:val="32"/>
          <w:szCs w:val="32"/>
          <w:highlight w:val="none"/>
          <w:lang w:val="en-US" w:eastAsia="zh-CN"/>
        </w:rPr>
        <w:t>万元，预备费</w:t>
      </w:r>
      <w:r>
        <w:rPr>
          <w:rFonts w:hint="default" w:eastAsia="方正仿宋_GBK" w:cs="Times New Roman"/>
          <w:spacing w:val="-6"/>
          <w:sz w:val="32"/>
          <w:szCs w:val="32"/>
          <w:highlight w:val="none"/>
          <w:lang w:val="en-US" w:eastAsia="zh-CN"/>
        </w:rPr>
        <w:t>4500</w:t>
      </w:r>
      <w:r>
        <w:rPr>
          <w:rFonts w:hint="eastAsia" w:eastAsia="方正仿宋_GBK" w:cs="Times New Roman"/>
          <w:spacing w:val="-6"/>
          <w:sz w:val="32"/>
          <w:szCs w:val="32"/>
          <w:highlight w:val="none"/>
          <w:lang w:val="en-US" w:eastAsia="zh-CN"/>
        </w:rPr>
        <w:t>万元，其他支出</w:t>
      </w:r>
      <w:r>
        <w:rPr>
          <w:rFonts w:hint="default" w:eastAsia="方正仿宋_GBK" w:cs="Times New Roman"/>
          <w:spacing w:val="-6"/>
          <w:sz w:val="32"/>
          <w:szCs w:val="32"/>
          <w:highlight w:val="none"/>
          <w:lang w:val="en-US" w:eastAsia="zh-CN"/>
        </w:rPr>
        <w:t>5000</w:t>
      </w:r>
      <w:r>
        <w:rPr>
          <w:rFonts w:hint="eastAsia" w:eastAsia="方正仿宋_GBK" w:cs="Times New Roman"/>
          <w:spacing w:val="-6"/>
          <w:sz w:val="32"/>
          <w:szCs w:val="32"/>
          <w:highlight w:val="none"/>
          <w:lang w:val="en-US" w:eastAsia="zh-CN"/>
        </w:rPr>
        <w:t>万元，债务付息支出</w:t>
      </w:r>
      <w:r>
        <w:rPr>
          <w:rFonts w:hint="default" w:eastAsia="方正仿宋_GBK" w:cs="Times New Roman"/>
          <w:spacing w:val="-6"/>
          <w:sz w:val="32"/>
          <w:szCs w:val="32"/>
          <w:highlight w:val="none"/>
          <w:lang w:val="en-US" w:eastAsia="zh-CN"/>
        </w:rPr>
        <w:t>5145</w:t>
      </w:r>
      <w:r>
        <w:rPr>
          <w:rFonts w:hint="eastAsia" w:eastAsia="方正仿宋_GBK" w:cs="Times New Roman"/>
          <w:spacing w:val="-6"/>
          <w:sz w:val="32"/>
          <w:szCs w:val="32"/>
          <w:highlight w:val="none"/>
          <w:lang w:val="en-US" w:eastAsia="zh-CN"/>
        </w:rPr>
        <w:t>万元，债务发行费用支出</w:t>
      </w:r>
      <w:r>
        <w:rPr>
          <w:rFonts w:hint="default" w:eastAsia="方正仿宋_GBK" w:cs="Times New Roman"/>
          <w:spacing w:val="-6"/>
          <w:sz w:val="32"/>
          <w:szCs w:val="32"/>
          <w:highlight w:val="none"/>
          <w:lang w:val="en-US" w:eastAsia="zh-CN"/>
        </w:rPr>
        <w:t>24</w:t>
      </w:r>
      <w:r>
        <w:rPr>
          <w:rFonts w:hint="eastAsia" w:eastAsia="方正仿宋_GBK" w:cs="Times New Roman"/>
          <w:spacing w:val="-6"/>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eastAsia="方正仿宋_GBK" w:cs="Times New Roman"/>
          <w:spacing w:val="-6"/>
          <w:sz w:val="32"/>
          <w:szCs w:val="32"/>
          <w:highlight w:val="none"/>
          <w:lang w:val="en-US" w:eastAsia="zh-CN"/>
        </w:rPr>
      </w:pPr>
      <w:r>
        <w:rPr>
          <w:rFonts w:hint="eastAsia" w:ascii="Times New Roman" w:hAnsi="Times New Roman" w:eastAsia="方正仿宋_GBK" w:cs="Times New Roman"/>
          <w:b/>
          <w:bCs/>
          <w:spacing w:val="-4"/>
          <w:kern w:val="0"/>
          <w:sz w:val="32"/>
          <w:szCs w:val="32"/>
          <w:highlight w:val="none"/>
          <w:u w:val="none"/>
        </w:rPr>
        <w:t>（3</w:t>
      </w:r>
      <w:r>
        <w:rPr>
          <w:rFonts w:ascii="Times New Roman" w:hAnsi="Times New Roman" w:eastAsia="方正仿宋_GBK" w:cs="Times New Roman"/>
          <w:b/>
          <w:bCs/>
          <w:spacing w:val="-4"/>
          <w:kern w:val="0"/>
          <w:sz w:val="32"/>
          <w:szCs w:val="32"/>
          <w:highlight w:val="none"/>
          <w:u w:val="none"/>
        </w:rPr>
        <w:t>）平衡情况。</w:t>
      </w:r>
      <w:r>
        <w:rPr>
          <w:rFonts w:hint="eastAsia" w:eastAsia="方正仿宋_GBK" w:cs="Times New Roman"/>
          <w:spacing w:val="-6"/>
          <w:sz w:val="32"/>
          <w:szCs w:val="32"/>
          <w:highlight w:val="none"/>
          <w:lang w:val="en-US" w:eastAsia="zh-CN"/>
        </w:rPr>
        <w:t>2024年，一般公共预算收入安排</w:t>
      </w:r>
      <w:r>
        <w:rPr>
          <w:rFonts w:hint="default" w:eastAsia="方正仿宋_GBK" w:cs="Times New Roman"/>
          <w:spacing w:val="-6"/>
          <w:sz w:val="32"/>
          <w:szCs w:val="32"/>
          <w:highlight w:val="none"/>
          <w:lang w:val="en-US" w:eastAsia="zh-CN"/>
        </w:rPr>
        <w:t>21.45</w:t>
      </w:r>
      <w:r>
        <w:rPr>
          <w:rFonts w:hint="eastAsia" w:eastAsia="方正仿宋_GBK" w:cs="Times New Roman"/>
          <w:spacing w:val="-6"/>
          <w:sz w:val="32"/>
          <w:szCs w:val="32"/>
          <w:highlight w:val="none"/>
          <w:lang w:val="en-US" w:eastAsia="zh-CN"/>
        </w:rPr>
        <w:t>亿元，上级补助收入</w:t>
      </w:r>
      <w:r>
        <w:rPr>
          <w:rFonts w:hint="default" w:eastAsia="方正仿宋_GBK" w:cs="Times New Roman"/>
          <w:spacing w:val="-6"/>
          <w:sz w:val="32"/>
          <w:szCs w:val="32"/>
          <w:highlight w:val="none"/>
          <w:lang w:val="en-US" w:eastAsia="zh-CN"/>
        </w:rPr>
        <w:t>13.65</w:t>
      </w:r>
      <w:r>
        <w:rPr>
          <w:rFonts w:hint="eastAsia" w:eastAsia="方正仿宋_GBK" w:cs="Times New Roman"/>
          <w:spacing w:val="-6"/>
          <w:sz w:val="32"/>
          <w:szCs w:val="32"/>
          <w:highlight w:val="none"/>
          <w:lang w:val="en-US" w:eastAsia="zh-CN"/>
        </w:rPr>
        <w:t>亿元，调入预算稳定调节基金</w:t>
      </w:r>
      <w:r>
        <w:rPr>
          <w:rFonts w:hint="default" w:eastAsia="方正仿宋_GBK" w:cs="Times New Roman"/>
          <w:spacing w:val="-6"/>
          <w:sz w:val="32"/>
          <w:szCs w:val="32"/>
          <w:highlight w:val="none"/>
          <w:lang w:val="en-US" w:eastAsia="zh-CN"/>
        </w:rPr>
        <w:t>0.28</w:t>
      </w:r>
      <w:r>
        <w:rPr>
          <w:rFonts w:hint="eastAsia" w:eastAsia="方正仿宋_GBK" w:cs="Times New Roman"/>
          <w:spacing w:val="-6"/>
          <w:sz w:val="32"/>
          <w:szCs w:val="32"/>
          <w:highlight w:val="none"/>
          <w:lang w:val="en-US" w:eastAsia="zh-CN"/>
        </w:rPr>
        <w:t>亿元，调入资金</w:t>
      </w:r>
      <w:r>
        <w:rPr>
          <w:rFonts w:hint="default" w:eastAsia="方正仿宋_GBK" w:cs="Times New Roman"/>
          <w:spacing w:val="-6"/>
          <w:sz w:val="32"/>
          <w:szCs w:val="32"/>
          <w:highlight w:val="none"/>
          <w:lang w:val="en-US" w:eastAsia="zh-CN"/>
        </w:rPr>
        <w:t>8.76</w:t>
      </w:r>
      <w:r>
        <w:rPr>
          <w:rFonts w:hint="eastAsia" w:eastAsia="方正仿宋_GBK" w:cs="Times New Roman"/>
          <w:spacing w:val="-6"/>
          <w:sz w:val="32"/>
          <w:szCs w:val="32"/>
          <w:highlight w:val="none"/>
          <w:lang w:val="en-US" w:eastAsia="zh-CN"/>
        </w:rPr>
        <w:t>亿元，收入总计为</w:t>
      </w:r>
      <w:r>
        <w:rPr>
          <w:rFonts w:hint="default" w:eastAsia="方正仿宋_GBK" w:cs="Times New Roman"/>
          <w:spacing w:val="-6"/>
          <w:sz w:val="32"/>
          <w:szCs w:val="32"/>
          <w:highlight w:val="none"/>
          <w:lang w:val="en-US" w:eastAsia="zh-CN"/>
        </w:rPr>
        <w:t>44.14</w:t>
      </w:r>
      <w:r>
        <w:rPr>
          <w:rFonts w:hint="eastAsia" w:eastAsia="方正仿宋_GBK" w:cs="Times New Roman"/>
          <w:spacing w:val="-6"/>
          <w:sz w:val="32"/>
          <w:szCs w:val="32"/>
          <w:highlight w:val="none"/>
          <w:lang w:val="en-US" w:eastAsia="zh-CN"/>
        </w:rPr>
        <w:t>亿元；一般公共预算支出安排</w:t>
      </w:r>
      <w:r>
        <w:rPr>
          <w:rFonts w:hint="default" w:eastAsia="方正仿宋_GBK" w:cs="Times New Roman"/>
          <w:spacing w:val="-6"/>
          <w:sz w:val="32"/>
          <w:szCs w:val="32"/>
          <w:highlight w:val="none"/>
          <w:lang w:val="en-US" w:eastAsia="zh-CN"/>
        </w:rPr>
        <w:t>40.29</w:t>
      </w:r>
      <w:r>
        <w:rPr>
          <w:rFonts w:hint="eastAsia" w:eastAsia="方正仿宋_GBK" w:cs="Times New Roman"/>
          <w:spacing w:val="-6"/>
          <w:sz w:val="32"/>
          <w:szCs w:val="32"/>
          <w:highlight w:val="none"/>
          <w:lang w:val="en-US" w:eastAsia="zh-CN"/>
        </w:rPr>
        <w:t>亿元，上解上级支出</w:t>
      </w:r>
      <w:r>
        <w:rPr>
          <w:rFonts w:hint="default" w:eastAsia="方正仿宋_GBK" w:cs="Times New Roman"/>
          <w:spacing w:val="-6"/>
          <w:sz w:val="32"/>
          <w:szCs w:val="32"/>
          <w:highlight w:val="none"/>
          <w:lang w:val="en-US" w:eastAsia="zh-CN"/>
        </w:rPr>
        <w:t>3.1</w:t>
      </w:r>
      <w:r>
        <w:rPr>
          <w:rFonts w:hint="eastAsia" w:eastAsia="方正仿宋_GBK" w:cs="Times New Roman"/>
          <w:spacing w:val="-6"/>
          <w:sz w:val="32"/>
          <w:szCs w:val="32"/>
          <w:highlight w:val="none"/>
          <w:lang w:val="en-US" w:eastAsia="zh-CN"/>
        </w:rPr>
        <w:t>亿元，债务还本支出</w:t>
      </w:r>
      <w:r>
        <w:rPr>
          <w:rFonts w:hint="default" w:eastAsia="方正仿宋_GBK" w:cs="Times New Roman"/>
          <w:spacing w:val="-6"/>
          <w:sz w:val="32"/>
          <w:szCs w:val="32"/>
          <w:highlight w:val="none"/>
          <w:lang w:val="en-US" w:eastAsia="zh-CN"/>
        </w:rPr>
        <w:t>0.75</w:t>
      </w:r>
      <w:r>
        <w:rPr>
          <w:rFonts w:hint="eastAsia" w:eastAsia="方正仿宋_GBK" w:cs="Times New Roman"/>
          <w:spacing w:val="-6"/>
          <w:sz w:val="32"/>
          <w:szCs w:val="32"/>
          <w:highlight w:val="none"/>
          <w:lang w:val="en-US" w:eastAsia="zh-CN"/>
        </w:rPr>
        <w:t>亿元，支出总计为</w:t>
      </w:r>
      <w:r>
        <w:rPr>
          <w:rFonts w:hint="default" w:eastAsia="方正仿宋_GBK" w:cs="Times New Roman"/>
          <w:spacing w:val="-6"/>
          <w:sz w:val="32"/>
          <w:szCs w:val="32"/>
          <w:highlight w:val="none"/>
          <w:lang w:val="en-US" w:eastAsia="zh-CN"/>
        </w:rPr>
        <w:t>44.14</w:t>
      </w:r>
      <w:r>
        <w:rPr>
          <w:rFonts w:hint="eastAsia" w:eastAsia="方正仿宋_GBK" w:cs="Times New Roman"/>
          <w:spacing w:val="-6"/>
          <w:sz w:val="32"/>
          <w:szCs w:val="32"/>
          <w:highlight w:val="none"/>
          <w:lang w:val="en-US" w:eastAsia="zh-CN"/>
        </w:rPr>
        <w:t>亿元。收支相抵后收支平衡。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方正仿宋_GBK" w:cs="Times New Roman"/>
          <w:b/>
          <w:spacing w:val="-4"/>
          <w:sz w:val="32"/>
          <w:szCs w:val="32"/>
          <w:highlight w:val="none"/>
          <w:u w:val="none"/>
        </w:rPr>
      </w:pPr>
      <w:r>
        <w:rPr>
          <w:rFonts w:ascii="Times New Roman" w:hAnsi="Times New Roman" w:eastAsia="方正仿宋_GBK" w:cs="Times New Roman"/>
          <w:b/>
          <w:spacing w:val="-4"/>
          <w:sz w:val="32"/>
          <w:szCs w:val="32"/>
          <w:highlight w:val="none"/>
          <w:u w:val="none"/>
        </w:rPr>
        <w:t>2.政府性基金预算安排情况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default"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2024年，政府性基金收入安排本级收入</w:t>
      </w:r>
      <w:r>
        <w:rPr>
          <w:rFonts w:hint="default" w:eastAsia="方正仿宋_GBK" w:cs="Times New Roman"/>
          <w:spacing w:val="-6"/>
          <w:sz w:val="32"/>
          <w:szCs w:val="32"/>
          <w:highlight w:val="none"/>
          <w:lang w:val="en-US" w:eastAsia="zh-CN"/>
        </w:rPr>
        <w:t>20.44</w:t>
      </w:r>
      <w:r>
        <w:rPr>
          <w:rFonts w:hint="eastAsia" w:eastAsia="方正仿宋_GBK" w:cs="Times New Roman"/>
          <w:spacing w:val="-6"/>
          <w:sz w:val="32"/>
          <w:szCs w:val="32"/>
          <w:highlight w:val="none"/>
          <w:lang w:val="en-US" w:eastAsia="zh-CN"/>
        </w:rPr>
        <w:t>亿元，上级补助收入</w:t>
      </w:r>
      <w:r>
        <w:rPr>
          <w:rFonts w:hint="default" w:eastAsia="方正仿宋_GBK" w:cs="Times New Roman"/>
          <w:spacing w:val="-6"/>
          <w:sz w:val="32"/>
          <w:szCs w:val="32"/>
          <w:highlight w:val="none"/>
          <w:lang w:val="en-US" w:eastAsia="zh-CN"/>
        </w:rPr>
        <w:t>2308</w:t>
      </w:r>
      <w:r>
        <w:rPr>
          <w:rFonts w:hint="eastAsia" w:eastAsia="方正仿宋_GBK" w:cs="Times New Roman"/>
          <w:spacing w:val="-6"/>
          <w:sz w:val="32"/>
          <w:szCs w:val="32"/>
          <w:highlight w:val="none"/>
          <w:lang w:val="en-US" w:eastAsia="zh-CN"/>
        </w:rPr>
        <w:t>万元，专项债券转贷收入</w:t>
      </w:r>
      <w:r>
        <w:rPr>
          <w:rFonts w:hint="default" w:eastAsia="方正仿宋_GBK" w:cs="Times New Roman"/>
          <w:spacing w:val="-6"/>
          <w:sz w:val="32"/>
          <w:szCs w:val="32"/>
          <w:highlight w:val="none"/>
          <w:lang w:val="en-US" w:eastAsia="zh-CN"/>
        </w:rPr>
        <w:t>17.08</w:t>
      </w:r>
      <w:r>
        <w:rPr>
          <w:rFonts w:hint="eastAsia" w:eastAsia="方正仿宋_GBK" w:cs="Times New Roman"/>
          <w:spacing w:val="-6"/>
          <w:sz w:val="32"/>
          <w:szCs w:val="32"/>
          <w:highlight w:val="none"/>
          <w:lang w:val="en-US" w:eastAsia="zh-CN"/>
        </w:rPr>
        <w:t>亿元，收入总计为</w:t>
      </w:r>
      <w:r>
        <w:rPr>
          <w:rFonts w:hint="default" w:eastAsia="方正仿宋_GBK" w:cs="Times New Roman"/>
          <w:spacing w:val="-6"/>
          <w:sz w:val="32"/>
          <w:szCs w:val="32"/>
          <w:highlight w:val="none"/>
          <w:lang w:val="en-US" w:eastAsia="zh-CN"/>
        </w:rPr>
        <w:t>37.75</w:t>
      </w:r>
      <w:r>
        <w:rPr>
          <w:rFonts w:hint="eastAsia" w:eastAsia="方正仿宋_GBK" w:cs="Times New Roman"/>
          <w:spacing w:val="-6"/>
          <w:sz w:val="32"/>
          <w:szCs w:val="32"/>
          <w:highlight w:val="none"/>
          <w:lang w:val="en-US" w:eastAsia="zh-CN"/>
        </w:rPr>
        <w:t>亿元。政府性基金支出安排</w:t>
      </w:r>
      <w:r>
        <w:rPr>
          <w:rFonts w:hint="default" w:eastAsia="方正仿宋_GBK" w:cs="Times New Roman"/>
          <w:spacing w:val="-6"/>
          <w:sz w:val="32"/>
          <w:szCs w:val="32"/>
          <w:highlight w:val="none"/>
          <w:lang w:val="en-US" w:eastAsia="zh-CN"/>
        </w:rPr>
        <w:t>10.01</w:t>
      </w:r>
      <w:r>
        <w:rPr>
          <w:rFonts w:hint="eastAsia" w:eastAsia="方正仿宋_GBK" w:cs="Times New Roman"/>
          <w:spacing w:val="-6"/>
          <w:sz w:val="32"/>
          <w:szCs w:val="32"/>
          <w:highlight w:val="none"/>
          <w:lang w:val="en-US" w:eastAsia="zh-CN"/>
        </w:rPr>
        <w:t>亿元，其中：文化旅游体育与传媒支出</w:t>
      </w:r>
      <w:r>
        <w:rPr>
          <w:rFonts w:hint="default" w:eastAsia="方正仿宋_GBK" w:cs="Times New Roman"/>
          <w:spacing w:val="-6"/>
          <w:sz w:val="32"/>
          <w:szCs w:val="32"/>
          <w:highlight w:val="none"/>
          <w:lang w:val="en-US" w:eastAsia="zh-CN"/>
        </w:rPr>
        <w:t>99</w:t>
      </w:r>
      <w:r>
        <w:rPr>
          <w:rFonts w:hint="eastAsia" w:eastAsia="方正仿宋_GBK" w:cs="Times New Roman"/>
          <w:spacing w:val="-6"/>
          <w:sz w:val="32"/>
          <w:szCs w:val="32"/>
          <w:highlight w:val="none"/>
          <w:lang w:val="en-US" w:eastAsia="zh-CN"/>
        </w:rPr>
        <w:t>万元；社会保障和就业支出</w:t>
      </w:r>
      <w:r>
        <w:rPr>
          <w:rFonts w:hint="default" w:eastAsia="方正仿宋_GBK" w:cs="Times New Roman"/>
          <w:spacing w:val="-6"/>
          <w:sz w:val="32"/>
          <w:szCs w:val="32"/>
          <w:highlight w:val="none"/>
          <w:lang w:val="en-US" w:eastAsia="zh-CN"/>
        </w:rPr>
        <w:t>1345</w:t>
      </w:r>
      <w:r>
        <w:rPr>
          <w:rFonts w:hint="eastAsia" w:eastAsia="方正仿宋_GBK" w:cs="Times New Roman"/>
          <w:spacing w:val="-6"/>
          <w:sz w:val="32"/>
          <w:szCs w:val="32"/>
          <w:highlight w:val="none"/>
          <w:lang w:val="en-US" w:eastAsia="zh-CN"/>
        </w:rPr>
        <w:t>万元，城乡社区支出</w:t>
      </w:r>
      <w:r>
        <w:rPr>
          <w:rFonts w:hint="default" w:eastAsia="方正仿宋_GBK" w:cs="Times New Roman"/>
          <w:spacing w:val="-6"/>
          <w:sz w:val="32"/>
          <w:szCs w:val="32"/>
          <w:highlight w:val="none"/>
          <w:lang w:val="en-US" w:eastAsia="zh-CN"/>
        </w:rPr>
        <w:t>6.6</w:t>
      </w:r>
      <w:r>
        <w:rPr>
          <w:rFonts w:hint="eastAsia" w:eastAsia="方正仿宋_GBK" w:cs="Times New Roman"/>
          <w:spacing w:val="-6"/>
          <w:sz w:val="32"/>
          <w:szCs w:val="32"/>
          <w:highlight w:val="none"/>
          <w:lang w:val="en-US" w:eastAsia="zh-CN"/>
        </w:rPr>
        <w:t>亿元，其他支出</w:t>
      </w:r>
      <w:r>
        <w:rPr>
          <w:rFonts w:hint="default" w:eastAsia="方正仿宋_GBK" w:cs="Times New Roman"/>
          <w:spacing w:val="-6"/>
          <w:sz w:val="32"/>
          <w:szCs w:val="32"/>
          <w:highlight w:val="none"/>
          <w:lang w:val="en-US" w:eastAsia="zh-CN"/>
        </w:rPr>
        <w:t>1014</w:t>
      </w:r>
      <w:r>
        <w:rPr>
          <w:rFonts w:hint="eastAsia" w:eastAsia="方正仿宋_GBK" w:cs="Times New Roman"/>
          <w:spacing w:val="-6"/>
          <w:sz w:val="32"/>
          <w:szCs w:val="32"/>
          <w:highlight w:val="none"/>
          <w:lang w:val="en-US" w:eastAsia="zh-CN"/>
        </w:rPr>
        <w:t>万元；债务付息支出</w:t>
      </w:r>
      <w:r>
        <w:rPr>
          <w:rFonts w:hint="default" w:eastAsia="方正仿宋_GBK" w:cs="Times New Roman"/>
          <w:spacing w:val="-6"/>
          <w:sz w:val="32"/>
          <w:szCs w:val="32"/>
          <w:highlight w:val="none"/>
          <w:lang w:val="en-US" w:eastAsia="zh-CN"/>
        </w:rPr>
        <w:t>3.13</w:t>
      </w:r>
      <w:r>
        <w:rPr>
          <w:rFonts w:hint="eastAsia" w:eastAsia="方正仿宋_GBK" w:cs="Times New Roman"/>
          <w:spacing w:val="-6"/>
          <w:sz w:val="32"/>
          <w:szCs w:val="32"/>
          <w:highlight w:val="none"/>
          <w:lang w:val="en-US" w:eastAsia="zh-CN"/>
        </w:rPr>
        <w:t>亿元，债务发行费用支出</w:t>
      </w:r>
      <w:r>
        <w:rPr>
          <w:rFonts w:hint="default" w:eastAsia="方正仿宋_GBK" w:cs="Times New Roman"/>
          <w:spacing w:val="-6"/>
          <w:sz w:val="32"/>
          <w:szCs w:val="32"/>
          <w:highlight w:val="none"/>
          <w:lang w:val="en-US" w:eastAsia="zh-CN"/>
        </w:rPr>
        <w:t>326</w:t>
      </w:r>
      <w:r>
        <w:rPr>
          <w:rFonts w:hint="eastAsia" w:eastAsia="方正仿宋_GBK" w:cs="Times New Roman"/>
          <w:spacing w:val="-6"/>
          <w:sz w:val="32"/>
          <w:szCs w:val="32"/>
          <w:highlight w:val="none"/>
          <w:lang w:val="en-US" w:eastAsia="zh-CN"/>
        </w:rPr>
        <w:t>万元，还本支出</w:t>
      </w:r>
      <w:r>
        <w:rPr>
          <w:rFonts w:hint="default" w:eastAsia="方正仿宋_GBK" w:cs="Times New Roman"/>
          <w:spacing w:val="-6"/>
          <w:sz w:val="32"/>
          <w:szCs w:val="32"/>
          <w:highlight w:val="none"/>
          <w:lang w:val="en-US" w:eastAsia="zh-CN"/>
        </w:rPr>
        <w:t>18.98</w:t>
      </w:r>
      <w:r>
        <w:rPr>
          <w:rFonts w:hint="eastAsia" w:eastAsia="方正仿宋_GBK" w:cs="Times New Roman"/>
          <w:spacing w:val="-6"/>
          <w:sz w:val="32"/>
          <w:szCs w:val="32"/>
          <w:highlight w:val="none"/>
          <w:lang w:val="en-US" w:eastAsia="zh-CN"/>
        </w:rPr>
        <w:t>亿元，调出资金</w:t>
      </w:r>
      <w:r>
        <w:rPr>
          <w:rFonts w:hint="default" w:eastAsia="方正仿宋_GBK" w:cs="Times New Roman"/>
          <w:spacing w:val="-6"/>
          <w:sz w:val="32"/>
          <w:szCs w:val="32"/>
          <w:highlight w:val="none"/>
          <w:lang w:val="en-US" w:eastAsia="zh-CN"/>
        </w:rPr>
        <w:t>8.76</w:t>
      </w:r>
      <w:r>
        <w:rPr>
          <w:rFonts w:hint="eastAsia" w:eastAsia="方正仿宋_GBK" w:cs="Times New Roman"/>
          <w:spacing w:val="-6"/>
          <w:sz w:val="32"/>
          <w:szCs w:val="32"/>
          <w:highlight w:val="none"/>
          <w:lang w:val="en-US" w:eastAsia="zh-CN"/>
        </w:rPr>
        <w:t>亿元，支出总计</w:t>
      </w:r>
      <w:r>
        <w:rPr>
          <w:rFonts w:hint="default" w:eastAsia="方正仿宋_GBK" w:cs="Times New Roman"/>
          <w:spacing w:val="-6"/>
          <w:sz w:val="32"/>
          <w:szCs w:val="32"/>
          <w:highlight w:val="none"/>
          <w:lang w:val="en-US" w:eastAsia="zh-CN"/>
        </w:rPr>
        <w:t>37.75</w:t>
      </w:r>
      <w:r>
        <w:rPr>
          <w:rFonts w:hint="eastAsia" w:eastAsia="方正仿宋_GBK" w:cs="Times New Roman"/>
          <w:spacing w:val="-6"/>
          <w:sz w:val="32"/>
          <w:szCs w:val="32"/>
          <w:highlight w:val="none"/>
          <w:lang w:val="en-US" w:eastAsia="zh-CN"/>
        </w:rPr>
        <w:t>亿元。收支相抵后收支平衡。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方正仿宋_GBK" w:cs="Times New Roman"/>
          <w:b/>
          <w:spacing w:val="-4"/>
          <w:sz w:val="32"/>
          <w:szCs w:val="32"/>
          <w:highlight w:val="none"/>
          <w:u w:val="none"/>
        </w:rPr>
      </w:pPr>
      <w:r>
        <w:rPr>
          <w:rFonts w:ascii="Times New Roman" w:hAnsi="Times New Roman" w:eastAsia="方正仿宋_GBK" w:cs="Times New Roman"/>
          <w:b/>
          <w:spacing w:val="-4"/>
          <w:sz w:val="32"/>
          <w:szCs w:val="32"/>
          <w:highlight w:val="none"/>
          <w:u w:val="none"/>
        </w:rPr>
        <w:t>3.社会保险基金预算安排情况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主要包括两项：机关事业单位基本养老保险基金、城乡居民基本养老保险基金。社保基金收入安排6.6亿元，支出安排6.17亿元，当年收支结余0.43亿元。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ascii="Times New Roman" w:hAnsi="Times New Roman" w:eastAsia="方正仿宋_GBK" w:cs="Times New Roman"/>
          <w:b/>
          <w:spacing w:val="-4"/>
          <w:sz w:val="32"/>
          <w:szCs w:val="32"/>
          <w:highlight w:val="none"/>
          <w:u w:val="none"/>
        </w:rPr>
      </w:pPr>
      <w:r>
        <w:rPr>
          <w:rFonts w:ascii="Times New Roman" w:hAnsi="Times New Roman" w:eastAsia="方正仿宋_GBK" w:cs="Times New Roman"/>
          <w:b/>
          <w:spacing w:val="-4"/>
          <w:sz w:val="32"/>
          <w:szCs w:val="32"/>
          <w:highlight w:val="none"/>
          <w:u w:val="none"/>
        </w:rPr>
        <w:t>4.</w:t>
      </w:r>
      <w:r>
        <w:rPr>
          <w:rFonts w:hint="eastAsia" w:ascii="Times New Roman" w:hAnsi="Times New Roman" w:eastAsia="方正仿宋_GBK" w:cs="Times New Roman"/>
          <w:b/>
          <w:spacing w:val="-4"/>
          <w:sz w:val="32"/>
          <w:szCs w:val="32"/>
          <w:highlight w:val="none"/>
          <w:u w:val="none"/>
        </w:rPr>
        <w:t>国有</w:t>
      </w:r>
      <w:r>
        <w:rPr>
          <w:rFonts w:ascii="Times New Roman" w:hAnsi="Times New Roman" w:eastAsia="方正仿宋_GBK" w:cs="Times New Roman"/>
          <w:b/>
          <w:spacing w:val="-4"/>
          <w:sz w:val="32"/>
          <w:szCs w:val="32"/>
          <w:highlight w:val="none"/>
          <w:u w:val="none"/>
        </w:rPr>
        <w:t>资本经营预算安排情况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highlight w:val="none"/>
          <w:u w:val="none"/>
          <w:lang w:eastAsia="zh-CN"/>
        </w:rPr>
      </w:pPr>
      <w:r>
        <w:rPr>
          <w:rFonts w:hint="eastAsia" w:ascii="Times New Roman" w:hAnsi="Times New Roman" w:eastAsia="方正仿宋_GBK" w:cs="Times New Roman"/>
          <w:sz w:val="32"/>
          <w:highlight w:val="none"/>
          <w:u w:val="none"/>
          <w:lang w:eastAsia="zh-CN"/>
        </w:rPr>
        <w:t>我区没有应上缴的国有资本经营收益，未编制相应收支预算。</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4" w:firstLineChars="200"/>
        <w:jc w:val="both"/>
        <w:textAlignment w:val="auto"/>
        <w:rPr>
          <w:rFonts w:hint="default" w:ascii="Times New Roman" w:hAnsi="Times New Roman" w:eastAsia="黑体"/>
          <w:b/>
          <w:spacing w:val="-4"/>
          <w:sz w:val="32"/>
          <w:szCs w:val="32"/>
          <w:highlight w:val="none"/>
          <w:lang w:val="en-US" w:eastAsia="zh-CN"/>
        </w:rPr>
      </w:pPr>
      <w:r>
        <w:rPr>
          <w:rFonts w:hint="eastAsia" w:ascii="Times New Roman" w:hAnsi="Times New Roman" w:eastAsia="黑体"/>
          <w:spacing w:val="-4"/>
          <w:sz w:val="32"/>
          <w:szCs w:val="32"/>
          <w:highlight w:val="none"/>
        </w:rPr>
        <w:t>三、20</w:t>
      </w:r>
      <w:r>
        <w:rPr>
          <w:rFonts w:ascii="Times New Roman" w:hAnsi="Times New Roman" w:eastAsia="黑体"/>
          <w:spacing w:val="-4"/>
          <w:sz w:val="32"/>
          <w:szCs w:val="32"/>
          <w:highlight w:val="none"/>
        </w:rPr>
        <w:t>2</w:t>
      </w:r>
      <w:r>
        <w:rPr>
          <w:rFonts w:hint="eastAsia" w:eastAsia="黑体"/>
          <w:spacing w:val="-4"/>
          <w:sz w:val="32"/>
          <w:szCs w:val="32"/>
          <w:highlight w:val="none"/>
          <w:lang w:val="en-US" w:eastAsia="zh-CN"/>
        </w:rPr>
        <w:t>4</w:t>
      </w:r>
      <w:r>
        <w:rPr>
          <w:rFonts w:hint="eastAsia" w:ascii="Times New Roman" w:hAnsi="Times New Roman" w:eastAsia="黑体"/>
          <w:spacing w:val="-4"/>
          <w:sz w:val="32"/>
          <w:szCs w:val="32"/>
          <w:highlight w:val="none"/>
        </w:rPr>
        <w:t>年</w:t>
      </w:r>
      <w:r>
        <w:rPr>
          <w:rFonts w:hint="eastAsia" w:eastAsia="黑体"/>
          <w:spacing w:val="-4"/>
          <w:sz w:val="32"/>
          <w:szCs w:val="32"/>
          <w:highlight w:val="none"/>
          <w:lang w:val="en-US" w:eastAsia="zh-CN"/>
        </w:rPr>
        <w:t>重点工作措施</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2024年是实现“十四五”规划目标任务的关键一年，也是推动经济社会稳中向好、实现质的有效提升和量的合理增长的关键一年，做好</w:t>
      </w:r>
      <w:r>
        <w:rPr>
          <w:rFonts w:hint="default" w:eastAsia="方正仿宋_GBK" w:cs="Times New Roman"/>
          <w:spacing w:val="-6"/>
          <w:sz w:val="32"/>
          <w:szCs w:val="32"/>
          <w:highlight w:val="none"/>
          <w:lang w:val="en-US" w:eastAsia="zh-CN"/>
        </w:rPr>
        <w:t>202</w:t>
      </w:r>
      <w:r>
        <w:rPr>
          <w:rFonts w:hint="eastAsia" w:eastAsia="方正仿宋_GBK" w:cs="Times New Roman"/>
          <w:spacing w:val="-6"/>
          <w:sz w:val="32"/>
          <w:szCs w:val="32"/>
          <w:highlight w:val="none"/>
          <w:lang w:val="en-US" w:eastAsia="zh-CN"/>
        </w:rPr>
        <w:t>4年各项财政工作，对加快建设新时代经济强区、美丽徐水，奋力谱写中国式现代化建设徐水篇章意义重大。</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仿宋_GBK" w:cs="Times New Roman"/>
          <w:spacing w:val="-6"/>
          <w:sz w:val="32"/>
          <w:szCs w:val="32"/>
          <w:highlight w:val="none"/>
          <w:lang w:val="en-US" w:eastAsia="zh-CN"/>
        </w:rPr>
      </w:pPr>
      <w:r>
        <w:rPr>
          <w:rFonts w:hint="eastAsia" w:ascii="方正楷体_GBK" w:hAnsi="方正楷体_GBK" w:eastAsia="方正楷体_GBK" w:cs="方正楷体_GBK"/>
          <w:b w:val="0"/>
          <w:bCs w:val="0"/>
          <w:kern w:val="2"/>
          <w:sz w:val="32"/>
          <w:szCs w:val="32"/>
          <w:highlight w:val="none"/>
          <w:lang w:val="en-US" w:eastAsia="zh-CN" w:bidi="ar-SA"/>
        </w:rPr>
        <w:t>（一）聚焦落实积极的财政政策，巩固和增强经济回升向好态势。</w:t>
      </w:r>
      <w:r>
        <w:rPr>
          <w:rFonts w:hint="eastAsia" w:eastAsia="方正仿宋_GBK" w:cs="Times New Roman"/>
          <w:spacing w:val="-6"/>
          <w:sz w:val="32"/>
          <w:szCs w:val="32"/>
          <w:highlight w:val="none"/>
          <w:lang w:val="en-US" w:eastAsia="zh-CN"/>
        </w:rPr>
        <w:t>强化宏观政策逆周期和跨周期调节，继续实施积极的财政政策，适度加力、提质增效。</w:t>
      </w:r>
      <w:r>
        <w:rPr>
          <w:rFonts w:hint="eastAsia" w:ascii="Times New Roman" w:hAnsi="Times New Roman" w:eastAsia="方正仿宋_GBK" w:cs="Times New Roman"/>
          <w:b/>
          <w:bCs/>
          <w:color w:val="000000"/>
          <w:sz w:val="32"/>
          <w:szCs w:val="32"/>
          <w:highlight w:val="none"/>
          <w:lang w:val="en-US" w:eastAsia="zh-CN"/>
        </w:rPr>
        <w:t>落实</w:t>
      </w:r>
      <w:r>
        <w:rPr>
          <w:rFonts w:hint="eastAsia" w:eastAsia="方正仿宋_GBK" w:cs="Times New Roman"/>
          <w:b/>
          <w:bCs/>
          <w:color w:val="000000"/>
          <w:sz w:val="32"/>
          <w:szCs w:val="32"/>
          <w:highlight w:val="none"/>
          <w:lang w:val="en-US" w:eastAsia="zh-CN"/>
        </w:rPr>
        <w:t>结构性</w:t>
      </w:r>
      <w:r>
        <w:rPr>
          <w:rFonts w:hint="eastAsia" w:ascii="Times New Roman" w:hAnsi="Times New Roman" w:eastAsia="方正仿宋_GBK" w:cs="Times New Roman"/>
          <w:b/>
          <w:bCs/>
          <w:color w:val="000000"/>
          <w:sz w:val="32"/>
          <w:szCs w:val="32"/>
          <w:highlight w:val="none"/>
          <w:lang w:val="en-US" w:eastAsia="zh-CN"/>
        </w:rPr>
        <w:t>减税降费政策</w:t>
      </w:r>
      <w:r>
        <w:rPr>
          <w:rFonts w:hint="eastAsia" w:ascii="Times New Roman" w:hAnsi="Times New Roman" w:eastAsia="方正仿宋_GBK" w:cs="Times New Roman"/>
          <w:color w:val="000000"/>
          <w:sz w:val="32"/>
          <w:szCs w:val="32"/>
          <w:highlight w:val="none"/>
          <w:lang w:val="en-US" w:eastAsia="zh-CN"/>
        </w:rPr>
        <w:t>，</w:t>
      </w:r>
      <w:r>
        <w:rPr>
          <w:rFonts w:hint="eastAsia" w:eastAsia="方正仿宋_GBK" w:cs="Times New Roman"/>
          <w:color w:val="000000"/>
          <w:sz w:val="32"/>
          <w:szCs w:val="32"/>
          <w:highlight w:val="none"/>
          <w:lang w:val="en-US" w:eastAsia="zh-CN"/>
        </w:rPr>
        <w:t>重点支持科技创新和制造业发展，</w:t>
      </w:r>
      <w:r>
        <w:rPr>
          <w:rFonts w:hint="eastAsia" w:eastAsia="方正仿宋_GBK" w:cs="Times New Roman"/>
          <w:spacing w:val="-6"/>
          <w:sz w:val="32"/>
          <w:szCs w:val="32"/>
          <w:highlight w:val="none"/>
          <w:lang w:val="en-US" w:eastAsia="zh-CN"/>
        </w:rPr>
        <w:t>加大惠企助企力度，继续释放纾困惠企红利和政策效应空间，增强企业活力，提振市场信心。</w:t>
      </w:r>
      <w:r>
        <w:rPr>
          <w:rFonts w:hint="eastAsia" w:ascii="Times New Roman" w:hAnsi="Times New Roman" w:eastAsia="方正仿宋_GBK" w:cs="Times New Roman"/>
          <w:b/>
          <w:bCs/>
          <w:snapToGrid w:val="0"/>
          <w:kern w:val="0"/>
          <w:sz w:val="32"/>
          <w:szCs w:val="32"/>
          <w:highlight w:val="none"/>
          <w:lang w:val="en-US" w:eastAsia="zh-CN"/>
        </w:rPr>
        <w:t>保持</w:t>
      </w:r>
      <w:r>
        <w:rPr>
          <w:rFonts w:hint="eastAsia" w:eastAsia="方正仿宋_GBK" w:cs="Times New Roman"/>
          <w:b/>
          <w:bCs/>
          <w:snapToGrid w:val="0"/>
          <w:kern w:val="0"/>
          <w:sz w:val="32"/>
          <w:szCs w:val="32"/>
          <w:highlight w:val="none"/>
          <w:lang w:val="en-US" w:eastAsia="zh-CN"/>
        </w:rPr>
        <w:t>适当</w:t>
      </w:r>
      <w:r>
        <w:rPr>
          <w:rFonts w:hint="eastAsia" w:ascii="Times New Roman" w:hAnsi="Times New Roman" w:eastAsia="方正仿宋_GBK" w:cs="Times New Roman"/>
          <w:b/>
          <w:bCs/>
          <w:snapToGrid w:val="0"/>
          <w:kern w:val="0"/>
          <w:sz w:val="32"/>
          <w:szCs w:val="32"/>
          <w:highlight w:val="none"/>
          <w:lang w:val="en-US" w:eastAsia="zh-CN"/>
        </w:rPr>
        <w:t>财政支出强度</w:t>
      </w:r>
      <w:r>
        <w:rPr>
          <w:rFonts w:hint="eastAsia" w:eastAsia="方正仿宋_GBK" w:cs="Times New Roman"/>
          <w:b/>
          <w:bCs/>
          <w:snapToGrid w:val="0"/>
          <w:kern w:val="0"/>
          <w:sz w:val="32"/>
          <w:szCs w:val="32"/>
          <w:highlight w:val="none"/>
          <w:lang w:val="en-US" w:eastAsia="zh-CN"/>
        </w:rPr>
        <w:t>，</w:t>
      </w:r>
      <w:r>
        <w:rPr>
          <w:rFonts w:hint="eastAsia" w:eastAsia="方正仿宋_GBK" w:cs="Times New Roman"/>
          <w:spacing w:val="-6"/>
          <w:sz w:val="32"/>
          <w:szCs w:val="32"/>
          <w:highlight w:val="none"/>
          <w:lang w:val="en-US" w:eastAsia="zh-CN"/>
        </w:rPr>
        <w:t>积极争取上级资金，充分运用国债资金、政府债券、专项转移支付、财政贴息等政策工具，以政府投资和政策激励带动全社会投资。</w:t>
      </w:r>
      <w:r>
        <w:rPr>
          <w:rFonts w:hint="eastAsia" w:ascii="Times New Roman" w:hAnsi="Times New Roman" w:eastAsia="方正仿宋_GBK" w:cs="Times New Roman"/>
          <w:b/>
          <w:bCs/>
          <w:kern w:val="2"/>
          <w:sz w:val="32"/>
          <w:szCs w:val="32"/>
          <w:highlight w:val="none"/>
          <w:lang w:val="en-US" w:eastAsia="zh-CN" w:bidi="ar-SA"/>
        </w:rPr>
        <w:t>合理加快财政支出进度，</w:t>
      </w:r>
      <w:r>
        <w:rPr>
          <w:rFonts w:hint="eastAsia" w:eastAsia="方正仿宋_GBK" w:cs="Times New Roman"/>
          <w:spacing w:val="-6"/>
          <w:sz w:val="32"/>
          <w:szCs w:val="32"/>
          <w:highlight w:val="none"/>
          <w:lang w:val="en-US" w:eastAsia="zh-CN"/>
        </w:rPr>
        <w:t>压实主管部门和项目单位责任，着力推动专项债早发行、早使用、早见效，助力补短板、扩内需，落实常态化财政资金直达机制，资金下达“一竿子插到底”，确保精准直达受益对象。</w:t>
      </w:r>
      <w:r>
        <w:rPr>
          <w:rFonts w:hint="eastAsia" w:ascii="仿宋" w:hAnsi="仿宋" w:eastAsia="仿宋" w:cs="仿宋"/>
          <w:b/>
          <w:bCs/>
          <w:color w:val="000000"/>
          <w:kern w:val="0"/>
          <w:sz w:val="31"/>
          <w:szCs w:val="31"/>
          <w:highlight w:val="none"/>
          <w:lang w:val="en-US" w:eastAsia="zh-CN" w:bidi="ar"/>
        </w:rPr>
        <w:t>持续优化营商环境，</w:t>
      </w:r>
      <w:r>
        <w:rPr>
          <w:rFonts w:hint="eastAsia" w:eastAsia="方正仿宋_GBK" w:cs="Times New Roman"/>
          <w:spacing w:val="-6"/>
          <w:sz w:val="32"/>
          <w:szCs w:val="32"/>
          <w:highlight w:val="none"/>
          <w:lang w:val="en-US" w:eastAsia="zh-CN"/>
        </w:rPr>
        <w:t>支持办好促消费活动，稳定汽车家电等大宗消费，释放消费活力。用好政府采购优惠政策，提高中小企业市场占有份额，为企业减负增效。巩固涉企违规收费整治成果，健全防范乱收费、乱罚款、乱摊派长效机制。</w:t>
      </w:r>
      <w:r>
        <w:rPr>
          <w:rFonts w:hint="eastAsia" w:eastAsia="方正仿宋_GBK" w:cs="Times New Roman"/>
          <w:b/>
          <w:bCs/>
          <w:spacing w:val="-6"/>
          <w:sz w:val="32"/>
          <w:szCs w:val="32"/>
          <w:highlight w:val="none"/>
          <w:lang w:val="en-US" w:eastAsia="zh-CN"/>
        </w:rPr>
        <w:t>重点支持工业制造和区域承载能力建设，</w:t>
      </w:r>
      <w:r>
        <w:rPr>
          <w:rFonts w:hint="eastAsia" w:eastAsia="方正仿宋_GBK" w:cs="Times New Roman"/>
          <w:spacing w:val="-6"/>
          <w:sz w:val="32"/>
          <w:szCs w:val="32"/>
          <w:highlight w:val="none"/>
          <w:lang w:val="en-US" w:eastAsia="zh-CN"/>
        </w:rPr>
        <w:t>集中财力支持精准招商引资、重点项目建设和壮大特色产业，加快形成龙头企业引领、“专精特新”企业支撑、创新型中小企业为基础的产业发展体系。大力支持河北徐水经济开发区基础设施和配套项目以及城区路网建设，积极服务保障雄忻高铁、京雄保城际、S524等基础设施建设，在服务保障中实现同步崛起、共同发展。</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仿宋_GBK" w:cs="Times New Roman"/>
          <w:spacing w:val="-6"/>
          <w:sz w:val="32"/>
          <w:szCs w:val="32"/>
          <w:highlight w:val="none"/>
          <w:lang w:val="en-US" w:eastAsia="zh-CN"/>
        </w:rPr>
      </w:pPr>
      <w:r>
        <w:rPr>
          <w:rFonts w:hint="eastAsia" w:ascii="方正楷体_GBK" w:hAnsi="方正楷体_GBK" w:eastAsia="方正楷体_GBK" w:cs="方正楷体_GBK"/>
          <w:b w:val="0"/>
          <w:bCs w:val="0"/>
          <w:kern w:val="2"/>
          <w:sz w:val="32"/>
          <w:szCs w:val="32"/>
          <w:highlight w:val="none"/>
          <w:lang w:val="en-US" w:eastAsia="zh-CN" w:bidi="ar-SA"/>
        </w:rPr>
        <w:t>（二）聚焦保障和改善民生，支持办好各项事业。</w:t>
      </w:r>
      <w:r>
        <w:rPr>
          <w:rFonts w:hint="eastAsia" w:eastAsia="方正仿宋_GBK" w:cs="Times New Roman"/>
          <w:b w:val="0"/>
          <w:bCs w:val="0"/>
          <w:spacing w:val="-6"/>
          <w:sz w:val="32"/>
          <w:szCs w:val="32"/>
          <w:highlight w:val="none"/>
          <w:lang w:val="en-US" w:eastAsia="zh-CN"/>
        </w:rPr>
        <w:t>严格落实过“紧日子”要求，坚持有所为有所不为，</w:t>
      </w:r>
      <w:r>
        <w:rPr>
          <w:rFonts w:hint="eastAsia" w:eastAsia="方正仿宋_GBK" w:cs="Times New Roman"/>
          <w:spacing w:val="-6"/>
          <w:sz w:val="32"/>
          <w:szCs w:val="32"/>
          <w:highlight w:val="none"/>
          <w:lang w:val="en-US" w:eastAsia="zh-CN"/>
        </w:rPr>
        <w:t>严控一般性支出，挤出钱来兜牢“三保”底线，持续做好教育、社保、就业等基本民生保障，落实落细各类补偿救助政策，加强对困难群众救助帮扶，不断织密扎牢民生兜底安全网。大力支持灾后重建、利用政府债券和增发国债资金，加快实现灾毁设施修复重建，提高城市排水防涝能力和应急管理能力。大力支持城乡基础设施建设，深入实施城市更新行动。大力支持乡村振兴，用好财政衔接推进乡村振兴补助资金，落实各项惠农补贴政策，持续改善农村人居环境。大力支持绿色发展，精准治气、系统治水、综合治土，共建幸福美好家园。</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仿宋_GBK" w:cs="Times New Roman"/>
          <w:spacing w:val="-6"/>
          <w:sz w:val="32"/>
          <w:szCs w:val="32"/>
          <w:highlight w:val="none"/>
          <w:lang w:val="en-US" w:eastAsia="zh-CN"/>
        </w:rPr>
      </w:pPr>
      <w:r>
        <w:rPr>
          <w:rFonts w:hint="eastAsia" w:ascii="方正楷体_GBK" w:hAnsi="方正楷体_GBK" w:eastAsia="方正楷体_GBK" w:cs="方正楷体_GBK"/>
          <w:b w:val="0"/>
          <w:bCs w:val="0"/>
          <w:kern w:val="2"/>
          <w:sz w:val="32"/>
          <w:szCs w:val="32"/>
          <w:highlight w:val="none"/>
          <w:lang w:val="en-US" w:eastAsia="zh-CN" w:bidi="ar-SA"/>
        </w:rPr>
        <w:t>（三）聚焦政府债务管理，防范化解财政运行风险。</w:t>
      </w:r>
      <w:r>
        <w:rPr>
          <w:rFonts w:hint="eastAsia" w:eastAsia="方正仿宋_GBK" w:cs="Times New Roman"/>
          <w:spacing w:val="-6"/>
          <w:sz w:val="32"/>
          <w:szCs w:val="32"/>
          <w:highlight w:val="none"/>
          <w:lang w:val="en-US" w:eastAsia="zh-CN"/>
        </w:rPr>
        <w:t>统筹好</w:t>
      </w:r>
      <w:r>
        <w:rPr>
          <w:rFonts w:hint="default" w:eastAsia="方正仿宋_GBK" w:cs="Times New Roman"/>
          <w:spacing w:val="-6"/>
          <w:sz w:val="32"/>
          <w:szCs w:val="32"/>
          <w:highlight w:val="none"/>
          <w:lang w:val="en-US" w:eastAsia="zh-CN"/>
        </w:rPr>
        <w:t>促发展和防风险</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坚持化存量、遏增量</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严格政府债务管理，优先安排债券还本付息</w:t>
      </w:r>
      <w:r>
        <w:rPr>
          <w:rFonts w:hint="eastAsia" w:eastAsia="方正仿宋_GBK" w:cs="Times New Roman"/>
          <w:spacing w:val="-6"/>
          <w:sz w:val="32"/>
          <w:szCs w:val="32"/>
          <w:highlight w:val="none"/>
          <w:lang w:val="en-US" w:eastAsia="zh-CN"/>
        </w:rPr>
        <w:t>，做好隐性债务风险化解工作，</w:t>
      </w:r>
      <w:r>
        <w:rPr>
          <w:rFonts w:hint="default" w:eastAsia="方正仿宋_GBK" w:cs="Times New Roman"/>
          <w:spacing w:val="-6"/>
          <w:sz w:val="32"/>
          <w:szCs w:val="32"/>
          <w:highlight w:val="none"/>
          <w:lang w:val="en-US" w:eastAsia="zh-CN"/>
        </w:rPr>
        <w:t>提高风险预判</w:t>
      </w:r>
      <w:r>
        <w:rPr>
          <w:rFonts w:hint="eastAsia" w:eastAsia="方正仿宋_GBK" w:cs="Times New Roman"/>
          <w:spacing w:val="-6"/>
          <w:sz w:val="32"/>
          <w:szCs w:val="32"/>
          <w:highlight w:val="none"/>
          <w:lang w:val="en-US" w:eastAsia="zh-CN"/>
        </w:rPr>
        <w:t>、</w:t>
      </w:r>
      <w:r>
        <w:rPr>
          <w:rFonts w:hint="default" w:eastAsia="方正仿宋_GBK" w:cs="Times New Roman"/>
          <w:spacing w:val="-6"/>
          <w:sz w:val="32"/>
          <w:szCs w:val="32"/>
          <w:highlight w:val="none"/>
          <w:lang w:val="en-US" w:eastAsia="zh-CN"/>
        </w:rPr>
        <w:t>应对能力，确保债务规模与</w:t>
      </w:r>
      <w:r>
        <w:rPr>
          <w:rFonts w:hint="eastAsia" w:eastAsia="方正仿宋_GBK" w:cs="Times New Roman"/>
          <w:spacing w:val="-6"/>
          <w:sz w:val="32"/>
          <w:szCs w:val="32"/>
          <w:highlight w:val="none"/>
          <w:lang w:val="en-US" w:eastAsia="zh-CN"/>
        </w:rPr>
        <w:t>全区财政</w:t>
      </w:r>
      <w:r>
        <w:rPr>
          <w:rFonts w:hint="default" w:eastAsia="方正仿宋_GBK" w:cs="Times New Roman"/>
          <w:spacing w:val="-6"/>
          <w:sz w:val="32"/>
          <w:szCs w:val="32"/>
          <w:highlight w:val="none"/>
          <w:lang w:val="en-US" w:eastAsia="zh-CN"/>
        </w:rPr>
        <w:t>状况相适应，牢牢守住不发生系统性风险的底线。</w:t>
      </w:r>
      <w:r>
        <w:rPr>
          <w:rFonts w:hint="eastAsia" w:eastAsia="方正仿宋_GBK" w:cs="Times New Roman"/>
          <w:spacing w:val="-6"/>
          <w:sz w:val="32"/>
          <w:szCs w:val="32"/>
          <w:highlight w:val="none"/>
          <w:lang w:val="en-US" w:eastAsia="zh-CN"/>
        </w:rPr>
        <w:t>加强调研分析，加强库款保障情况监测预警，确保“三保”不出问题。</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仿宋_GBK" w:cs="Times New Roman"/>
          <w:spacing w:val="-6"/>
          <w:sz w:val="32"/>
          <w:szCs w:val="32"/>
          <w:highlight w:val="none"/>
          <w:lang w:val="en-US" w:eastAsia="zh-CN"/>
        </w:rPr>
      </w:pPr>
      <w:r>
        <w:rPr>
          <w:rFonts w:hint="eastAsia" w:ascii="方正楷体_GBK" w:hAnsi="方正楷体_GBK" w:eastAsia="方正楷体_GBK" w:cs="方正楷体_GBK"/>
          <w:b w:val="0"/>
          <w:bCs w:val="0"/>
          <w:kern w:val="2"/>
          <w:sz w:val="32"/>
          <w:szCs w:val="32"/>
          <w:highlight w:val="none"/>
          <w:lang w:val="en-US" w:eastAsia="zh-CN" w:bidi="ar-SA"/>
        </w:rPr>
        <w:t>（四）聚焦财会监督与法治工作，</w:t>
      </w:r>
      <w:r>
        <w:rPr>
          <w:rFonts w:hint="eastAsia" w:ascii="楷体" w:hAnsi="楷体" w:eastAsia="楷体" w:cs="楷体"/>
          <w:sz w:val="32"/>
          <w:szCs w:val="32"/>
          <w:highlight w:val="none"/>
          <w:shd w:val="clear" w:color="auto" w:fill="FFFFFF"/>
        </w:rPr>
        <w:t>进一步严肃财经纪律。</w:t>
      </w:r>
      <w:r>
        <w:rPr>
          <w:rFonts w:hint="eastAsia" w:eastAsia="方正仿宋_GBK" w:cs="Times New Roman"/>
          <w:spacing w:val="-6"/>
          <w:sz w:val="32"/>
          <w:szCs w:val="32"/>
          <w:highlight w:val="none"/>
          <w:lang w:val="en-US" w:eastAsia="zh-CN"/>
        </w:rPr>
        <w:t>深入贯彻落实《关于进一步加强财会监督工作的意见》，健全财会监督体系，完善工作机制，依法依规定开展财政、财务、会计监督，重点抓好财会监督专项行动、预算执行监督专项行动和重点民生资金专项整治行动。坚持依法行政和依法理财，在法律法规、规章制度规定的范围内组织收入、管理支出、推进改革、防范风险，强化预算约束、执行控制，严禁超预算、无预算支出。加强内控制度建设，把分权制约落到实处，促进财政管理法治化、规范化。</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仿宋_GBK" w:cs="Times New Roman"/>
          <w:spacing w:val="-6"/>
          <w:sz w:val="32"/>
          <w:szCs w:val="32"/>
          <w:highlight w:val="none"/>
          <w:lang w:val="en-US" w:eastAsia="zh-CN"/>
        </w:rPr>
      </w:pPr>
      <w:r>
        <w:rPr>
          <w:rFonts w:hint="eastAsia" w:eastAsia="方正楷体_GBK" w:cs="方正楷体_GBK"/>
          <w:b w:val="0"/>
          <w:bCs/>
          <w:kern w:val="0"/>
          <w:sz w:val="32"/>
          <w:szCs w:val="32"/>
          <w:highlight w:val="none"/>
          <w:lang w:val="en-US" w:eastAsia="zh-CN"/>
        </w:rPr>
        <w:t>（五）聚焦财政管理与改革，提升财政治理水平</w:t>
      </w:r>
      <w:r>
        <w:rPr>
          <w:rFonts w:hint="eastAsia" w:ascii="Times New Roman" w:hAnsi="Times New Roman" w:eastAsia="方正仿宋_GBK" w:cs="Times New Roman"/>
          <w:b/>
          <w:bCs/>
          <w:sz w:val="32"/>
          <w:szCs w:val="32"/>
          <w:highlight w:val="none"/>
          <w:lang w:val="en-US" w:eastAsia="zh-CN"/>
        </w:rPr>
        <w:t>。</w:t>
      </w:r>
      <w:r>
        <w:rPr>
          <w:rFonts w:hint="eastAsia" w:eastAsia="方正仿宋_GBK" w:cs="Times New Roman"/>
          <w:spacing w:val="-6"/>
          <w:sz w:val="32"/>
          <w:szCs w:val="32"/>
          <w:highlight w:val="none"/>
          <w:lang w:val="en-US" w:eastAsia="zh-CN"/>
        </w:rPr>
        <w:t>深入推进预算绩效管理，扎实开展事前绩效评估，为政府决策提供科学依据；提升绩效目标指标质量，强化目标导向和全程绩效监控，以全程绩效监控推动绩效提升；强化绩效评价和结果应用，建设具有徐水特色的全流程绩效管理新模式。打造科学的政府投资项目全生命周期管理平台，逐步实现政府投资项目过程全管控、绩效全覆盖，构建项目信息共享和财政、发改、审批等项目管理部门常态化沟通机制，形成“内部一体、外部协同、上下贯通”的政府投资项目管理新局面。开展全成本预算绩效管理改革，以农村公益事业财政奖补项目为试点，对政府投资项目实施前进行成本、质量、效益分析比较，实现以成本定标准、以标准促改革、以改革提质效的目标。加快财政数字化转型，在“数字财政”系统一期九项功能上线基础上，加快二期、三期功能上线，为“数字保定”建设贡献徐水力量。</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eastAsia="方正仿宋_GBK" w:cs="Times New Roman"/>
          <w:spacing w:val="-6"/>
          <w:sz w:val="32"/>
          <w:szCs w:val="32"/>
          <w:highlight w:val="none"/>
          <w:lang w:val="en-US" w:eastAsia="zh-CN"/>
        </w:rPr>
        <w:t>各位代表，</w:t>
      </w:r>
      <w:r>
        <w:rPr>
          <w:rFonts w:hint="default" w:eastAsia="方正仿宋_GBK" w:cs="Times New Roman"/>
          <w:spacing w:val="-6"/>
          <w:sz w:val="32"/>
          <w:szCs w:val="32"/>
          <w:highlight w:val="none"/>
          <w:lang w:val="en-US" w:eastAsia="zh-CN"/>
        </w:rPr>
        <w:t>202</w:t>
      </w:r>
      <w:r>
        <w:rPr>
          <w:rFonts w:hint="eastAsia" w:eastAsia="方正仿宋_GBK" w:cs="Times New Roman"/>
          <w:spacing w:val="-6"/>
          <w:sz w:val="32"/>
          <w:szCs w:val="32"/>
          <w:highlight w:val="none"/>
          <w:lang w:val="en-US" w:eastAsia="zh-CN"/>
        </w:rPr>
        <w:t>4年财政形势依然复杂严峻，困难问题仍然突出而紧迫，做好财政工作任务艰巨、意义重大、使命光荣。我们将在区委的坚强领导下，在区人大及其常委会的有效监督下，在社会各界的大力支持下，坚定信心、迎难而上、开拓进取，以奋发有为的精神状态和“时时放心不下”的责任意识，扎实推动财政各项工作高质量发展，加快建设经济强区、美丽徐水，为全面建设高品质有韧性的现代化新保定作出更大贡献！</w:t>
      </w:r>
    </w:p>
    <w:p>
      <w:pPr>
        <w:pStyle w:val="17"/>
        <w:ind w:left="0" w:leftChars="0" w:firstLine="0" w:firstLineChars="0"/>
        <w:rPr>
          <w:rFonts w:hint="eastAsia" w:eastAsia="方正仿宋_GBK" w:cs="Times New Roman"/>
          <w:sz w:val="32"/>
          <w:szCs w:val="32"/>
          <w:highlight w:val="none"/>
          <w:lang w:eastAsia="zh-CN"/>
        </w:rPr>
      </w:pPr>
      <w:r>
        <w:rPr>
          <w:rFonts w:hint="eastAsia" w:eastAsia="方正仿宋_GBK" w:cs="Times New Roman"/>
          <w:sz w:val="32"/>
          <w:szCs w:val="32"/>
          <w:lang w:eastAsia="zh-CN"/>
        </w:rPr>
        <w:t>附</w:t>
      </w:r>
      <w:r>
        <w:rPr>
          <w:rFonts w:hint="eastAsia" w:eastAsia="方正仿宋_GBK" w:cs="Times New Roman"/>
          <w:sz w:val="32"/>
          <w:szCs w:val="32"/>
          <w:highlight w:val="none"/>
          <w:lang w:eastAsia="zh-CN"/>
        </w:rPr>
        <w:t>表</w:t>
      </w:r>
    </w:p>
    <w:p>
      <w:pPr>
        <w:pStyle w:val="17"/>
        <w:ind w:left="0" w:leftChars="0" w:firstLine="0" w:firstLineChars="0"/>
        <w:jc w:val="center"/>
        <w:rPr>
          <w:rFonts w:hint="default" w:eastAsia="方正仿宋_GBK" w:cs="Times New Roman"/>
          <w:sz w:val="32"/>
          <w:szCs w:val="32"/>
          <w:highlight w:val="none"/>
          <w:lang w:val="en-US" w:eastAsia="zh-CN"/>
        </w:rPr>
      </w:pPr>
      <w:r>
        <w:rPr>
          <w:rFonts w:hint="default" w:ascii="仿宋" w:hAnsi="仿宋" w:eastAsia="仿宋" w:cs="宋体"/>
          <w:b/>
          <w:spacing w:val="-4"/>
          <w:kern w:val="0"/>
          <w:sz w:val="32"/>
          <w:szCs w:val="32"/>
          <w:highlight w:val="none"/>
          <w:lang w:val="en-US" w:eastAsia="zh-CN" w:bidi="ar-SA"/>
        </w:rPr>
        <w:t>2023年一般公共预算收入情况表</w:t>
      </w:r>
    </w:p>
    <w:tbl>
      <w:tblPr>
        <w:tblStyle w:val="12"/>
        <w:tblW w:w="8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9"/>
        <w:gridCol w:w="1365"/>
        <w:gridCol w:w="141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highlight w:val="none"/>
                <w:u w:val="none"/>
              </w:rPr>
            </w:pPr>
          </w:p>
        </w:tc>
        <w:tc>
          <w:tcPr>
            <w:tcW w:w="13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highlight w:val="none"/>
                <w:u w:val="none"/>
              </w:rPr>
            </w:pPr>
          </w:p>
        </w:tc>
        <w:tc>
          <w:tcPr>
            <w:tcW w:w="141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highlight w:val="none"/>
                <w:u w:val="none"/>
              </w:rPr>
            </w:pPr>
          </w:p>
        </w:tc>
        <w:tc>
          <w:tcPr>
            <w:tcW w:w="151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科目名称</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本年累计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占预算（%）</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一般公共预算收入合计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201338.2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1.税收收入小计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161019.6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增值税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56197.5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改征增值税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企业所得税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19243.2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个人所得税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3825.0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资源税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214.5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城市维护建设税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22667.8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房产税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10404.5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印花税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7656.6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城镇土地使用税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10353.1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土地增值税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9593.2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车船税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5672.3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耕地占用税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1703.0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契税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13313.7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105.1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环保税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175.2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其他税收收入</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2.非税收入小计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40318.6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101.8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专项收入</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14358.4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教育费附加收入</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9679.7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行政事业性收费收入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2598.6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罚没收入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2096.8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国有资源(资产）有偿使用收入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21198.3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103.4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捐赠收入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政府住房基金收入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66.6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r>
    </w:tbl>
    <w:p>
      <w:pPr>
        <w:pBdr>
          <w:bottom w:val="single" w:color="FFFFFF" w:sz="4" w:space="9"/>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2023年一般公共预算支出情况表</w:t>
      </w:r>
    </w:p>
    <w:tbl>
      <w:tblPr>
        <w:tblStyle w:val="12"/>
        <w:tblW w:w="8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9"/>
        <w:gridCol w:w="1380"/>
        <w:gridCol w:w="139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1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highlight w:val="none"/>
                <w:u w:val="none"/>
              </w:rPr>
            </w:pPr>
          </w:p>
        </w:tc>
        <w:tc>
          <w:tcPr>
            <w:tcW w:w="138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highlight w:val="none"/>
                <w:u w:val="none"/>
              </w:rPr>
            </w:pPr>
          </w:p>
        </w:tc>
        <w:tc>
          <w:tcPr>
            <w:tcW w:w="2910"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20"/>
                <w:highlight w:val="none"/>
                <w:lang w:val="en-US" w:eastAsia="zh-CN" w:bidi="ar"/>
              </w:rPr>
              <w:t>项   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本年累计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Style w:val="21"/>
                <w:highlight w:val="none"/>
                <w:lang w:val="en-US" w:eastAsia="zh-CN" w:bidi="ar"/>
              </w:rPr>
              <w:t>占预算（</w:t>
            </w:r>
            <w:r>
              <w:rPr>
                <w:rStyle w:val="22"/>
                <w:rFonts w:eastAsia="宋体"/>
                <w:highlight w:val="none"/>
                <w:lang w:val="en-US" w:eastAsia="zh-CN" w:bidi="ar"/>
              </w:rPr>
              <w:t>%</w:t>
            </w:r>
            <w:r>
              <w:rPr>
                <w:rStyle w:val="21"/>
                <w:highlight w:val="none"/>
                <w:lang w:val="en-US" w:eastAsia="zh-CN" w:bidi="ar"/>
              </w:rPr>
              <w:t>）</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20"/>
                <w:highlight w:val="none"/>
                <w:lang w:val="en-US" w:eastAsia="zh-CN" w:bidi="ar"/>
              </w:rPr>
              <w:t>增长（</w:t>
            </w:r>
            <w:r>
              <w:rPr>
                <w:rStyle w:val="23"/>
                <w:rFonts w:eastAsia="宋体"/>
                <w:highlight w:val="none"/>
                <w:lang w:val="en-US" w:eastAsia="zh-CN" w:bidi="ar"/>
              </w:rPr>
              <w:t>%</w:t>
            </w:r>
            <w:r>
              <w:rPr>
                <w:rStyle w:val="20"/>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1.一般公共服务支出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37935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99.3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 xml:space="preserve">-35.2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2.公共安全支出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15021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其中：公安</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13494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检察</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105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法院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305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司法</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1112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3.教育支出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124623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97.7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4.科学技术支出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6267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5.文化旅游体育与传媒支出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2923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其中：文化和旅游</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1812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体育</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78880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99.6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其中：人力资源和社会保障管理事务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1202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民政管理事务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379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96.6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43037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抚恤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4506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99.1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退役安置</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3249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35273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98.5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其中：卫生健康管理事务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1639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医疗保障管理事务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计划生育事务 </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1616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8.节能环保支出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16884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9.城乡社区支出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24148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90.3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10.农林水支出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37873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77.4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其中：农业农村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16748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60.5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林业和草原</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296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水利</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4495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98.5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11.交通运输支出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6233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98.7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12.资源勘探工业信息等支出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606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13.商业服务业等支出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443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14.金融支出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Style w:val="20"/>
                <w:sz w:val="24"/>
                <w:szCs w:val="24"/>
                <w:highlight w:val="none"/>
                <w:lang w:val="en-US" w:eastAsia="zh-CN" w:bidi="ar"/>
              </w:rPr>
              <w:t>项   目</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2"/>
                <w:sz w:val="24"/>
                <w:szCs w:val="24"/>
                <w:highlight w:val="none"/>
                <w:u w:val="none"/>
                <w:lang w:val="en-US" w:eastAsia="zh-CN" w:bidi="ar-SA"/>
              </w:rPr>
              <w:t>本年累计</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Style w:val="21"/>
                <w:sz w:val="22"/>
                <w:szCs w:val="22"/>
                <w:highlight w:val="none"/>
                <w:lang w:val="en-US" w:eastAsia="zh-CN" w:bidi="ar"/>
              </w:rPr>
              <w:t>占预算（</w:t>
            </w:r>
            <w:r>
              <w:rPr>
                <w:rStyle w:val="22"/>
                <w:rFonts w:eastAsia="宋体"/>
                <w:sz w:val="22"/>
                <w:szCs w:val="22"/>
                <w:highlight w:val="none"/>
                <w:lang w:val="en-US" w:eastAsia="zh-CN" w:bidi="ar"/>
              </w:rPr>
              <w:t>%</w:t>
            </w:r>
            <w:r>
              <w:rPr>
                <w:rStyle w:val="21"/>
                <w:sz w:val="22"/>
                <w:szCs w:val="22"/>
                <w:highlight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Style w:val="20"/>
                <w:highlight w:val="none"/>
                <w:lang w:val="en-US" w:eastAsia="zh-CN" w:bidi="ar"/>
              </w:rPr>
              <w:t>增长（</w:t>
            </w:r>
            <w:r>
              <w:rPr>
                <w:rStyle w:val="23"/>
                <w:rFonts w:eastAsia="宋体"/>
                <w:highlight w:val="none"/>
                <w:lang w:val="en-US" w:eastAsia="zh-CN" w:bidi="ar"/>
              </w:rPr>
              <w:t>%</w:t>
            </w:r>
            <w:r>
              <w:rPr>
                <w:rStyle w:val="20"/>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15.自然资源海洋气象等支出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8463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16.住房保障支出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9559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99.5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17.粮油物资储备支出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450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18.灾害防治及应急管理支出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3559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Style w:val="21"/>
                <w:highlight w:val="none"/>
                <w:lang w:val="en-US" w:eastAsia="zh-CN" w:bidi="ar"/>
              </w:rPr>
              <w:t>19.债务付息支出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4447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Style w:val="21"/>
                <w:highlight w:val="none"/>
                <w:lang w:val="en-US" w:eastAsia="zh-CN" w:bidi="ar"/>
              </w:rPr>
              <w:t>20.债务发行费用支出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一般公共预算支出合计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413722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93.7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FF0000"/>
                <w:kern w:val="0"/>
                <w:sz w:val="24"/>
                <w:szCs w:val="24"/>
                <w:highlight w:val="none"/>
                <w:u w:val="none"/>
                <w:lang w:val="en-US" w:eastAsia="zh-CN" w:bidi="ar"/>
              </w:rPr>
              <w:t xml:space="preserve">-0.1 </w:t>
            </w:r>
          </w:p>
        </w:tc>
      </w:tr>
    </w:tbl>
    <w:p>
      <w:pPr>
        <w:pStyle w:val="17"/>
        <w:ind w:left="0" w:leftChars="0" w:firstLine="0" w:firstLineChars="0"/>
        <w:rPr>
          <w:rFonts w:hint="eastAsia"/>
          <w:highlight w:val="none"/>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Bdr>
          <w:bottom w:val="single" w:color="FFFFFF" w:sz="4" w:space="29"/>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2023年政府性基金收入情况表</w:t>
      </w:r>
    </w:p>
    <w:tbl>
      <w:tblPr>
        <w:tblStyle w:val="12"/>
        <w:tblW w:w="91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414"/>
        <w:gridCol w:w="1530"/>
        <w:gridCol w:w="153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00"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highlight w:val="none"/>
                <w:u w:val="none"/>
              </w:rPr>
            </w:pPr>
          </w:p>
        </w:tc>
        <w:tc>
          <w:tcPr>
            <w:tcW w:w="3414"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highlight w:val="none"/>
                <w:u w:val="none"/>
              </w:rPr>
            </w:pPr>
          </w:p>
        </w:tc>
        <w:tc>
          <w:tcPr>
            <w:tcW w:w="1530"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highlight w:val="none"/>
                <w:u w:val="none"/>
              </w:rPr>
            </w:pPr>
          </w:p>
        </w:tc>
        <w:tc>
          <w:tcPr>
            <w:tcW w:w="1530"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highlight w:val="none"/>
                <w:u w:val="none"/>
              </w:rPr>
            </w:pPr>
          </w:p>
        </w:tc>
        <w:tc>
          <w:tcPr>
            <w:tcW w:w="145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科目编码</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科目名称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本年累计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占预算（%）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 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highlight w:val="none"/>
                <w:u w:val="none"/>
                <w:lang w:val="en-US"/>
              </w:rPr>
            </w:pPr>
            <w:r>
              <w:rPr>
                <w:rFonts w:hint="default" w:ascii="宋体" w:hAnsi="宋体" w:cs="宋体"/>
                <w:b/>
                <w:bCs/>
                <w:i w:val="0"/>
                <w:iCs w:val="0"/>
                <w:color w:val="000000"/>
                <w:kern w:val="0"/>
                <w:sz w:val="24"/>
                <w:szCs w:val="24"/>
                <w:highlight w:val="none"/>
                <w:u w:val="none"/>
                <w:lang w:val="en-US" w:eastAsia="zh-CN" w:bidi="ar"/>
              </w:rPr>
              <w:t>88488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101.7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FF0000"/>
                <w:kern w:val="0"/>
                <w:sz w:val="24"/>
                <w:szCs w:val="24"/>
                <w:highlight w:val="none"/>
                <w:u w:val="none"/>
                <w:lang w:val="en-US" w:eastAsia="zh-CN" w:bidi="ar"/>
              </w:rPr>
              <w:t xml:space="preserve">-17.2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1030146</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1、国有土地收益基金收入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6144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101.7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1030147</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2、农业土地开发资金收入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160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107.4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1030148</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3、国有土地使用权出让收入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74145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101.8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1030155</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4、彩票公益金收入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261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1030156</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5、城市基础设施配套费收入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5710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1030178</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6、污水处理费收入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847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106.9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1030199</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7、新型墙体材料专项基金收入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375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 xml:space="preserve">100.0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4139.1 </w:t>
            </w:r>
          </w:p>
        </w:tc>
      </w:tr>
    </w:tbl>
    <w:p>
      <w:pPr>
        <w:pStyle w:val="17"/>
        <w:ind w:left="0" w:leftChars="0" w:firstLine="0" w:firstLineChars="0"/>
        <w:rPr>
          <w:rFonts w:hint="eastAsia"/>
          <w:highlight w:val="none"/>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Style w:val="17"/>
        <w:ind w:left="0" w:leftChars="0" w:firstLine="0" w:firstLineChars="0"/>
        <w:jc w:val="both"/>
        <w:rPr>
          <w:rFonts w:hint="default" w:eastAsia="方正仿宋_GBK" w:cs="Times New Roman"/>
          <w:sz w:val="32"/>
          <w:szCs w:val="32"/>
          <w:highlight w:val="none"/>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2023年政府性基金支出情况表</w:t>
      </w:r>
    </w:p>
    <w:tbl>
      <w:tblPr>
        <w:tblStyle w:val="12"/>
        <w:tblW w:w="8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2700"/>
        <w:gridCol w:w="1545"/>
        <w:gridCol w:w="159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8574"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单位科目编码</w:t>
            </w:r>
          </w:p>
        </w:tc>
        <w:tc>
          <w:tcPr>
            <w:tcW w:w="2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科目名称</w:t>
            </w:r>
          </w:p>
        </w:tc>
        <w:tc>
          <w:tcPr>
            <w:tcW w:w="15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本年累计</w:t>
            </w:r>
          </w:p>
        </w:tc>
        <w:tc>
          <w:tcPr>
            <w:tcW w:w="15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占预算（%）</w:t>
            </w:r>
          </w:p>
        </w:tc>
        <w:tc>
          <w:tcPr>
            <w:tcW w:w="1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27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基金支出小计</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24"/>
                <w:szCs w:val="24"/>
                <w:highlight w:val="none"/>
                <w:u w:val="none"/>
                <w:lang w:val="en-US"/>
              </w:rPr>
            </w:pPr>
            <w:r>
              <w:rPr>
                <w:rFonts w:hint="default" w:ascii="仿宋" w:hAnsi="仿宋" w:eastAsia="仿宋" w:cs="仿宋"/>
                <w:b/>
                <w:bCs/>
                <w:i w:val="0"/>
                <w:iCs w:val="0"/>
                <w:color w:val="000000"/>
                <w:kern w:val="0"/>
                <w:sz w:val="24"/>
                <w:szCs w:val="24"/>
                <w:highlight w:val="none"/>
                <w:u w:val="none"/>
                <w:lang w:val="en-US" w:eastAsia="zh-CN" w:bidi="ar"/>
              </w:rPr>
              <w:t>283851</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98.0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FF0000"/>
                <w:kern w:val="0"/>
                <w:sz w:val="24"/>
                <w:szCs w:val="24"/>
                <w:highlight w:val="none"/>
                <w:u w:val="none"/>
                <w:lang w:val="en-US" w:eastAsia="zh-CN" w:bidi="ar"/>
              </w:rPr>
              <w:t xml:space="preserve">-28.2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207</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1.文化体育与传媒支出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kern w:val="0"/>
                <w:sz w:val="24"/>
                <w:szCs w:val="24"/>
                <w:highlight w:val="none"/>
                <w:u w:val="none"/>
                <w:lang w:val="en-US" w:eastAsia="zh-CN" w:bidi="ar"/>
              </w:rPr>
              <w:t>71</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100.0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FF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446.2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208</w:t>
            </w:r>
          </w:p>
        </w:tc>
        <w:tc>
          <w:tcPr>
            <w:tcW w:w="27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2.社会保障和就业支出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kern w:val="0"/>
                <w:sz w:val="24"/>
                <w:szCs w:val="24"/>
                <w:highlight w:val="none"/>
                <w:u w:val="none"/>
                <w:lang w:val="en-US" w:eastAsia="zh-CN" w:bidi="ar"/>
              </w:rPr>
              <w:t>2510</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79.9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212</w:t>
            </w:r>
          </w:p>
        </w:tc>
        <w:tc>
          <w:tcPr>
            <w:tcW w:w="27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3.城乡社区支出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kern w:val="0"/>
                <w:sz w:val="24"/>
                <w:szCs w:val="24"/>
                <w:highlight w:val="none"/>
                <w:u w:val="none"/>
                <w:lang w:val="en-US" w:eastAsia="zh-CN" w:bidi="ar"/>
              </w:rPr>
              <w:t>92809</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 xml:space="preserve">100.0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FF0000"/>
                <w:sz w:val="24"/>
                <w:szCs w:val="24"/>
                <w:highlight w:val="none"/>
                <w:u w:val="none"/>
              </w:rPr>
            </w:pPr>
            <w:r>
              <w:rPr>
                <w:rFonts w:hint="eastAsia" w:ascii="仿宋" w:hAnsi="仿宋" w:eastAsia="仿宋" w:cs="仿宋"/>
                <w:b/>
                <w:bCs/>
                <w:i w:val="0"/>
                <w:iCs w:val="0"/>
                <w:color w:val="FF0000"/>
                <w:kern w:val="0"/>
                <w:sz w:val="24"/>
                <w:szCs w:val="24"/>
                <w:highlight w:val="none"/>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229</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5.其他支出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sz w:val="24"/>
                <w:szCs w:val="24"/>
                <w:highlight w:val="none"/>
                <w:u w:val="none"/>
                <w:lang w:val="en-US"/>
              </w:rPr>
              <w:t>164573</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97.0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FF0000"/>
                <w:kern w:val="0"/>
                <w:sz w:val="24"/>
                <w:szCs w:val="24"/>
                <w:highlight w:val="none"/>
                <w:u w:val="none"/>
                <w:lang w:val="en-US" w:eastAsia="zh-CN" w:bidi="ar"/>
              </w:rPr>
              <w:t xml:space="preserve">-30.6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232</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6.债务付息支出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sz w:val="24"/>
                <w:szCs w:val="24"/>
                <w:highlight w:val="none"/>
                <w:u w:val="none"/>
                <w:lang w:val="en-US"/>
              </w:rPr>
              <w:t>23776</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100.0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233</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7.债务发行费用支出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sz w:val="24"/>
                <w:szCs w:val="24"/>
                <w:highlight w:val="none"/>
                <w:u w:val="none"/>
                <w:lang w:val="en-US"/>
              </w:rPr>
              <w:t>112</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100.0 </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FF0000"/>
                <w:kern w:val="0"/>
                <w:sz w:val="24"/>
                <w:szCs w:val="24"/>
                <w:highlight w:val="none"/>
                <w:u w:val="none"/>
                <w:lang w:val="en-US" w:eastAsia="zh-CN" w:bidi="ar"/>
              </w:rPr>
              <w:t xml:space="preserve">-53.9 </w:t>
            </w:r>
          </w:p>
        </w:tc>
      </w:tr>
    </w:tbl>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2023年社会保险基金收入情况表</w:t>
      </w:r>
    </w:p>
    <w:tbl>
      <w:tblPr>
        <w:tblStyle w:val="12"/>
        <w:tblW w:w="8182" w:type="dxa"/>
        <w:jc w:val="center"/>
        <w:tblLayout w:type="autofit"/>
        <w:tblCellMar>
          <w:top w:w="0" w:type="dxa"/>
          <w:left w:w="108" w:type="dxa"/>
          <w:bottom w:w="0" w:type="dxa"/>
          <w:right w:w="108" w:type="dxa"/>
        </w:tblCellMar>
      </w:tblPr>
      <w:tblGrid>
        <w:gridCol w:w="1745"/>
        <w:gridCol w:w="4719"/>
        <w:gridCol w:w="1718"/>
      </w:tblGrid>
      <w:tr>
        <w:tblPrEx>
          <w:tblCellMar>
            <w:top w:w="0" w:type="dxa"/>
            <w:left w:w="108" w:type="dxa"/>
            <w:bottom w:w="0" w:type="dxa"/>
            <w:right w:w="108" w:type="dxa"/>
          </w:tblCellMar>
        </w:tblPrEx>
        <w:trPr>
          <w:trHeight w:val="480" w:hRule="atLeast"/>
          <w:jc w:val="center"/>
        </w:trPr>
        <w:tc>
          <w:tcPr>
            <w:tcW w:w="1745" w:type="dxa"/>
            <w:tcBorders>
              <w:top w:val="nil"/>
              <w:left w:val="nil"/>
              <w:bottom w:val="nil"/>
              <w:right w:val="nil"/>
            </w:tcBorders>
            <w:noWrap/>
            <w:vAlign w:val="center"/>
          </w:tcPr>
          <w:p>
            <w:pPr>
              <w:widowControl/>
              <w:jc w:val="left"/>
              <w:rPr>
                <w:rFonts w:ascii="仿宋" w:hAnsi="仿宋" w:eastAsia="仿宋" w:cs="Times New Roman"/>
                <w:kern w:val="0"/>
                <w:sz w:val="22"/>
                <w:szCs w:val="22"/>
                <w:highlight w:val="none"/>
              </w:rPr>
            </w:pPr>
          </w:p>
        </w:tc>
        <w:tc>
          <w:tcPr>
            <w:tcW w:w="4719" w:type="dxa"/>
            <w:tcBorders>
              <w:top w:val="nil"/>
              <w:left w:val="nil"/>
              <w:bottom w:val="nil"/>
              <w:right w:val="nil"/>
            </w:tcBorders>
            <w:noWrap/>
            <w:vAlign w:val="center"/>
          </w:tcPr>
          <w:p>
            <w:pPr>
              <w:widowControl/>
              <w:jc w:val="left"/>
              <w:rPr>
                <w:rFonts w:ascii="仿宋" w:hAnsi="仿宋" w:eastAsia="仿宋" w:cs="Times New Roman"/>
                <w:kern w:val="0"/>
                <w:sz w:val="22"/>
                <w:szCs w:val="22"/>
                <w:highlight w:val="none"/>
              </w:rPr>
            </w:pPr>
          </w:p>
        </w:tc>
        <w:tc>
          <w:tcPr>
            <w:tcW w:w="1718" w:type="dxa"/>
            <w:tcBorders>
              <w:top w:val="nil"/>
              <w:left w:val="nil"/>
              <w:bottom w:val="nil"/>
              <w:right w:val="nil"/>
            </w:tcBorders>
            <w:noWrap/>
            <w:vAlign w:val="center"/>
          </w:tcPr>
          <w:p>
            <w:pPr>
              <w:widowControl/>
              <w:jc w:val="right"/>
              <w:rPr>
                <w:rFonts w:ascii="仿宋" w:hAnsi="仿宋" w:eastAsia="仿宋" w:cs="Times New Roman"/>
                <w:b/>
                <w:kern w:val="0"/>
                <w:sz w:val="22"/>
                <w:szCs w:val="22"/>
                <w:highlight w:val="none"/>
              </w:rPr>
            </w:pPr>
            <w:r>
              <w:rPr>
                <w:rFonts w:hint="eastAsia" w:ascii="仿宋" w:hAnsi="仿宋" w:eastAsia="仿宋" w:cs="Times New Roman"/>
                <w:b/>
                <w:kern w:val="0"/>
                <w:sz w:val="22"/>
                <w:szCs w:val="22"/>
                <w:highlight w:val="none"/>
              </w:rPr>
              <w:t>单位：万元</w:t>
            </w:r>
          </w:p>
        </w:tc>
      </w:tr>
      <w:tr>
        <w:tblPrEx>
          <w:tblCellMar>
            <w:top w:w="0" w:type="dxa"/>
            <w:left w:w="108" w:type="dxa"/>
            <w:bottom w:w="0" w:type="dxa"/>
            <w:right w:w="108" w:type="dxa"/>
          </w:tblCellMar>
        </w:tblPrEx>
        <w:trPr>
          <w:trHeight w:val="660" w:hRule="atLeast"/>
          <w:jc w:val="center"/>
        </w:trPr>
        <w:tc>
          <w:tcPr>
            <w:tcW w:w="17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科目编码</w:t>
            </w:r>
          </w:p>
        </w:tc>
        <w:tc>
          <w:tcPr>
            <w:tcW w:w="47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科目名称</w:t>
            </w:r>
          </w:p>
        </w:tc>
        <w:tc>
          <w:tcPr>
            <w:tcW w:w="171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执行数</w:t>
            </w:r>
          </w:p>
        </w:tc>
      </w:tr>
      <w:tr>
        <w:tblPrEx>
          <w:tblCellMar>
            <w:top w:w="0" w:type="dxa"/>
            <w:left w:w="108" w:type="dxa"/>
            <w:bottom w:w="0" w:type="dxa"/>
            <w:right w:w="108" w:type="dxa"/>
          </w:tblCellMar>
        </w:tblPrEx>
        <w:trPr>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102</w:t>
            </w:r>
          </w:p>
        </w:tc>
        <w:tc>
          <w:tcPr>
            <w:tcW w:w="4719" w:type="dxa"/>
            <w:tcBorders>
              <w:top w:val="nil"/>
              <w:left w:val="nil"/>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社保保险基金收入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60903</w:t>
            </w:r>
          </w:p>
        </w:tc>
      </w:tr>
      <w:tr>
        <w:tblPrEx>
          <w:tblCellMar>
            <w:top w:w="0" w:type="dxa"/>
            <w:left w:w="108" w:type="dxa"/>
            <w:bottom w:w="0" w:type="dxa"/>
            <w:right w:w="108" w:type="dxa"/>
          </w:tblCellMar>
        </w:tblPrEx>
        <w:trPr>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10210</w:t>
            </w:r>
          </w:p>
        </w:tc>
        <w:tc>
          <w:tcPr>
            <w:tcW w:w="4719"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城乡居民基本养老保险基金收入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24330</w:t>
            </w:r>
          </w:p>
        </w:tc>
      </w:tr>
      <w:tr>
        <w:tblPrEx>
          <w:tblCellMar>
            <w:top w:w="0" w:type="dxa"/>
            <w:left w:w="108" w:type="dxa"/>
            <w:bottom w:w="0" w:type="dxa"/>
            <w:right w:w="108" w:type="dxa"/>
          </w:tblCellMar>
        </w:tblPrEx>
        <w:trPr>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10211</w:t>
            </w:r>
          </w:p>
        </w:tc>
        <w:tc>
          <w:tcPr>
            <w:tcW w:w="4719"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机关事业单位基本养老保险</w:t>
            </w:r>
            <w:r>
              <w:rPr>
                <w:rFonts w:hint="eastAsia" w:ascii="仿宋" w:hAnsi="仿宋" w:eastAsia="仿宋" w:cs="宋体"/>
                <w:b/>
                <w:bCs/>
                <w:kern w:val="0"/>
                <w:sz w:val="24"/>
                <w:highlight w:val="none"/>
                <w:lang w:eastAsia="zh-CN"/>
              </w:rPr>
              <w:t>基金</w:t>
            </w:r>
            <w:r>
              <w:rPr>
                <w:rFonts w:hint="eastAsia" w:ascii="仿宋" w:hAnsi="仿宋" w:eastAsia="仿宋" w:cs="宋体"/>
                <w:b/>
                <w:bCs/>
                <w:kern w:val="0"/>
                <w:sz w:val="24"/>
                <w:highlight w:val="none"/>
              </w:rPr>
              <w:t>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36573</w:t>
            </w:r>
          </w:p>
        </w:tc>
      </w:tr>
      <w:tr>
        <w:tblPrEx>
          <w:tblCellMar>
            <w:top w:w="0" w:type="dxa"/>
            <w:left w:w="108" w:type="dxa"/>
            <w:bottom w:w="0" w:type="dxa"/>
            <w:right w:w="108" w:type="dxa"/>
          </w:tblCellMar>
        </w:tblPrEx>
        <w:trPr>
          <w:trHeight w:val="495" w:hRule="atLeast"/>
          <w:jc w:val="center"/>
        </w:trPr>
        <w:tc>
          <w:tcPr>
            <w:tcW w:w="646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合计</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60903</w:t>
            </w:r>
          </w:p>
        </w:tc>
      </w:tr>
    </w:tbl>
    <w:p>
      <w:pPr>
        <w:pBdr>
          <w:bottom w:val="single" w:color="FFFFFF" w:sz="4" w:space="31"/>
        </w:pBdr>
        <w:autoSpaceDE w:val="0"/>
        <w:adjustRightInd w:val="0"/>
        <w:snapToGrid w:val="0"/>
        <w:spacing w:line="600" w:lineRule="exact"/>
        <w:ind w:firstLine="627" w:firstLineChars="200"/>
        <w:jc w:val="center"/>
        <w:rPr>
          <w:rFonts w:hint="eastAsia" w:ascii="仿宋" w:hAnsi="仿宋" w:eastAsia="仿宋" w:cs="宋体"/>
          <w:b/>
          <w:spacing w:val="-4"/>
          <w:kern w:val="0"/>
          <w:sz w:val="32"/>
          <w:szCs w:val="32"/>
          <w:highlight w:val="none"/>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2023年社会保险基金支出情况表</w:t>
      </w:r>
    </w:p>
    <w:tbl>
      <w:tblPr>
        <w:tblStyle w:val="12"/>
        <w:tblW w:w="8171" w:type="dxa"/>
        <w:tblInd w:w="316" w:type="dxa"/>
        <w:tblLayout w:type="fixed"/>
        <w:tblCellMar>
          <w:top w:w="0" w:type="dxa"/>
          <w:left w:w="108" w:type="dxa"/>
          <w:bottom w:w="0" w:type="dxa"/>
          <w:right w:w="108" w:type="dxa"/>
        </w:tblCellMar>
      </w:tblPr>
      <w:tblGrid>
        <w:gridCol w:w="1945"/>
        <w:gridCol w:w="4490"/>
        <w:gridCol w:w="1736"/>
      </w:tblGrid>
      <w:tr>
        <w:tblPrEx>
          <w:tblCellMar>
            <w:top w:w="0" w:type="dxa"/>
            <w:left w:w="108" w:type="dxa"/>
            <w:bottom w:w="0" w:type="dxa"/>
            <w:right w:w="108" w:type="dxa"/>
          </w:tblCellMar>
        </w:tblPrEx>
        <w:trPr>
          <w:trHeight w:val="420" w:hRule="atLeast"/>
        </w:trPr>
        <w:tc>
          <w:tcPr>
            <w:tcW w:w="1945" w:type="dxa"/>
            <w:tcBorders>
              <w:top w:val="nil"/>
              <w:left w:val="nil"/>
              <w:bottom w:val="nil"/>
              <w:right w:val="nil"/>
            </w:tcBorders>
            <w:noWrap/>
            <w:vAlign w:val="top"/>
          </w:tcPr>
          <w:p>
            <w:pPr>
              <w:widowControl/>
              <w:jc w:val="left"/>
              <w:rPr>
                <w:rFonts w:ascii="仿宋" w:hAnsi="仿宋" w:eastAsia="仿宋" w:cs="Times New Roman"/>
                <w:kern w:val="0"/>
                <w:sz w:val="22"/>
                <w:szCs w:val="22"/>
                <w:highlight w:val="none"/>
              </w:rPr>
            </w:pPr>
          </w:p>
        </w:tc>
        <w:tc>
          <w:tcPr>
            <w:tcW w:w="4490" w:type="dxa"/>
            <w:tcBorders>
              <w:top w:val="nil"/>
              <w:left w:val="nil"/>
              <w:bottom w:val="nil"/>
              <w:right w:val="nil"/>
            </w:tcBorders>
            <w:noWrap/>
            <w:vAlign w:val="top"/>
          </w:tcPr>
          <w:p>
            <w:pPr>
              <w:widowControl/>
              <w:jc w:val="left"/>
              <w:rPr>
                <w:rFonts w:ascii="仿宋" w:hAnsi="仿宋" w:eastAsia="仿宋" w:cs="Times New Roman"/>
                <w:kern w:val="0"/>
                <w:sz w:val="22"/>
                <w:szCs w:val="22"/>
                <w:highlight w:val="none"/>
              </w:rPr>
            </w:pPr>
          </w:p>
        </w:tc>
        <w:tc>
          <w:tcPr>
            <w:tcW w:w="1736" w:type="dxa"/>
            <w:tcBorders>
              <w:top w:val="nil"/>
              <w:left w:val="nil"/>
              <w:bottom w:val="nil"/>
              <w:right w:val="nil"/>
            </w:tcBorders>
            <w:noWrap/>
            <w:vAlign w:val="top"/>
          </w:tcPr>
          <w:p>
            <w:pPr>
              <w:widowControl/>
              <w:jc w:val="right"/>
              <w:rPr>
                <w:rFonts w:ascii="仿宋" w:hAnsi="仿宋" w:eastAsia="仿宋" w:cs="Times New Roman"/>
                <w:b/>
                <w:kern w:val="0"/>
                <w:sz w:val="22"/>
                <w:szCs w:val="22"/>
                <w:highlight w:val="none"/>
              </w:rPr>
            </w:pPr>
            <w:r>
              <w:rPr>
                <w:rFonts w:hint="eastAsia" w:ascii="仿宋" w:hAnsi="仿宋" w:eastAsia="仿宋" w:cs="Times New Roman"/>
                <w:b/>
                <w:kern w:val="0"/>
                <w:sz w:val="22"/>
                <w:szCs w:val="22"/>
                <w:highlight w:val="none"/>
              </w:rPr>
              <w:t>单位：万元</w:t>
            </w:r>
          </w:p>
        </w:tc>
      </w:tr>
      <w:tr>
        <w:trPr>
          <w:trHeight w:val="540"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科目编码</w:t>
            </w:r>
          </w:p>
        </w:tc>
        <w:tc>
          <w:tcPr>
            <w:tcW w:w="449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科目名称</w:t>
            </w:r>
          </w:p>
        </w:tc>
        <w:tc>
          <w:tcPr>
            <w:tcW w:w="17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执行数</w:t>
            </w:r>
          </w:p>
        </w:tc>
      </w:tr>
      <w:tr>
        <w:tblPrEx>
          <w:tblCellMar>
            <w:top w:w="0" w:type="dxa"/>
            <w:left w:w="108" w:type="dxa"/>
            <w:bottom w:w="0" w:type="dxa"/>
            <w:right w:w="108" w:type="dxa"/>
          </w:tblCellMar>
        </w:tblPrEx>
        <w:trPr>
          <w:trHeight w:val="525" w:hRule="atLeast"/>
        </w:trPr>
        <w:tc>
          <w:tcPr>
            <w:tcW w:w="194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209</w:t>
            </w:r>
          </w:p>
        </w:tc>
        <w:tc>
          <w:tcPr>
            <w:tcW w:w="4490" w:type="dxa"/>
            <w:tcBorders>
              <w:top w:val="nil"/>
              <w:left w:val="nil"/>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社会保险基金支出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55820</w:t>
            </w:r>
          </w:p>
        </w:tc>
      </w:tr>
      <w:tr>
        <w:tblPrEx>
          <w:tblCellMar>
            <w:top w:w="0" w:type="dxa"/>
            <w:left w:w="108" w:type="dxa"/>
            <w:bottom w:w="0" w:type="dxa"/>
            <w:right w:w="108" w:type="dxa"/>
          </w:tblCellMar>
        </w:tblPrEx>
        <w:trPr>
          <w:trHeight w:val="525" w:hRule="atLeast"/>
        </w:trPr>
        <w:tc>
          <w:tcPr>
            <w:tcW w:w="19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20910</w:t>
            </w:r>
          </w:p>
        </w:tc>
        <w:tc>
          <w:tcPr>
            <w:tcW w:w="4490"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城乡居民基本养老保险基金支出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kern w:val="0"/>
                <w:sz w:val="24"/>
                <w:highlight w:val="none"/>
                <w:lang w:val="en-US"/>
              </w:rPr>
            </w:pPr>
            <w:r>
              <w:rPr>
                <w:rFonts w:hint="eastAsia" w:ascii="仿宋" w:hAnsi="仿宋" w:eastAsia="仿宋" w:cs="Times New Roman"/>
                <w:b/>
                <w:bCs/>
                <w:kern w:val="0"/>
                <w:sz w:val="24"/>
                <w:lang w:val="en-US" w:eastAsia="zh-CN"/>
              </w:rPr>
              <w:t>21198</w:t>
            </w:r>
          </w:p>
        </w:tc>
      </w:tr>
      <w:tr>
        <w:tblPrEx>
          <w:tblCellMar>
            <w:top w:w="0" w:type="dxa"/>
            <w:left w:w="108" w:type="dxa"/>
            <w:bottom w:w="0" w:type="dxa"/>
            <w:right w:w="108" w:type="dxa"/>
          </w:tblCellMar>
        </w:tblPrEx>
        <w:trPr>
          <w:trHeight w:val="525"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20911</w:t>
            </w:r>
          </w:p>
        </w:tc>
        <w:tc>
          <w:tcPr>
            <w:tcW w:w="4490" w:type="dxa"/>
            <w:tcBorders>
              <w:top w:val="single" w:color="auto" w:sz="4" w:space="0"/>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机关事业单位基本养老保险基金支出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34622</w:t>
            </w:r>
          </w:p>
        </w:tc>
      </w:tr>
      <w:tr>
        <w:tblPrEx>
          <w:tblCellMar>
            <w:top w:w="0" w:type="dxa"/>
            <w:left w:w="108" w:type="dxa"/>
            <w:bottom w:w="0" w:type="dxa"/>
            <w:right w:w="108" w:type="dxa"/>
          </w:tblCellMar>
        </w:tblPrEx>
        <w:trPr>
          <w:trHeight w:val="525" w:hRule="atLeast"/>
        </w:trPr>
        <w:tc>
          <w:tcPr>
            <w:tcW w:w="6435"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合计</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eastAsia" w:ascii="仿宋" w:hAnsi="仿宋" w:eastAsia="仿宋" w:cs="Times New Roman"/>
                <w:b/>
                <w:bCs/>
                <w:kern w:val="0"/>
                <w:sz w:val="24"/>
                <w:lang w:val="en-US" w:eastAsia="zh-CN"/>
              </w:rPr>
              <w:t>55820</w:t>
            </w:r>
          </w:p>
        </w:tc>
      </w:tr>
    </w:tbl>
    <w:p>
      <w:pPr>
        <w:rPr>
          <w:highlight w:val="none"/>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Style w:val="17"/>
        <w:ind w:left="0" w:leftChars="0" w:firstLine="0" w:firstLineChars="0"/>
        <w:rPr>
          <w:rFonts w:hint="default"/>
          <w:highlight w:val="none"/>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2024年一般公共预算收入情况表</w:t>
      </w:r>
    </w:p>
    <w:tbl>
      <w:tblPr>
        <w:tblStyle w:val="12"/>
        <w:tblW w:w="8523" w:type="dxa"/>
        <w:jc w:val="center"/>
        <w:tblLayout w:type="autofit"/>
        <w:tblCellMar>
          <w:top w:w="0" w:type="dxa"/>
          <w:left w:w="0" w:type="dxa"/>
          <w:bottom w:w="0" w:type="dxa"/>
          <w:right w:w="0" w:type="dxa"/>
        </w:tblCellMar>
      </w:tblPr>
      <w:tblGrid>
        <w:gridCol w:w="5761"/>
        <w:gridCol w:w="2762"/>
      </w:tblGrid>
      <w:tr>
        <w:tblPrEx>
          <w:tblCellMar>
            <w:top w:w="0" w:type="dxa"/>
            <w:left w:w="0" w:type="dxa"/>
            <w:bottom w:w="0" w:type="dxa"/>
            <w:right w:w="0" w:type="dxa"/>
          </w:tblCellMar>
        </w:tblPrEx>
        <w:trPr>
          <w:trHeight w:val="504" w:hRule="atLeast"/>
          <w:jc w:val="center"/>
        </w:trPr>
        <w:tc>
          <w:tcPr>
            <w:tcW w:w="5761" w:type="dxa"/>
            <w:noWrap/>
            <w:tcMar>
              <w:top w:w="15" w:type="dxa"/>
              <w:left w:w="15" w:type="dxa"/>
              <w:bottom w:w="0" w:type="dxa"/>
              <w:right w:w="15" w:type="dxa"/>
            </w:tcMar>
            <w:vAlign w:val="center"/>
          </w:tcPr>
          <w:p>
            <w:pPr>
              <w:widowControl/>
              <w:spacing w:line="240" w:lineRule="auto"/>
              <w:jc w:val="center"/>
              <w:rPr>
                <w:rFonts w:hint="eastAsia" w:ascii="黑体" w:hAnsi="黑体" w:eastAsia="黑体" w:cs="宋体"/>
                <w:color w:val="000000"/>
                <w:kern w:val="0"/>
                <w:sz w:val="36"/>
                <w:szCs w:val="36"/>
                <w:highlight w:val="none"/>
              </w:rPr>
            </w:pPr>
          </w:p>
        </w:tc>
        <w:tc>
          <w:tcPr>
            <w:tcW w:w="2762" w:type="dxa"/>
            <w:noWrap/>
            <w:tcMar>
              <w:top w:w="15" w:type="dxa"/>
              <w:left w:w="15" w:type="dxa"/>
              <w:bottom w:w="0" w:type="dxa"/>
              <w:right w:w="15" w:type="dxa"/>
            </w:tcMar>
            <w:vAlign w:val="center"/>
          </w:tcPr>
          <w:p>
            <w:pPr>
              <w:widowControl/>
              <w:spacing w:line="240" w:lineRule="auto"/>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单位：万元</w:t>
            </w:r>
          </w:p>
        </w:tc>
      </w:tr>
      <w:tr>
        <w:tblPrEx>
          <w:tblCellMar>
            <w:top w:w="0" w:type="dxa"/>
            <w:left w:w="0" w:type="dxa"/>
            <w:bottom w:w="0" w:type="dxa"/>
            <w:right w:w="0" w:type="dxa"/>
          </w:tblCellMar>
        </w:tblPrEx>
        <w:trPr>
          <w:trHeight w:val="465" w:hRule="atLeast"/>
          <w:jc w:val="center"/>
        </w:trPr>
        <w:tc>
          <w:tcPr>
            <w:tcW w:w="5761"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       目</w:t>
            </w:r>
          </w:p>
        </w:tc>
        <w:tc>
          <w:tcPr>
            <w:tcW w:w="2762"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预算数</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一般公共预算收入</w:t>
            </w:r>
          </w:p>
        </w:tc>
        <w:tc>
          <w:tcPr>
            <w:tcW w:w="276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b/>
                <w:bCs/>
                <w:color w:val="000000"/>
                <w:kern w:val="0"/>
                <w:sz w:val="24"/>
                <w:szCs w:val="24"/>
                <w:highlight w:val="none"/>
                <w:lang w:val="en-US"/>
              </w:rPr>
            </w:pPr>
            <w:r>
              <w:rPr>
                <w:rFonts w:hint="default" w:ascii="宋体" w:hAnsi="宋体" w:eastAsia="宋体" w:cs="宋体"/>
                <w:b/>
                <w:bCs/>
                <w:color w:val="000000"/>
                <w:kern w:val="0"/>
                <w:sz w:val="24"/>
                <w:szCs w:val="24"/>
                <w:highlight w:val="none"/>
                <w:lang w:val="en-US"/>
              </w:rPr>
              <w:t>214500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（一）税收收入</w:t>
            </w:r>
          </w:p>
        </w:tc>
        <w:tc>
          <w:tcPr>
            <w:tcW w:w="276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b/>
                <w:bCs/>
                <w:color w:val="000000"/>
                <w:kern w:val="0"/>
                <w:sz w:val="24"/>
                <w:szCs w:val="24"/>
                <w:highlight w:val="none"/>
                <w:lang w:val="en-US"/>
              </w:rPr>
              <w:t>181800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1、增值税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70290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2、企业所得税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20500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3、个人所得税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4100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4、城市维护建设税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24140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5、房产税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11000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6、印花税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8150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7、城镇土地使用税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11030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8、土地增值税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10220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9、车船税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eastAsia"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lang w:val="en-US"/>
              </w:rPr>
              <w:t>6040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10、耕地占用税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1810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11、契税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14180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firstLine="57" w:firstLineChars="24"/>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12、环境保护税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120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firstLine="57" w:firstLineChars="24"/>
              <w:jc w:val="left"/>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13、资源税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b/>
                <w:bCs/>
                <w:color w:val="000000"/>
                <w:kern w:val="0"/>
                <w:sz w:val="24"/>
                <w:szCs w:val="24"/>
                <w:highlight w:val="none"/>
                <w:lang w:val="en-US"/>
              </w:rPr>
            </w:pPr>
            <w:r>
              <w:rPr>
                <w:rFonts w:hint="default" w:ascii="宋体" w:hAnsi="宋体" w:eastAsia="宋体" w:cs="宋体"/>
                <w:color w:val="000000"/>
                <w:kern w:val="0"/>
                <w:sz w:val="24"/>
                <w:szCs w:val="24"/>
                <w:highlight w:val="none"/>
                <w:lang w:val="en-US"/>
              </w:rPr>
              <w:t>220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（二）非税收入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b/>
                <w:bCs/>
                <w:color w:val="000000"/>
                <w:kern w:val="0"/>
                <w:sz w:val="24"/>
                <w:szCs w:val="24"/>
                <w:highlight w:val="none"/>
                <w:lang w:val="en-US"/>
              </w:rPr>
              <w:t>32700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1、专项收入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20700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2、行政性收费收入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3000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4"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3、罚没收入</w:t>
            </w:r>
          </w:p>
        </w:tc>
        <w:tc>
          <w:tcPr>
            <w:tcW w:w="2762" w:type="dxa"/>
            <w:tcBorders>
              <w:top w:val="nil"/>
              <w:left w:val="nil"/>
              <w:bottom w:val="single" w:color="auto" w:sz="4" w:space="0"/>
              <w:right w:val="single" w:color="auto" w:sz="8"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4000</w:t>
            </w:r>
          </w:p>
        </w:tc>
      </w:tr>
      <w:tr>
        <w:tblPrEx>
          <w:tblCellMar>
            <w:top w:w="0" w:type="dxa"/>
            <w:left w:w="0" w:type="dxa"/>
            <w:bottom w:w="0" w:type="dxa"/>
            <w:right w:w="0" w:type="dxa"/>
          </w:tblCellMar>
        </w:tblPrEx>
        <w:trPr>
          <w:trHeight w:val="465" w:hRule="atLeast"/>
          <w:jc w:val="center"/>
        </w:trPr>
        <w:tc>
          <w:tcPr>
            <w:tcW w:w="57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4、国有资源（资产）有偿使用收入</w:t>
            </w:r>
          </w:p>
        </w:tc>
        <w:tc>
          <w:tcPr>
            <w:tcW w:w="276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4975</w:t>
            </w:r>
          </w:p>
        </w:tc>
      </w:tr>
      <w:tr>
        <w:tblPrEx>
          <w:tblCellMar>
            <w:top w:w="0" w:type="dxa"/>
            <w:left w:w="0" w:type="dxa"/>
            <w:bottom w:w="0" w:type="dxa"/>
            <w:right w:w="0" w:type="dxa"/>
          </w:tblCellMar>
        </w:tblPrEx>
        <w:trPr>
          <w:trHeight w:val="465" w:hRule="atLeast"/>
          <w:jc w:val="center"/>
        </w:trPr>
        <w:tc>
          <w:tcPr>
            <w:tcW w:w="57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b/>
                <w:bCs/>
                <w:color w:val="000000"/>
                <w:kern w:val="0"/>
                <w:sz w:val="24"/>
                <w:szCs w:val="24"/>
                <w:highlight w:val="none"/>
                <w:lang w:eastAsia="zh-CN"/>
              </w:rPr>
            </w:pPr>
            <w:r>
              <w:rPr>
                <w:rFonts w:hint="eastAsia" w:ascii="宋体" w:hAnsi="宋体" w:eastAsia="宋体" w:cs="宋体"/>
                <w:color w:val="000000"/>
                <w:kern w:val="0"/>
                <w:sz w:val="24"/>
                <w:szCs w:val="24"/>
                <w:highlight w:val="none"/>
              </w:rPr>
              <w:t>5、政府住房基金收入</w:t>
            </w:r>
          </w:p>
        </w:tc>
        <w:tc>
          <w:tcPr>
            <w:tcW w:w="276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ind w:left="0" w:leftChars="0"/>
              <w:jc w:val="right"/>
              <w:rPr>
                <w:rFonts w:hint="default" w:ascii="宋体" w:hAnsi="宋体" w:eastAsia="宋体" w:cs="宋体"/>
                <w:b/>
                <w:bCs/>
                <w:color w:val="000000"/>
                <w:kern w:val="0"/>
                <w:sz w:val="24"/>
                <w:szCs w:val="24"/>
                <w:highlight w:val="none"/>
                <w:lang w:val="en-US" w:eastAsia="zh-CN" w:bidi="ar-SA"/>
              </w:rPr>
            </w:pPr>
            <w:r>
              <w:rPr>
                <w:rFonts w:hint="default" w:ascii="宋体" w:hAnsi="宋体" w:eastAsia="宋体" w:cs="宋体"/>
                <w:color w:val="000000"/>
                <w:kern w:val="0"/>
                <w:sz w:val="24"/>
                <w:szCs w:val="24"/>
                <w:highlight w:val="none"/>
                <w:lang w:val="en-US"/>
              </w:rPr>
              <w:t>25</w:t>
            </w:r>
          </w:p>
        </w:tc>
      </w:tr>
    </w:tbl>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eastAsia" w:ascii="仿宋" w:hAnsi="仿宋" w:eastAsia="仿宋" w:cs="仿宋"/>
          <w:b/>
          <w:spacing w:val="-4"/>
          <w:kern w:val="0"/>
          <w:sz w:val="32"/>
          <w:szCs w:val="32"/>
          <w:highlight w:val="none"/>
        </w:rPr>
      </w:pPr>
      <w:r>
        <w:rPr>
          <w:rFonts w:hint="eastAsia" w:ascii="仿宋" w:hAnsi="仿宋" w:eastAsia="仿宋" w:cs="仿宋"/>
          <w:b/>
          <w:spacing w:val="-4"/>
          <w:kern w:val="0"/>
          <w:sz w:val="32"/>
          <w:szCs w:val="32"/>
          <w:highlight w:val="none"/>
        </w:rPr>
        <w:t>2024年一般公共预算支出情况表</w:t>
      </w:r>
    </w:p>
    <w:tbl>
      <w:tblPr>
        <w:tblStyle w:val="12"/>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65"/>
        <w:gridCol w:w="3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265" w:type="dxa"/>
            <w:tcBorders>
              <w:top w:val="nil"/>
              <w:left w:val="nil"/>
              <w:bottom w:val="nil"/>
              <w:right w:val="nil"/>
            </w:tcBorders>
            <w:noWrap/>
            <w:vAlign w:val="top"/>
          </w:tcPr>
          <w:p>
            <w:pPr>
              <w:jc w:val="left"/>
              <w:rPr>
                <w:rFonts w:hint="eastAsia" w:ascii="仿宋" w:hAnsi="仿宋" w:eastAsia="仿宋" w:cs="仿宋"/>
                <w:i w:val="0"/>
                <w:iCs w:val="0"/>
                <w:color w:val="000000"/>
                <w:sz w:val="22"/>
                <w:szCs w:val="22"/>
                <w:highlight w:val="none"/>
                <w:u w:val="none"/>
              </w:rPr>
            </w:pPr>
          </w:p>
        </w:tc>
        <w:tc>
          <w:tcPr>
            <w:tcW w:w="3555" w:type="dxa"/>
            <w:tcBorders>
              <w:top w:val="nil"/>
              <w:left w:val="nil"/>
              <w:bottom w:val="nil"/>
              <w:right w:val="nil"/>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一、本级支出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402914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一般公共服务支出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52279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公共安全支出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教育支出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125845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科学技术支出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文化旅游体育与传媒支出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社会保障和就业支出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卫生健康支出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节能环保支出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城乡社区支出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农林水支出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交通运输支出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资源勘探工业信息等支出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商业服务业等支出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金融支出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自然资源海洋气象等支出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住房保障支出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粮油物资储备支出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灾害防治及应急管理支出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预备费</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债务付息支出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债务发行费用支出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其他支出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402914</w:t>
            </w:r>
          </w:p>
        </w:tc>
      </w:tr>
    </w:tbl>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2024年政府性基金收入情况表</w:t>
      </w:r>
    </w:p>
    <w:tbl>
      <w:tblPr>
        <w:tblStyle w:val="12"/>
        <w:tblW w:w="8400" w:type="dxa"/>
        <w:jc w:val="center"/>
        <w:tblLayout w:type="autofit"/>
        <w:tblCellMar>
          <w:top w:w="0" w:type="dxa"/>
          <w:left w:w="0" w:type="dxa"/>
          <w:bottom w:w="0" w:type="dxa"/>
          <w:right w:w="0" w:type="dxa"/>
        </w:tblCellMar>
      </w:tblPr>
      <w:tblGrid>
        <w:gridCol w:w="5260"/>
        <w:gridCol w:w="3140"/>
      </w:tblGrid>
      <w:tr>
        <w:tblPrEx>
          <w:tblCellMar>
            <w:top w:w="0" w:type="dxa"/>
            <w:left w:w="0" w:type="dxa"/>
            <w:bottom w:w="0" w:type="dxa"/>
            <w:right w:w="0" w:type="dxa"/>
          </w:tblCellMar>
        </w:tblPrEx>
        <w:trPr>
          <w:trHeight w:val="465" w:hRule="atLeast"/>
          <w:jc w:val="center"/>
        </w:trPr>
        <w:tc>
          <w:tcPr>
            <w:tcW w:w="5260" w:type="dxa"/>
            <w:noWrap/>
            <w:tcMar>
              <w:top w:w="15" w:type="dxa"/>
              <w:left w:w="15" w:type="dxa"/>
              <w:bottom w:w="0" w:type="dxa"/>
              <w:right w:w="15" w:type="dxa"/>
            </w:tcMar>
            <w:vAlign w:val="center"/>
          </w:tcPr>
          <w:p>
            <w:pPr>
              <w:widowControl/>
              <w:spacing w:line="240" w:lineRule="auto"/>
              <w:jc w:val="center"/>
              <w:rPr>
                <w:rFonts w:hint="eastAsia" w:ascii="黑体" w:hAnsi="黑体" w:eastAsia="黑体" w:cs="宋体"/>
                <w:color w:val="000000"/>
                <w:kern w:val="0"/>
                <w:sz w:val="36"/>
                <w:szCs w:val="36"/>
                <w:highlight w:val="none"/>
              </w:rPr>
            </w:pPr>
          </w:p>
        </w:tc>
        <w:tc>
          <w:tcPr>
            <w:tcW w:w="3140" w:type="dxa"/>
            <w:noWrap/>
            <w:tcMar>
              <w:top w:w="15" w:type="dxa"/>
              <w:left w:w="15" w:type="dxa"/>
              <w:bottom w:w="0" w:type="dxa"/>
              <w:right w:w="15" w:type="dxa"/>
            </w:tcMar>
            <w:vAlign w:val="center"/>
          </w:tcPr>
          <w:p>
            <w:pPr>
              <w:widowControl/>
              <w:spacing w:line="240" w:lineRule="auto"/>
              <w:jc w:val="righ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8"/>
                <w:szCs w:val="28"/>
                <w:highlight w:val="none"/>
              </w:rPr>
              <w:t>单位：万元</w:t>
            </w:r>
          </w:p>
        </w:tc>
      </w:tr>
      <w:tr>
        <w:tblPrEx>
          <w:tblCellMar>
            <w:top w:w="0" w:type="dxa"/>
            <w:left w:w="0" w:type="dxa"/>
            <w:bottom w:w="0" w:type="dxa"/>
            <w:right w:w="0" w:type="dxa"/>
          </w:tblCellMar>
        </w:tblPrEx>
        <w:trPr>
          <w:trHeight w:val="570" w:hRule="atLeast"/>
          <w:jc w:val="center"/>
        </w:trPr>
        <w:tc>
          <w:tcPr>
            <w:tcW w:w="5260"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       目</w:t>
            </w:r>
          </w:p>
        </w:tc>
        <w:tc>
          <w:tcPr>
            <w:tcW w:w="3140"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预算数</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政府性基金收入合计</w:t>
            </w:r>
          </w:p>
        </w:tc>
        <w:tc>
          <w:tcPr>
            <w:tcW w:w="3140"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240" w:lineRule="auto"/>
              <w:jc w:val="right"/>
              <w:rPr>
                <w:rFonts w:hint="default" w:ascii="宋体" w:hAnsi="宋体" w:eastAsia="宋体" w:cs="宋体"/>
                <w:b/>
                <w:bCs/>
                <w:color w:val="000000"/>
                <w:kern w:val="0"/>
                <w:sz w:val="24"/>
                <w:szCs w:val="24"/>
                <w:highlight w:val="none"/>
                <w:lang w:val="en-US"/>
              </w:rPr>
            </w:pPr>
            <w:r>
              <w:rPr>
                <w:rFonts w:hint="default" w:ascii="宋体" w:hAnsi="宋体" w:eastAsia="宋体" w:cs="宋体"/>
                <w:b/>
                <w:bCs/>
                <w:color w:val="000000"/>
                <w:kern w:val="0"/>
                <w:sz w:val="24"/>
                <w:szCs w:val="24"/>
                <w:highlight w:val="none"/>
                <w:lang w:val="en-US"/>
              </w:rPr>
              <w:t>204400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一、国有土地使用权出让收入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171285</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二、国有土地收益基金收入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9700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三、彩票公益金收入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220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四、城市基础设施配套费收入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eastAsia"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lang w:val="en-US"/>
              </w:rPr>
              <w:t>4530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五、污水处理费收入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eastAsia"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lang w:val="en-US"/>
              </w:rPr>
              <w:t>900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六、农业土地开发资金收入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100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七</w:t>
            </w:r>
            <w:r>
              <w:rPr>
                <w:rFonts w:hint="eastAsia" w:ascii="宋体" w:hAnsi="宋体" w:eastAsia="宋体" w:cs="宋体"/>
                <w:color w:val="000000"/>
                <w:kern w:val="0"/>
                <w:sz w:val="24"/>
                <w:szCs w:val="24"/>
                <w:highlight w:val="none"/>
                <w:lang w:eastAsia="zh-CN"/>
              </w:rPr>
              <w:t>、其他政府性基金专项债务对应项目专项收入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highlight w:val="none"/>
                <w:lang w:val="en-US"/>
              </w:rPr>
            </w:pPr>
            <w:r>
              <w:rPr>
                <w:rFonts w:hint="default" w:ascii="宋体" w:hAnsi="宋体" w:eastAsia="宋体" w:cs="宋体"/>
                <w:color w:val="000000"/>
                <w:kern w:val="0"/>
                <w:sz w:val="24"/>
                <w:szCs w:val="24"/>
                <w:highlight w:val="none"/>
                <w:lang w:val="en-US"/>
              </w:rPr>
              <w:t>17665</w:t>
            </w:r>
          </w:p>
        </w:tc>
      </w:tr>
      <w:tr>
        <w:tblPrEx>
          <w:tblCellMar>
            <w:top w:w="0" w:type="dxa"/>
            <w:left w:w="0" w:type="dxa"/>
            <w:bottom w:w="0" w:type="dxa"/>
            <w:right w:w="0" w:type="dxa"/>
          </w:tblCellMar>
        </w:tblPrEx>
        <w:trPr>
          <w:jc w:val="center"/>
        </w:trPr>
        <w:tc>
          <w:tcPr>
            <w:tcW w:w="5260" w:type="dxa"/>
            <w:noWrap w:val="0"/>
            <w:vAlign w:val="center"/>
          </w:tcPr>
          <w:p>
            <w:pPr>
              <w:widowControl/>
              <w:spacing w:line="240" w:lineRule="auto"/>
              <w:jc w:val="right"/>
              <w:rPr>
                <w:rFonts w:hint="eastAsia" w:ascii="宋体" w:hAnsi="宋体" w:eastAsia="宋体" w:cs="宋体"/>
                <w:color w:val="000000"/>
                <w:kern w:val="0"/>
                <w:sz w:val="24"/>
                <w:szCs w:val="24"/>
                <w:highlight w:val="none"/>
              </w:rPr>
            </w:pPr>
          </w:p>
        </w:tc>
        <w:tc>
          <w:tcPr>
            <w:tcW w:w="3140" w:type="dxa"/>
            <w:noWrap w:val="0"/>
            <w:vAlign w:val="center"/>
          </w:tcPr>
          <w:p>
            <w:pPr>
              <w:widowControl/>
              <w:spacing w:line="240" w:lineRule="auto"/>
              <w:jc w:val="left"/>
              <w:rPr>
                <w:rFonts w:eastAsia="Times New Roman"/>
                <w:kern w:val="0"/>
                <w:sz w:val="20"/>
                <w:highlight w:val="none"/>
              </w:rPr>
            </w:pPr>
          </w:p>
        </w:tc>
      </w:tr>
    </w:tbl>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2024年政府性基金支出情况表</w:t>
      </w:r>
    </w:p>
    <w:tbl>
      <w:tblPr>
        <w:tblStyle w:val="12"/>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5"/>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205" w:type="dxa"/>
            <w:tcBorders>
              <w:top w:val="nil"/>
              <w:left w:val="nil"/>
              <w:bottom w:val="nil"/>
              <w:right w:val="nil"/>
            </w:tcBorders>
            <w:noWrap/>
            <w:vAlign w:val="top"/>
          </w:tcPr>
          <w:p>
            <w:pPr>
              <w:jc w:val="left"/>
              <w:rPr>
                <w:rFonts w:hint="eastAsia" w:ascii="宋体" w:hAnsi="宋体" w:eastAsia="宋体" w:cs="宋体"/>
                <w:i w:val="0"/>
                <w:iCs w:val="0"/>
                <w:color w:val="000000"/>
                <w:sz w:val="22"/>
                <w:szCs w:val="22"/>
                <w:highlight w:val="none"/>
                <w:u w:val="none"/>
              </w:rPr>
            </w:pPr>
          </w:p>
        </w:tc>
        <w:tc>
          <w:tcPr>
            <w:tcW w:w="2775"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一、本级支出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highlight w:val="none"/>
                <w:u w:val="none"/>
              </w:rPr>
            </w:pPr>
            <w:r>
              <w:rPr>
                <w:rFonts w:hint="default" w:ascii="宋体" w:hAnsi="宋体" w:eastAsia="宋体" w:cs="宋体"/>
                <w:b/>
                <w:bCs/>
                <w:color w:val="000000"/>
                <w:kern w:val="0"/>
                <w:sz w:val="24"/>
                <w:szCs w:val="24"/>
                <w:highlight w:val="none"/>
                <w:lang w:val="en-US"/>
              </w:rPr>
              <w:t>100131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文化旅游体育与传媒支出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社会保障和就业支出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1345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城乡社区支出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66038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其他支出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债务付息支出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31309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债务发行费用支出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8"/>
                <w:szCs w:val="28"/>
                <w:highlight w:val="none"/>
                <w:u w:val="none"/>
              </w:rPr>
            </w:pPr>
            <w:r>
              <w:rPr>
                <w:rFonts w:hint="default" w:ascii="宋体" w:hAnsi="宋体" w:eastAsia="宋体" w:cs="宋体"/>
                <w:b/>
                <w:bCs/>
                <w:color w:val="000000"/>
                <w:kern w:val="0"/>
                <w:sz w:val="24"/>
                <w:szCs w:val="24"/>
                <w:highlight w:val="none"/>
                <w:lang w:val="en-US"/>
              </w:rPr>
              <w:t>100131</w:t>
            </w:r>
          </w:p>
        </w:tc>
      </w:tr>
    </w:tbl>
    <w:p>
      <w:pPr>
        <w:bidi w:val="0"/>
        <w:ind w:firstLine="204" w:firstLineChars="0"/>
        <w:jc w:val="left"/>
        <w:rPr>
          <w:rFonts w:hint="eastAsia"/>
          <w:highlight w:val="none"/>
          <w:lang w:val="en-US" w:eastAsia="zh-CN"/>
        </w:rPr>
      </w:pPr>
    </w:p>
    <w:p>
      <w:pPr>
        <w:bidi w:val="0"/>
        <w:ind w:firstLine="204" w:firstLineChars="0"/>
        <w:jc w:val="left"/>
        <w:rPr>
          <w:rFonts w:hint="eastAsia"/>
          <w:highlight w:val="none"/>
          <w:lang w:val="en-US" w:eastAsia="zh-CN"/>
        </w:rPr>
      </w:pPr>
    </w:p>
    <w:p>
      <w:pPr>
        <w:bidi w:val="0"/>
        <w:ind w:firstLine="204" w:firstLineChars="0"/>
        <w:jc w:val="left"/>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2024年社会保险基金收入情况表</w:t>
      </w:r>
    </w:p>
    <w:tbl>
      <w:tblPr>
        <w:tblStyle w:val="12"/>
        <w:tblW w:w="8662" w:type="dxa"/>
        <w:jc w:val="center"/>
        <w:tblLayout w:type="fixed"/>
        <w:tblCellMar>
          <w:top w:w="0" w:type="dxa"/>
          <w:left w:w="108" w:type="dxa"/>
          <w:bottom w:w="0" w:type="dxa"/>
          <w:right w:w="108" w:type="dxa"/>
        </w:tblCellMar>
      </w:tblPr>
      <w:tblGrid>
        <w:gridCol w:w="1444"/>
        <w:gridCol w:w="5647"/>
        <w:gridCol w:w="1571"/>
      </w:tblGrid>
      <w:tr>
        <w:tblPrEx>
          <w:tblCellMar>
            <w:top w:w="0" w:type="dxa"/>
            <w:left w:w="108" w:type="dxa"/>
            <w:bottom w:w="0" w:type="dxa"/>
            <w:right w:w="108" w:type="dxa"/>
          </w:tblCellMar>
        </w:tblPrEx>
        <w:trPr>
          <w:trHeight w:val="459" w:hRule="atLeast"/>
          <w:jc w:val="center"/>
        </w:trPr>
        <w:tc>
          <w:tcPr>
            <w:tcW w:w="1444"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highlight w:val="none"/>
              </w:rPr>
            </w:pPr>
          </w:p>
        </w:tc>
        <w:tc>
          <w:tcPr>
            <w:tcW w:w="5647"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highlight w:val="none"/>
              </w:rPr>
            </w:pPr>
          </w:p>
        </w:tc>
        <w:tc>
          <w:tcPr>
            <w:tcW w:w="1571" w:type="dxa"/>
            <w:tcBorders>
              <w:top w:val="nil"/>
              <w:left w:val="nil"/>
              <w:bottom w:val="nil"/>
              <w:right w:val="nil"/>
            </w:tcBorders>
            <w:noWrap/>
            <w:vAlign w:val="center"/>
          </w:tcPr>
          <w:p>
            <w:pPr>
              <w:widowControl/>
              <w:spacing w:line="240" w:lineRule="auto"/>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单位：万元</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科目编码</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  目</w:t>
            </w:r>
          </w:p>
        </w:tc>
        <w:tc>
          <w:tcPr>
            <w:tcW w:w="1571" w:type="dxa"/>
            <w:tcBorders>
              <w:top w:val="single" w:color="auto" w:sz="4" w:space="0"/>
              <w:left w:val="nil"/>
              <w:bottom w:val="single" w:color="auto" w:sz="4" w:space="0"/>
              <w:right w:val="single" w:color="auto" w:sz="4" w:space="0"/>
            </w:tcBorders>
            <w:noWrap w:val="0"/>
            <w:vAlign w:val="bottom"/>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预算数</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widowControl/>
              <w:spacing w:line="360" w:lineRule="auto"/>
              <w:jc w:val="left"/>
              <w:rPr>
                <w:rFonts w:hint="default" w:ascii="宋体" w:hAnsi="宋体" w:eastAsia="宋体"/>
                <w:b/>
                <w:bCs/>
                <w:color w:val="000000"/>
                <w:sz w:val="24"/>
                <w:szCs w:val="24"/>
                <w:highlight w:val="none"/>
                <w:lang w:val="en-US"/>
              </w:rPr>
            </w:pPr>
            <w:r>
              <w:rPr>
                <w:rFonts w:hint="default" w:ascii="宋体" w:hAnsi="宋体" w:eastAsia="宋体"/>
                <w:b/>
                <w:bCs/>
                <w:color w:val="000000"/>
                <w:sz w:val="24"/>
                <w:szCs w:val="24"/>
                <w:highlight w:val="none"/>
                <w:lang w:val="en-US"/>
              </w:rPr>
              <w:t>102</w:t>
            </w:r>
          </w:p>
        </w:tc>
        <w:tc>
          <w:tcPr>
            <w:tcW w:w="5647" w:type="dxa"/>
            <w:tcBorders>
              <w:top w:val="nil"/>
              <w:left w:val="single" w:color="auto" w:sz="4" w:space="0"/>
              <w:bottom w:val="single" w:color="auto" w:sz="4" w:space="0"/>
              <w:right w:val="single" w:color="auto" w:sz="4" w:space="0"/>
            </w:tcBorders>
            <w:noWrap w:val="0"/>
            <w:vAlign w:val="bottom"/>
          </w:tcPr>
          <w:p>
            <w:pPr>
              <w:widowControl/>
              <w:spacing w:line="360" w:lineRule="auto"/>
              <w:jc w:val="left"/>
              <w:rPr>
                <w:rFonts w:ascii="宋体" w:hAnsi="宋体" w:eastAsia="宋体"/>
                <w:b/>
                <w:bCs/>
                <w:color w:val="000000"/>
                <w:kern w:val="0"/>
                <w:sz w:val="24"/>
                <w:szCs w:val="24"/>
                <w:highlight w:val="none"/>
              </w:rPr>
            </w:pPr>
            <w:r>
              <w:rPr>
                <w:rFonts w:hint="eastAsia" w:ascii="宋体" w:hAnsi="宋体" w:eastAsia="宋体"/>
                <w:b/>
                <w:bCs/>
                <w:color w:val="000000"/>
                <w:sz w:val="24"/>
                <w:szCs w:val="24"/>
                <w:highlight w:val="none"/>
              </w:rPr>
              <w:t>社会保险基金收入合计</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b/>
                <w:color w:val="000000"/>
                <w:sz w:val="24"/>
                <w:szCs w:val="24"/>
                <w:highlight w:val="none"/>
                <w:lang w:val="en-US"/>
              </w:rPr>
            </w:pPr>
            <w:r>
              <w:rPr>
                <w:rFonts w:hint="eastAsia" w:ascii="宋体" w:hAnsi="宋体" w:eastAsia="宋体"/>
                <w:b/>
                <w:color w:val="000000"/>
                <w:sz w:val="24"/>
                <w:szCs w:val="24"/>
                <w:highlight w:val="none"/>
                <w:lang w:val="en-US" w:eastAsia="zh-CN"/>
              </w:rPr>
              <w:t>66003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sz w:val="24"/>
                <w:szCs w:val="24"/>
                <w:highlight w:val="none"/>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其中：保险费收入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31823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sz w:val="24"/>
                <w:szCs w:val="24"/>
                <w:highlight w:val="none"/>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财政补贴收入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31481</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sz w:val="24"/>
                <w:szCs w:val="24"/>
                <w:highlight w:val="none"/>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利息收入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612</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highlight w:val="none"/>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ascii="宋体" w:hAnsi="宋体" w:eastAsia="宋体"/>
                <w:bCs/>
                <w:sz w:val="24"/>
                <w:szCs w:val="24"/>
                <w:highlight w:val="none"/>
              </w:rPr>
            </w:pPr>
            <w:r>
              <w:rPr>
                <w:rFonts w:hint="eastAsia" w:ascii="宋体" w:hAnsi="宋体" w:eastAsia="宋体"/>
                <w:bCs/>
                <w:sz w:val="24"/>
                <w:szCs w:val="24"/>
                <w:highlight w:val="none"/>
              </w:rPr>
              <w:t>转移收入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673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highlight w:val="none"/>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
                <w:bCs/>
                <w:sz w:val="24"/>
                <w:szCs w:val="24"/>
                <w:highlight w:val="none"/>
              </w:rPr>
            </w:pPr>
            <w:r>
              <w:rPr>
                <w:rFonts w:hint="eastAsia" w:ascii="宋体" w:hAnsi="宋体" w:eastAsia="宋体"/>
                <w:bCs/>
                <w:sz w:val="24"/>
                <w:szCs w:val="24"/>
                <w:highlight w:val="none"/>
              </w:rPr>
              <w:t>其他</w:t>
            </w:r>
            <w:r>
              <w:rPr>
                <w:rFonts w:ascii="宋体" w:hAnsi="宋体" w:eastAsia="宋体"/>
                <w:bCs/>
                <w:sz w:val="24"/>
                <w:szCs w:val="24"/>
                <w:highlight w:val="none"/>
              </w:rPr>
              <w:t>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21</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highlight w:val="none"/>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highlight w:val="none"/>
              </w:rPr>
            </w:pPr>
            <w:r>
              <w:rPr>
                <w:rFonts w:hint="eastAsia" w:ascii="宋体" w:hAnsi="宋体" w:eastAsia="宋体"/>
                <w:bCs/>
                <w:sz w:val="24"/>
                <w:szCs w:val="24"/>
                <w:highlight w:val="none"/>
              </w:rPr>
              <w:t>委托</w:t>
            </w:r>
            <w:r>
              <w:rPr>
                <w:rFonts w:ascii="宋体" w:hAnsi="宋体" w:eastAsia="宋体"/>
                <w:bCs/>
                <w:sz w:val="24"/>
                <w:szCs w:val="24"/>
                <w:highlight w:val="none"/>
              </w:rPr>
              <w:t>投资收益</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1393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bCs/>
                <w:sz w:val="24"/>
                <w:szCs w:val="24"/>
                <w:highlight w:val="none"/>
              </w:rPr>
            </w:pPr>
            <w:r>
              <w:rPr>
                <w:rFonts w:hint="default" w:ascii="宋体" w:hAnsi="宋体" w:eastAsia="宋体"/>
                <w:b/>
                <w:bCs/>
                <w:sz w:val="24"/>
                <w:szCs w:val="24"/>
                <w:highlight w:val="none"/>
                <w:lang w:val="en-US" w:eastAsia="zh-CN"/>
              </w:rPr>
              <w:t>10210</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bCs/>
                <w:sz w:val="24"/>
                <w:szCs w:val="24"/>
                <w:highlight w:val="none"/>
              </w:rPr>
            </w:pPr>
            <w:r>
              <w:rPr>
                <w:rFonts w:hint="eastAsia" w:ascii="宋体" w:hAnsi="宋体" w:eastAsia="宋体"/>
                <w:b/>
                <w:bCs/>
                <w:sz w:val="24"/>
                <w:szCs w:val="24"/>
                <w:highlight w:val="none"/>
                <w:lang w:eastAsia="zh-CN"/>
              </w:rPr>
              <w:t>一</w:t>
            </w:r>
            <w:r>
              <w:rPr>
                <w:rFonts w:hint="eastAsia" w:ascii="宋体" w:hAnsi="宋体" w:eastAsia="宋体"/>
                <w:b/>
                <w:bCs/>
                <w:sz w:val="24"/>
                <w:szCs w:val="24"/>
                <w:highlight w:val="none"/>
              </w:rPr>
              <w:t>、城乡居民基本养老保险基金收入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b/>
                <w:sz w:val="24"/>
                <w:szCs w:val="24"/>
                <w:highlight w:val="none"/>
                <w:lang w:val="en-US" w:eastAsia="zh-CN"/>
              </w:rPr>
              <w:t>28994</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
                <w:bCs/>
                <w:sz w:val="24"/>
                <w:szCs w:val="24"/>
                <w:highlight w:val="none"/>
                <w:lang w:val="en-US" w:eastAsia="zh-CN"/>
              </w:rPr>
            </w:pPr>
            <w:r>
              <w:rPr>
                <w:rFonts w:hint="default" w:ascii="宋体" w:hAnsi="宋体" w:eastAsia="宋体"/>
                <w:sz w:val="24"/>
                <w:szCs w:val="24"/>
                <w:highlight w:val="none"/>
                <w:lang w:val="en-US"/>
              </w:rPr>
              <w:t>1021001</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 xml:space="preserve">    其中：保险费收入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b/>
                <w:sz w:val="24"/>
                <w:szCs w:val="24"/>
                <w:highlight w:val="none"/>
                <w:lang w:val="en-US"/>
              </w:rPr>
            </w:pPr>
            <w:r>
              <w:rPr>
                <w:rFonts w:hint="eastAsia" w:ascii="宋体" w:hAnsi="宋体" w:eastAsia="宋体"/>
                <w:sz w:val="24"/>
                <w:szCs w:val="24"/>
                <w:highlight w:val="none"/>
                <w:lang w:val="en-US" w:eastAsia="zh-CN"/>
              </w:rPr>
              <w:t>5596</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highlight w:val="none"/>
                <w:lang w:val="en-US"/>
              </w:rPr>
            </w:pPr>
            <w:r>
              <w:rPr>
                <w:rFonts w:hint="default" w:ascii="宋体" w:hAnsi="宋体" w:eastAsia="宋体"/>
                <w:sz w:val="24"/>
                <w:szCs w:val="24"/>
                <w:highlight w:val="none"/>
                <w:lang w:val="en-US"/>
              </w:rPr>
              <w:t>1021002</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财政补贴收入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21412</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highlight w:val="none"/>
                <w:lang w:val="en-US"/>
              </w:rPr>
            </w:pPr>
            <w:r>
              <w:rPr>
                <w:rFonts w:hint="default" w:ascii="宋体" w:hAnsi="宋体" w:eastAsia="宋体"/>
                <w:sz w:val="24"/>
                <w:szCs w:val="24"/>
                <w:highlight w:val="none"/>
                <w:lang w:val="en-US"/>
              </w:rPr>
              <w:t>1021003</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利息收入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575</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highlight w:val="none"/>
                <w:lang w:val="en-US"/>
              </w:rPr>
            </w:pPr>
            <w:r>
              <w:rPr>
                <w:rFonts w:hint="default" w:ascii="宋体" w:hAnsi="宋体" w:eastAsia="宋体"/>
                <w:bCs/>
                <w:sz w:val="24"/>
                <w:szCs w:val="24"/>
                <w:highlight w:val="none"/>
                <w:lang w:val="en-US"/>
              </w:rPr>
              <w:t>1101604</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jc w:val="left"/>
              <w:rPr>
                <w:rFonts w:ascii="宋体" w:hAnsi="宋体" w:eastAsia="宋体"/>
                <w:sz w:val="24"/>
                <w:szCs w:val="24"/>
                <w:highlight w:val="none"/>
              </w:rPr>
            </w:pPr>
            <w:r>
              <w:rPr>
                <w:rFonts w:hint="eastAsia" w:ascii="宋体" w:hAnsi="宋体" w:eastAsia="宋体"/>
                <w:bCs/>
                <w:sz w:val="24"/>
                <w:szCs w:val="24"/>
                <w:highlight w:val="none"/>
              </w:rPr>
              <w:t>转移收入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highlight w:val="none"/>
                <w:lang w:val="en-US"/>
              </w:rPr>
            </w:pPr>
            <w:r>
              <w:rPr>
                <w:rFonts w:hint="default" w:ascii="宋体" w:hAnsi="宋体" w:eastAsia="宋体"/>
                <w:bCs/>
                <w:sz w:val="24"/>
                <w:szCs w:val="24"/>
                <w:highlight w:val="none"/>
                <w:lang w:val="en-US"/>
              </w:rPr>
              <w:t>1021099</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jc w:val="left"/>
              <w:rPr>
                <w:rFonts w:ascii="宋体" w:hAnsi="宋体" w:eastAsia="宋体"/>
                <w:b/>
                <w:bCs/>
                <w:sz w:val="24"/>
                <w:szCs w:val="24"/>
                <w:highlight w:val="none"/>
              </w:rPr>
            </w:pPr>
            <w:r>
              <w:rPr>
                <w:rFonts w:hint="eastAsia" w:ascii="宋体" w:hAnsi="宋体" w:eastAsia="宋体"/>
                <w:bCs/>
                <w:sz w:val="24"/>
                <w:szCs w:val="24"/>
                <w:highlight w:val="none"/>
              </w:rPr>
              <w:t>其他</w:t>
            </w:r>
            <w:r>
              <w:rPr>
                <w:rFonts w:ascii="宋体" w:hAnsi="宋体" w:eastAsia="宋体"/>
                <w:bCs/>
                <w:sz w:val="24"/>
                <w:szCs w:val="24"/>
                <w:highlight w:val="none"/>
              </w:rPr>
              <w:t>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15</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highlight w:val="none"/>
                <w:lang w:val="en-US"/>
              </w:rPr>
            </w:pPr>
            <w:r>
              <w:rPr>
                <w:rFonts w:hint="default" w:ascii="宋体" w:hAnsi="宋体" w:eastAsia="宋体"/>
                <w:bCs/>
                <w:sz w:val="24"/>
                <w:szCs w:val="24"/>
                <w:highlight w:val="none"/>
                <w:lang w:val="en-US"/>
              </w:rPr>
              <w:t>1021004</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jc w:val="left"/>
              <w:rPr>
                <w:rFonts w:hint="eastAsia" w:ascii="宋体" w:hAnsi="宋体" w:eastAsia="宋体"/>
                <w:bCs/>
                <w:sz w:val="24"/>
                <w:szCs w:val="24"/>
                <w:highlight w:val="none"/>
              </w:rPr>
            </w:pPr>
            <w:r>
              <w:rPr>
                <w:rFonts w:hint="eastAsia" w:ascii="宋体" w:hAnsi="宋体" w:eastAsia="宋体"/>
                <w:bCs/>
                <w:sz w:val="24"/>
                <w:szCs w:val="24"/>
                <w:highlight w:val="none"/>
              </w:rPr>
              <w:t>委托投资</w:t>
            </w:r>
            <w:r>
              <w:rPr>
                <w:rFonts w:ascii="宋体" w:hAnsi="宋体" w:eastAsia="宋体"/>
                <w:bCs/>
                <w:sz w:val="24"/>
                <w:szCs w:val="24"/>
                <w:highlight w:val="none"/>
              </w:rPr>
              <w:t>收益</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1393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highlight w:val="none"/>
                <w:lang w:val="en-US"/>
              </w:rPr>
            </w:pPr>
            <w:r>
              <w:rPr>
                <w:rFonts w:hint="default" w:ascii="宋体" w:hAnsi="宋体" w:eastAsia="宋体"/>
                <w:b/>
                <w:bCs/>
                <w:sz w:val="24"/>
                <w:szCs w:val="24"/>
                <w:highlight w:val="none"/>
                <w:lang w:val="en-US" w:eastAsia="zh-CN"/>
              </w:rPr>
              <w:t>10211</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bCs/>
                <w:sz w:val="24"/>
                <w:szCs w:val="24"/>
                <w:highlight w:val="none"/>
              </w:rPr>
            </w:pPr>
            <w:r>
              <w:rPr>
                <w:rFonts w:hint="eastAsia" w:ascii="宋体" w:hAnsi="宋体" w:eastAsia="宋体"/>
                <w:b/>
                <w:bCs/>
                <w:sz w:val="24"/>
                <w:szCs w:val="24"/>
                <w:highlight w:val="none"/>
                <w:lang w:eastAsia="zh-CN"/>
              </w:rPr>
              <w:t>二</w:t>
            </w:r>
            <w:r>
              <w:rPr>
                <w:rFonts w:hint="eastAsia" w:ascii="宋体" w:hAnsi="宋体" w:eastAsia="宋体"/>
                <w:b/>
                <w:bCs/>
                <w:sz w:val="24"/>
                <w:szCs w:val="24"/>
                <w:highlight w:val="none"/>
              </w:rPr>
              <w:t>、机关事业单位基本养老保险基金收入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b/>
                <w:sz w:val="24"/>
                <w:szCs w:val="24"/>
                <w:highlight w:val="none"/>
                <w:lang w:val="en-US" w:eastAsia="zh-CN"/>
              </w:rPr>
              <w:t>37009</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
                <w:bCs/>
                <w:sz w:val="24"/>
                <w:szCs w:val="24"/>
                <w:highlight w:val="none"/>
                <w:lang w:val="en-US" w:eastAsia="zh-CN"/>
              </w:rPr>
            </w:pPr>
            <w:r>
              <w:rPr>
                <w:rFonts w:hint="default" w:ascii="宋体" w:hAnsi="宋体" w:eastAsia="宋体"/>
                <w:sz w:val="24"/>
                <w:szCs w:val="24"/>
                <w:highlight w:val="none"/>
                <w:lang w:val="en-US"/>
              </w:rPr>
              <w:t>1021101</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 xml:space="preserve">    其中：保险费收入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b/>
                <w:sz w:val="24"/>
                <w:szCs w:val="24"/>
                <w:highlight w:val="none"/>
                <w:lang w:val="en-US"/>
              </w:rPr>
            </w:pPr>
            <w:r>
              <w:rPr>
                <w:rFonts w:hint="eastAsia" w:ascii="宋体" w:hAnsi="宋体" w:eastAsia="宋体"/>
                <w:sz w:val="24"/>
                <w:szCs w:val="24"/>
                <w:highlight w:val="none"/>
                <w:lang w:val="en-US" w:eastAsia="zh-CN"/>
              </w:rPr>
              <w:t>26227</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highlight w:val="none"/>
                <w:lang w:val="en-US"/>
              </w:rPr>
            </w:pPr>
            <w:r>
              <w:rPr>
                <w:rFonts w:hint="default" w:ascii="宋体" w:hAnsi="宋体" w:eastAsia="宋体"/>
                <w:sz w:val="24"/>
                <w:szCs w:val="24"/>
                <w:highlight w:val="none"/>
                <w:lang w:val="en-US"/>
              </w:rPr>
              <w:t>1021102</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财政补贴收入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10069</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highlight w:val="none"/>
                <w:lang w:val="en-US"/>
              </w:rPr>
            </w:pPr>
            <w:r>
              <w:rPr>
                <w:rFonts w:hint="default" w:ascii="宋体" w:hAnsi="宋体" w:eastAsia="宋体"/>
                <w:sz w:val="24"/>
                <w:szCs w:val="24"/>
                <w:highlight w:val="none"/>
                <w:lang w:val="en-US"/>
              </w:rPr>
              <w:t>1021103</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利息收入</w:t>
            </w:r>
          </w:p>
        </w:tc>
        <w:tc>
          <w:tcPr>
            <w:tcW w:w="1571" w:type="dxa"/>
            <w:tcBorders>
              <w:top w:val="nil"/>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37</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default" w:ascii="宋体" w:hAnsi="宋体" w:eastAsia="宋体"/>
                <w:sz w:val="24"/>
                <w:szCs w:val="24"/>
                <w:highlight w:val="none"/>
                <w:lang w:val="en-US"/>
              </w:rPr>
            </w:pPr>
            <w:r>
              <w:rPr>
                <w:rFonts w:hint="default" w:ascii="宋体" w:hAnsi="宋体" w:eastAsia="宋体"/>
                <w:bCs/>
                <w:sz w:val="24"/>
                <w:szCs w:val="24"/>
                <w:highlight w:val="none"/>
                <w:lang w:val="en-US"/>
              </w:rPr>
              <w:t>1101605</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1200" w:firstLineChars="500"/>
              <w:rPr>
                <w:rFonts w:ascii="宋体" w:hAnsi="宋体" w:eastAsia="宋体"/>
                <w:sz w:val="24"/>
                <w:szCs w:val="24"/>
                <w:highlight w:val="none"/>
              </w:rPr>
            </w:pPr>
            <w:r>
              <w:rPr>
                <w:rFonts w:hint="eastAsia" w:ascii="宋体" w:hAnsi="宋体" w:eastAsia="宋体"/>
                <w:bCs/>
                <w:sz w:val="24"/>
                <w:szCs w:val="24"/>
                <w:highlight w:val="none"/>
              </w:rPr>
              <w:t>转移</w:t>
            </w:r>
            <w:r>
              <w:rPr>
                <w:rFonts w:ascii="宋体" w:hAnsi="宋体" w:eastAsia="宋体"/>
                <w:bCs/>
                <w:sz w:val="24"/>
                <w:szCs w:val="24"/>
                <w:highlight w:val="none"/>
              </w:rPr>
              <w:t>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670</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default" w:ascii="宋体" w:hAnsi="宋体" w:eastAsia="宋体"/>
                <w:bCs/>
                <w:sz w:val="24"/>
                <w:szCs w:val="24"/>
                <w:highlight w:val="none"/>
                <w:lang w:val="en-US"/>
              </w:rPr>
            </w:pPr>
            <w:r>
              <w:rPr>
                <w:rFonts w:hint="default" w:ascii="宋体" w:hAnsi="宋体" w:eastAsia="宋体"/>
                <w:bCs/>
                <w:sz w:val="24"/>
                <w:szCs w:val="24"/>
                <w:highlight w:val="none"/>
                <w:lang w:val="en-US"/>
              </w:rPr>
              <w:t>1021199</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highlight w:val="none"/>
              </w:rPr>
            </w:pPr>
            <w:r>
              <w:rPr>
                <w:rFonts w:hint="eastAsia" w:ascii="宋体" w:hAnsi="宋体" w:eastAsia="宋体"/>
                <w:bCs/>
                <w:sz w:val="24"/>
                <w:szCs w:val="24"/>
                <w:highlight w:val="none"/>
              </w:rPr>
              <w:t>其他收入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6</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left"/>
              <w:rPr>
                <w:rFonts w:hint="default" w:ascii="宋体" w:hAnsi="宋体" w:eastAsia="宋体"/>
                <w:bCs/>
                <w:sz w:val="24"/>
                <w:szCs w:val="24"/>
                <w:highlight w:val="none"/>
                <w:lang w:val="en-US"/>
              </w:rPr>
            </w:pPr>
            <w:r>
              <w:rPr>
                <w:rFonts w:hint="default" w:ascii="宋体" w:hAnsi="宋体" w:eastAsia="宋体"/>
                <w:b/>
                <w:bCs/>
                <w:color w:val="000000"/>
                <w:sz w:val="24"/>
                <w:szCs w:val="24"/>
                <w:highlight w:val="none"/>
                <w:lang w:val="en-US"/>
              </w:rPr>
              <w:t>102</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left"/>
              <w:rPr>
                <w:rFonts w:hint="eastAsia" w:ascii="宋体" w:hAnsi="宋体" w:eastAsia="宋体"/>
                <w:b/>
                <w:bCs/>
                <w:sz w:val="24"/>
                <w:szCs w:val="24"/>
                <w:highlight w:val="none"/>
              </w:rPr>
            </w:pPr>
            <w:r>
              <w:rPr>
                <w:rFonts w:hint="eastAsia" w:ascii="宋体" w:hAnsi="宋体" w:eastAsia="宋体"/>
                <w:b/>
                <w:bCs/>
                <w:color w:val="000000"/>
                <w:sz w:val="24"/>
                <w:szCs w:val="24"/>
                <w:highlight w:val="none"/>
              </w:rPr>
              <w:t>社会保险基金收入合计</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b/>
                <w:color w:val="000000"/>
                <w:sz w:val="24"/>
                <w:szCs w:val="24"/>
                <w:highlight w:val="none"/>
                <w:lang w:val="en-US" w:eastAsia="zh-CN"/>
              </w:rPr>
              <w:t>66003</w:t>
            </w:r>
          </w:p>
        </w:tc>
      </w:tr>
      <w:tr>
        <w:tblPrEx>
          <w:tblCellMar>
            <w:top w:w="0" w:type="dxa"/>
            <w:left w:w="108" w:type="dxa"/>
            <w:bottom w:w="0" w:type="dxa"/>
            <w:right w:w="108" w:type="dxa"/>
          </w:tblCellMar>
        </w:tblPrEx>
        <w:trPr>
          <w:trHeight w:val="45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highlight w:val="none"/>
                <w:lang w:val="en-US"/>
              </w:rPr>
            </w:pP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bCs/>
                <w:sz w:val="24"/>
                <w:szCs w:val="24"/>
                <w:highlight w:val="none"/>
              </w:rPr>
            </w:pPr>
            <w:r>
              <w:rPr>
                <w:rFonts w:hint="eastAsia" w:ascii="宋体" w:hAnsi="宋体" w:eastAsia="宋体"/>
                <w:sz w:val="24"/>
                <w:szCs w:val="24"/>
                <w:highlight w:val="none"/>
              </w:rPr>
              <w:t xml:space="preserve">    其中：保险费收入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center"/>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31823</w:t>
            </w:r>
          </w:p>
        </w:tc>
      </w:tr>
    </w:tbl>
    <w:p>
      <w:pPr>
        <w:pStyle w:val="2"/>
        <w:ind w:left="0" w:leftChars="0" w:firstLine="0" w:firstLineChars="0"/>
        <w:rPr>
          <w:highlight w:val="none"/>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2024年社会保险基金支出情况表</w:t>
      </w:r>
    </w:p>
    <w:tbl>
      <w:tblPr>
        <w:tblStyle w:val="12"/>
        <w:tblW w:w="8138" w:type="dxa"/>
        <w:jc w:val="center"/>
        <w:tblLayout w:type="fixed"/>
        <w:tblCellMar>
          <w:top w:w="0" w:type="dxa"/>
          <w:left w:w="108" w:type="dxa"/>
          <w:bottom w:w="0" w:type="dxa"/>
          <w:right w:w="108" w:type="dxa"/>
        </w:tblCellMar>
      </w:tblPr>
      <w:tblGrid>
        <w:gridCol w:w="1339"/>
        <w:gridCol w:w="5198"/>
        <w:gridCol w:w="1601"/>
      </w:tblGrid>
      <w:tr>
        <w:tblPrEx>
          <w:tblCellMar>
            <w:top w:w="0" w:type="dxa"/>
            <w:left w:w="108" w:type="dxa"/>
            <w:bottom w:w="0" w:type="dxa"/>
            <w:right w:w="108" w:type="dxa"/>
          </w:tblCellMar>
        </w:tblPrEx>
        <w:trPr>
          <w:trHeight w:val="429" w:hRule="atLeast"/>
          <w:jc w:val="center"/>
        </w:trPr>
        <w:tc>
          <w:tcPr>
            <w:tcW w:w="1339"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highlight w:val="none"/>
              </w:rPr>
            </w:pPr>
          </w:p>
        </w:tc>
        <w:tc>
          <w:tcPr>
            <w:tcW w:w="5198"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highlight w:val="none"/>
              </w:rPr>
            </w:pPr>
          </w:p>
        </w:tc>
        <w:tc>
          <w:tcPr>
            <w:tcW w:w="1601" w:type="dxa"/>
            <w:tcBorders>
              <w:top w:val="nil"/>
              <w:left w:val="nil"/>
              <w:bottom w:val="nil"/>
              <w:right w:val="nil"/>
            </w:tcBorders>
            <w:noWrap/>
            <w:vAlign w:val="center"/>
          </w:tcPr>
          <w:p>
            <w:pPr>
              <w:widowControl/>
              <w:spacing w:line="240" w:lineRule="auto"/>
              <w:jc w:val="righ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单位：万元</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科目编码</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  目</w:t>
            </w:r>
          </w:p>
        </w:tc>
        <w:tc>
          <w:tcPr>
            <w:tcW w:w="160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预算数</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default" w:ascii="宋体" w:hAnsi="宋体" w:eastAsia="宋体"/>
                <w:b/>
                <w:bCs/>
                <w:color w:val="000000"/>
                <w:sz w:val="24"/>
                <w:szCs w:val="24"/>
                <w:highlight w:val="none"/>
                <w:lang w:val="en-US"/>
              </w:rPr>
            </w:pPr>
            <w:r>
              <w:rPr>
                <w:rFonts w:hint="default" w:ascii="宋体" w:hAnsi="宋体" w:eastAsia="宋体"/>
                <w:b/>
                <w:bCs/>
                <w:color w:val="000000"/>
                <w:sz w:val="24"/>
                <w:szCs w:val="24"/>
                <w:highlight w:val="none"/>
                <w:lang w:val="en-US"/>
              </w:rPr>
              <w:t>209</w:t>
            </w:r>
          </w:p>
        </w:tc>
        <w:tc>
          <w:tcPr>
            <w:tcW w:w="519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宋体" w:hAnsi="宋体" w:eastAsia="宋体"/>
                <w:b/>
                <w:bCs/>
                <w:color w:val="000000"/>
                <w:kern w:val="0"/>
                <w:sz w:val="24"/>
                <w:szCs w:val="24"/>
                <w:highlight w:val="none"/>
              </w:rPr>
            </w:pPr>
            <w:r>
              <w:rPr>
                <w:rFonts w:hint="eastAsia" w:ascii="宋体" w:hAnsi="宋体" w:eastAsia="宋体"/>
                <w:b/>
                <w:bCs/>
                <w:color w:val="000000"/>
                <w:sz w:val="24"/>
                <w:szCs w:val="24"/>
                <w:highlight w:val="none"/>
              </w:rPr>
              <w:t>全区社会保险基金支出合计</w:t>
            </w:r>
          </w:p>
        </w:tc>
        <w:tc>
          <w:tcPr>
            <w:tcW w:w="1601"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lang w:val="en-US" w:eastAsia="zh-CN"/>
              </w:rPr>
              <w:t>61675</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olor w:val="000000"/>
                <w:sz w:val="24"/>
                <w:szCs w:val="24"/>
                <w:highlight w:val="none"/>
              </w:rPr>
            </w:pPr>
          </w:p>
        </w:tc>
        <w:tc>
          <w:tcPr>
            <w:tcW w:w="5198" w:type="dxa"/>
            <w:tcBorders>
              <w:top w:val="nil"/>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其中：社会保险待遇支出</w:t>
            </w:r>
          </w:p>
        </w:tc>
        <w:tc>
          <w:tcPr>
            <w:tcW w:w="1601"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61559</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olor w:val="000000"/>
                <w:sz w:val="24"/>
                <w:szCs w:val="24"/>
                <w:highlight w:val="none"/>
              </w:rPr>
            </w:pPr>
          </w:p>
        </w:tc>
        <w:tc>
          <w:tcPr>
            <w:tcW w:w="5198" w:type="dxa"/>
            <w:tcBorders>
              <w:top w:val="nil"/>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转移</w:t>
            </w:r>
            <w:r>
              <w:rPr>
                <w:rFonts w:ascii="宋体" w:hAnsi="宋体" w:eastAsia="宋体"/>
                <w:color w:val="000000"/>
                <w:sz w:val="24"/>
                <w:szCs w:val="24"/>
                <w:highlight w:val="none"/>
              </w:rPr>
              <w:t>支出</w:t>
            </w:r>
          </w:p>
        </w:tc>
        <w:tc>
          <w:tcPr>
            <w:tcW w:w="1601"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108</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olor w:val="000000"/>
                <w:sz w:val="24"/>
                <w:szCs w:val="24"/>
                <w:highlight w:val="none"/>
              </w:rPr>
            </w:pPr>
          </w:p>
        </w:tc>
        <w:tc>
          <w:tcPr>
            <w:tcW w:w="5198" w:type="dxa"/>
            <w:tcBorders>
              <w:top w:val="nil"/>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其他支出</w:t>
            </w:r>
          </w:p>
        </w:tc>
        <w:tc>
          <w:tcPr>
            <w:tcW w:w="1601"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8</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b/>
                <w:bCs/>
                <w:color w:val="000000"/>
                <w:sz w:val="24"/>
                <w:szCs w:val="24"/>
                <w:highlight w:val="none"/>
                <w:lang w:val="en-US" w:eastAsia="zh-CN"/>
              </w:rPr>
            </w:pPr>
            <w:r>
              <w:rPr>
                <w:rFonts w:hint="default" w:ascii="宋体" w:hAnsi="宋体" w:eastAsia="宋体"/>
                <w:b/>
                <w:bCs/>
                <w:color w:val="000000"/>
                <w:sz w:val="24"/>
                <w:szCs w:val="24"/>
                <w:highlight w:val="none"/>
                <w:lang w:val="en-US" w:eastAsia="zh-CN"/>
              </w:rPr>
              <w:t>20910</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eastAsia="zh-CN"/>
              </w:rPr>
              <w:t>一</w:t>
            </w:r>
            <w:r>
              <w:rPr>
                <w:rFonts w:hint="eastAsia" w:ascii="宋体" w:hAnsi="宋体" w:eastAsia="宋体"/>
                <w:b/>
                <w:bCs/>
                <w:color w:val="000000"/>
                <w:sz w:val="24"/>
                <w:szCs w:val="24"/>
                <w:highlight w:val="none"/>
              </w:rPr>
              <w:t>、城乡居民基本养老保险基金支出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lang w:val="en-US" w:eastAsia="zh-CN"/>
              </w:rPr>
              <w:t>24669</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highlight w:val="none"/>
                <w:lang w:val="en-US"/>
              </w:rPr>
            </w:pPr>
            <w:r>
              <w:rPr>
                <w:rFonts w:hint="default" w:ascii="宋体" w:hAnsi="宋体" w:eastAsia="宋体"/>
                <w:color w:val="000000"/>
                <w:sz w:val="24"/>
                <w:szCs w:val="24"/>
                <w:highlight w:val="none"/>
                <w:lang w:val="en-US"/>
              </w:rPr>
              <w:t>2091001</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其中：居民基础养老金支出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20658</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highlight w:val="none"/>
                <w:lang w:val="en-US"/>
              </w:rPr>
            </w:pPr>
            <w:r>
              <w:rPr>
                <w:rFonts w:hint="default" w:ascii="宋体" w:hAnsi="宋体" w:eastAsia="宋体"/>
                <w:color w:val="000000"/>
                <w:sz w:val="24"/>
                <w:szCs w:val="24"/>
                <w:highlight w:val="none"/>
                <w:lang w:val="en-US"/>
              </w:rPr>
              <w:t>2091002</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个人</w:t>
            </w:r>
            <w:r>
              <w:rPr>
                <w:rFonts w:ascii="宋体" w:hAnsi="宋体" w:eastAsia="宋体"/>
                <w:color w:val="000000"/>
                <w:sz w:val="24"/>
                <w:szCs w:val="24"/>
                <w:highlight w:val="none"/>
              </w:rPr>
              <w:t>账户支出</w:t>
            </w:r>
            <w:r>
              <w:rPr>
                <w:rFonts w:hint="eastAsia" w:ascii="宋体" w:hAnsi="宋体" w:eastAsia="宋体"/>
                <w:color w:val="000000"/>
                <w:sz w:val="24"/>
                <w:szCs w:val="24"/>
                <w:highlight w:val="none"/>
              </w:rPr>
              <w:t>养老</w:t>
            </w:r>
            <w:r>
              <w:rPr>
                <w:rFonts w:ascii="宋体" w:hAnsi="宋体" w:eastAsia="宋体"/>
                <w:color w:val="000000"/>
                <w:sz w:val="24"/>
                <w:szCs w:val="24"/>
                <w:highlight w:val="none"/>
              </w:rPr>
              <w:t>金</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4003</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highlight w:val="none"/>
                <w:lang w:val="en-US"/>
              </w:rPr>
            </w:pPr>
            <w:r>
              <w:rPr>
                <w:rFonts w:hint="default" w:ascii="宋体" w:hAnsi="宋体" w:eastAsia="宋体"/>
                <w:color w:val="000000"/>
                <w:sz w:val="24"/>
                <w:szCs w:val="24"/>
                <w:highlight w:val="none"/>
                <w:lang w:val="en-US"/>
              </w:rPr>
              <w:t>2301704</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转移支出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8</w:t>
            </w:r>
          </w:p>
        </w:tc>
      </w:tr>
      <w:tr>
        <w:tblPrEx>
          <w:tblCellMar>
            <w:top w:w="0" w:type="dxa"/>
            <w:left w:w="108" w:type="dxa"/>
            <w:bottom w:w="0" w:type="dxa"/>
            <w:right w:w="108" w:type="dxa"/>
          </w:tblCellMar>
        </w:tblPrEx>
        <w:trPr>
          <w:trHeight w:val="557"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s="Times New Roman"/>
                <w:color w:val="000000"/>
                <w:sz w:val="24"/>
                <w:szCs w:val="24"/>
                <w:highlight w:val="none"/>
                <w:lang w:val="en-US" w:eastAsia="zh-CN"/>
              </w:rPr>
            </w:pPr>
            <w:r>
              <w:rPr>
                <w:rFonts w:hint="default" w:ascii="宋体" w:hAnsi="宋体" w:eastAsia="宋体"/>
                <w:b/>
                <w:bCs/>
                <w:color w:val="000000"/>
                <w:sz w:val="24"/>
                <w:szCs w:val="24"/>
                <w:highlight w:val="none"/>
                <w:lang w:val="en-US" w:eastAsia="zh-CN"/>
              </w:rPr>
              <w:t>20911</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Times New Roman"/>
                <w:color w:val="000000"/>
                <w:sz w:val="24"/>
                <w:szCs w:val="24"/>
                <w:highlight w:val="none"/>
                <w:lang w:val="en-US" w:eastAsia="zh-CN"/>
              </w:rPr>
            </w:pPr>
            <w:r>
              <w:rPr>
                <w:rFonts w:hint="eastAsia" w:ascii="宋体" w:hAnsi="宋体" w:eastAsia="宋体"/>
                <w:b/>
                <w:bCs/>
                <w:color w:val="000000"/>
                <w:sz w:val="24"/>
                <w:szCs w:val="24"/>
                <w:highlight w:val="none"/>
                <w:lang w:eastAsia="zh-CN"/>
              </w:rPr>
              <w:t>二</w:t>
            </w:r>
            <w:r>
              <w:rPr>
                <w:rFonts w:hint="eastAsia" w:ascii="宋体" w:hAnsi="宋体" w:eastAsia="宋体"/>
                <w:b/>
                <w:bCs/>
                <w:color w:val="000000"/>
                <w:sz w:val="24"/>
                <w:szCs w:val="24"/>
                <w:highlight w:val="none"/>
              </w:rPr>
              <w:t>、机关事业单位基本养老保险基金支出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Times New Roman"/>
                <w:color w:val="000000"/>
                <w:sz w:val="24"/>
                <w:szCs w:val="24"/>
                <w:highlight w:val="none"/>
                <w:lang w:val="en-US"/>
              </w:rPr>
            </w:pPr>
            <w:r>
              <w:rPr>
                <w:rFonts w:hint="eastAsia" w:ascii="宋体" w:hAnsi="宋体" w:eastAsia="宋体"/>
                <w:b/>
                <w:bCs/>
                <w:color w:val="000000"/>
                <w:sz w:val="24"/>
                <w:szCs w:val="24"/>
                <w:highlight w:val="none"/>
                <w:lang w:val="en-US" w:eastAsia="zh-CN"/>
              </w:rPr>
              <w:t>37006</w:t>
            </w:r>
          </w:p>
        </w:tc>
      </w:tr>
      <w:tr>
        <w:tblPrEx>
          <w:tblCellMar>
            <w:top w:w="0" w:type="dxa"/>
            <w:left w:w="108" w:type="dxa"/>
            <w:bottom w:w="0" w:type="dxa"/>
            <w:right w:w="108" w:type="dxa"/>
          </w:tblCellMar>
        </w:tblPrEx>
        <w:trPr>
          <w:trHeight w:val="557"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b/>
                <w:bCs/>
                <w:color w:val="000000"/>
                <w:sz w:val="24"/>
                <w:szCs w:val="24"/>
                <w:highlight w:val="none"/>
                <w:lang w:val="en-US" w:eastAsia="zh-CN"/>
              </w:rPr>
            </w:pPr>
            <w:r>
              <w:rPr>
                <w:rFonts w:hint="default" w:ascii="宋体" w:hAnsi="宋体" w:eastAsia="宋体"/>
                <w:color w:val="000000"/>
                <w:sz w:val="24"/>
                <w:szCs w:val="24"/>
                <w:highlight w:val="none"/>
                <w:lang w:val="en-US"/>
              </w:rPr>
              <w:t>2091101</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b/>
                <w:bCs/>
                <w:color w:val="000000"/>
                <w:sz w:val="24"/>
                <w:szCs w:val="24"/>
                <w:highlight w:val="none"/>
              </w:rPr>
            </w:pPr>
            <w:r>
              <w:rPr>
                <w:rFonts w:hint="eastAsia" w:ascii="宋体" w:hAnsi="宋体" w:eastAsia="宋体"/>
                <w:color w:val="000000"/>
                <w:sz w:val="24"/>
                <w:szCs w:val="24"/>
                <w:highlight w:val="none"/>
              </w:rPr>
              <w:t>其中：基本养老</w:t>
            </w:r>
            <w:r>
              <w:rPr>
                <w:rFonts w:hint="eastAsia" w:ascii="宋体" w:hAnsi="宋体" w:eastAsia="宋体"/>
                <w:color w:val="000000"/>
                <w:sz w:val="24"/>
                <w:szCs w:val="24"/>
                <w:highlight w:val="none"/>
                <w:lang w:val="en-US" w:eastAsia="zh-CN"/>
              </w:rPr>
              <w:t>金</w:t>
            </w:r>
            <w:r>
              <w:rPr>
                <w:rFonts w:hint="eastAsia" w:ascii="宋体" w:hAnsi="宋体" w:eastAsia="宋体"/>
                <w:color w:val="000000"/>
                <w:sz w:val="24"/>
                <w:szCs w:val="24"/>
                <w:highlight w:val="none"/>
              </w:rPr>
              <w:t>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b/>
                <w:bCs/>
                <w:color w:val="000000"/>
                <w:sz w:val="24"/>
                <w:szCs w:val="24"/>
                <w:highlight w:val="none"/>
                <w:lang w:val="en-US"/>
              </w:rPr>
            </w:pPr>
            <w:r>
              <w:rPr>
                <w:rFonts w:hint="eastAsia" w:ascii="宋体" w:hAnsi="宋体" w:eastAsia="宋体"/>
                <w:color w:val="000000"/>
                <w:sz w:val="24"/>
                <w:szCs w:val="24"/>
                <w:highlight w:val="none"/>
                <w:lang w:val="en-US" w:eastAsia="zh-CN"/>
              </w:rPr>
              <w:t>36898</w:t>
            </w:r>
          </w:p>
        </w:tc>
      </w:tr>
      <w:tr>
        <w:tblPrEx>
          <w:tblCellMar>
            <w:top w:w="0" w:type="dxa"/>
            <w:left w:w="108" w:type="dxa"/>
            <w:bottom w:w="0" w:type="dxa"/>
            <w:right w:w="108" w:type="dxa"/>
          </w:tblCellMar>
        </w:tblPrEx>
        <w:trPr>
          <w:trHeight w:val="610"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highlight w:val="none"/>
                <w:lang w:val="en-US"/>
              </w:rPr>
            </w:pPr>
          </w:p>
          <w:p>
            <w:pPr>
              <w:spacing w:line="240" w:lineRule="exact"/>
              <w:jc w:val="left"/>
              <w:rPr>
                <w:rFonts w:hint="default" w:ascii="宋体" w:hAnsi="宋体" w:eastAsia="宋体"/>
                <w:color w:val="000000"/>
                <w:sz w:val="24"/>
                <w:szCs w:val="24"/>
                <w:highlight w:val="none"/>
                <w:lang w:val="en-US"/>
              </w:rPr>
            </w:pPr>
            <w:r>
              <w:rPr>
                <w:rFonts w:hint="default" w:ascii="宋体" w:hAnsi="宋体" w:eastAsia="宋体"/>
                <w:color w:val="000000"/>
                <w:sz w:val="24"/>
                <w:szCs w:val="24"/>
                <w:highlight w:val="none"/>
                <w:lang w:val="en-US"/>
              </w:rPr>
              <w:t>2301705</w:t>
            </w:r>
          </w:p>
          <w:p>
            <w:pPr>
              <w:spacing w:line="240" w:lineRule="exact"/>
              <w:jc w:val="left"/>
              <w:rPr>
                <w:rFonts w:hint="default" w:ascii="宋体" w:hAnsi="宋体" w:eastAsia="宋体"/>
                <w:color w:val="000000"/>
                <w:sz w:val="24"/>
                <w:szCs w:val="24"/>
                <w:highlight w:val="none"/>
                <w:lang w:val="en-US"/>
              </w:rPr>
            </w:pP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color w:val="000000"/>
                <w:sz w:val="24"/>
                <w:szCs w:val="24"/>
                <w:highlight w:val="none"/>
              </w:rPr>
            </w:pPr>
            <w:r>
              <w:rPr>
                <w:rFonts w:hint="default" w:ascii="宋体" w:hAnsi="宋体" w:eastAsia="宋体"/>
                <w:color w:val="000000"/>
                <w:sz w:val="24"/>
                <w:szCs w:val="24"/>
                <w:highlight w:val="none"/>
                <w:lang w:val="en-US"/>
              </w:rPr>
              <w:t xml:space="preserve">      </w:t>
            </w:r>
            <w:r>
              <w:rPr>
                <w:rFonts w:hint="eastAsia" w:ascii="宋体" w:hAnsi="宋体" w:eastAsia="宋体"/>
                <w:color w:val="000000"/>
                <w:sz w:val="24"/>
                <w:szCs w:val="24"/>
                <w:highlight w:val="none"/>
                <w:lang w:val="en-US" w:eastAsia="zh-CN"/>
              </w:rPr>
              <w:t>转移支出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100</w:t>
            </w:r>
          </w:p>
        </w:tc>
      </w:tr>
      <w:tr>
        <w:tblPrEx>
          <w:tblCellMar>
            <w:top w:w="0" w:type="dxa"/>
            <w:left w:w="108" w:type="dxa"/>
            <w:bottom w:w="0" w:type="dxa"/>
            <w:right w:w="108" w:type="dxa"/>
          </w:tblCellMar>
        </w:tblPrEx>
        <w:trPr>
          <w:trHeight w:val="610"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highlight w:val="none"/>
                <w:lang w:val="en-US"/>
              </w:rPr>
            </w:pPr>
            <w:r>
              <w:rPr>
                <w:rFonts w:hint="default" w:ascii="宋体" w:hAnsi="宋体" w:eastAsia="宋体"/>
                <w:color w:val="000000"/>
                <w:sz w:val="24"/>
                <w:szCs w:val="24"/>
                <w:highlight w:val="none"/>
                <w:lang w:val="en-US"/>
              </w:rPr>
              <w:t>2091199</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highlight w:val="none"/>
                <w:lang w:val="en-US" w:eastAsia="zh-CN"/>
              </w:rPr>
            </w:pPr>
            <w:r>
              <w:rPr>
                <w:rFonts w:hint="default" w:ascii="宋体" w:hAnsi="宋体" w:eastAsia="宋体"/>
                <w:color w:val="000000"/>
                <w:sz w:val="24"/>
                <w:szCs w:val="24"/>
                <w:highlight w:val="none"/>
                <w:lang w:val="en-US"/>
              </w:rPr>
              <w:t xml:space="preserve">      </w:t>
            </w:r>
            <w:r>
              <w:rPr>
                <w:rFonts w:hint="eastAsia" w:ascii="宋体" w:hAnsi="宋体" w:eastAsia="宋体"/>
                <w:color w:val="000000"/>
                <w:sz w:val="24"/>
                <w:szCs w:val="24"/>
                <w:highlight w:val="none"/>
                <w:lang w:val="en-US" w:eastAsia="zh-CN"/>
              </w:rPr>
              <w:t>其他支出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eastAsia="zh-CN"/>
              </w:rPr>
              <w:t>8</w:t>
            </w:r>
          </w:p>
        </w:tc>
      </w:tr>
    </w:tbl>
    <w:p>
      <w:pPr>
        <w:pStyle w:val="2"/>
        <w:ind w:left="0" w:leftChars="0" w:firstLine="0" w:firstLineChars="0"/>
        <w:rPr>
          <w:rFonts w:hint="eastAsia"/>
          <w:highlight w:val="none"/>
        </w:rPr>
      </w:pPr>
    </w:p>
    <w:p>
      <w:pPr>
        <w:pStyle w:val="16"/>
        <w:rPr>
          <w:rFonts w:hint="eastAsia"/>
          <w:highlight w:val="none"/>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-86995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仿宋"/>
                              <w:sz w:val="28"/>
                              <w:szCs w:val="32"/>
                            </w:rPr>
                          </w:pPr>
                          <w:r>
                            <w:rPr>
                              <w:rFonts w:eastAsia="仿宋"/>
                              <w:sz w:val="28"/>
                              <w:szCs w:val="32"/>
                            </w:rPr>
                            <w:fldChar w:fldCharType="begin"/>
                          </w:r>
                          <w:r>
                            <w:rPr>
                              <w:rFonts w:eastAsia="仿宋"/>
                              <w:sz w:val="28"/>
                              <w:szCs w:val="32"/>
                            </w:rPr>
                            <w:instrText xml:space="preserve"> PAGE  \* MERGEFORMAT </w:instrText>
                          </w:r>
                          <w:r>
                            <w:rPr>
                              <w:rFonts w:eastAsia="仿宋"/>
                              <w:sz w:val="28"/>
                              <w:szCs w:val="32"/>
                            </w:rPr>
                            <w:fldChar w:fldCharType="separate"/>
                          </w:r>
                          <w:r>
                            <w:rPr>
                              <w:rFonts w:eastAsia="仿宋"/>
                              <w:sz w:val="28"/>
                              <w:szCs w:val="32"/>
                            </w:rPr>
                            <w:t>1</w:t>
                          </w:r>
                          <w:r>
                            <w:rPr>
                              <w:rFonts w:eastAsia="仿宋"/>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5pt;height:144pt;width:144pt;mso-position-horizontal:outside;mso-position-horizontal-relative:margin;mso-wrap-style:none;z-index:251659264;mso-width-relative:page;mso-height-relative:page;" filled="f" stroked="f" coordsize="21600,21600" o:gfxdata="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Ncf8T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8"/>
                      <w:rPr>
                        <w:rFonts w:eastAsia="仿宋"/>
                        <w:sz w:val="28"/>
                        <w:szCs w:val="32"/>
                      </w:rPr>
                    </w:pPr>
                    <w:r>
                      <w:rPr>
                        <w:rFonts w:eastAsia="仿宋"/>
                        <w:sz w:val="28"/>
                        <w:szCs w:val="32"/>
                      </w:rPr>
                      <w:fldChar w:fldCharType="begin"/>
                    </w:r>
                    <w:r>
                      <w:rPr>
                        <w:rFonts w:eastAsia="仿宋"/>
                        <w:sz w:val="28"/>
                        <w:szCs w:val="32"/>
                      </w:rPr>
                      <w:instrText xml:space="preserve"> PAGE  \* MERGEFORMAT </w:instrText>
                    </w:r>
                    <w:r>
                      <w:rPr>
                        <w:rFonts w:eastAsia="仿宋"/>
                        <w:sz w:val="28"/>
                        <w:szCs w:val="32"/>
                      </w:rPr>
                      <w:fldChar w:fldCharType="separate"/>
                    </w:r>
                    <w:r>
                      <w:rPr>
                        <w:rFonts w:eastAsia="仿宋"/>
                        <w:sz w:val="28"/>
                        <w:szCs w:val="32"/>
                      </w:rPr>
                      <w:t>1</w:t>
                    </w:r>
                    <w:r>
                      <w:rPr>
                        <w:rFonts w:eastAsia="仿宋"/>
                        <w:sz w:val="28"/>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C7FF6"/>
    <w:rsid w:val="013158CB"/>
    <w:rsid w:val="018E74AA"/>
    <w:rsid w:val="01C67268"/>
    <w:rsid w:val="02276740"/>
    <w:rsid w:val="02D87499"/>
    <w:rsid w:val="037E0CF9"/>
    <w:rsid w:val="03970EF3"/>
    <w:rsid w:val="03E92C00"/>
    <w:rsid w:val="04593960"/>
    <w:rsid w:val="0467276E"/>
    <w:rsid w:val="04D77ED9"/>
    <w:rsid w:val="04D822CC"/>
    <w:rsid w:val="04E40DF1"/>
    <w:rsid w:val="04EB11D9"/>
    <w:rsid w:val="050F19D9"/>
    <w:rsid w:val="05295E06"/>
    <w:rsid w:val="057E4737"/>
    <w:rsid w:val="05A61F5C"/>
    <w:rsid w:val="06400FEF"/>
    <w:rsid w:val="066A01BE"/>
    <w:rsid w:val="067937BA"/>
    <w:rsid w:val="06A35673"/>
    <w:rsid w:val="06BA1438"/>
    <w:rsid w:val="06C569FA"/>
    <w:rsid w:val="06CB26BA"/>
    <w:rsid w:val="06F32E73"/>
    <w:rsid w:val="071D6BDA"/>
    <w:rsid w:val="07534192"/>
    <w:rsid w:val="078F7164"/>
    <w:rsid w:val="07950224"/>
    <w:rsid w:val="07996A3D"/>
    <w:rsid w:val="07FC3326"/>
    <w:rsid w:val="08033CE0"/>
    <w:rsid w:val="08043FB5"/>
    <w:rsid w:val="08337FE2"/>
    <w:rsid w:val="0839381B"/>
    <w:rsid w:val="085F363E"/>
    <w:rsid w:val="08845B88"/>
    <w:rsid w:val="08BB5CE2"/>
    <w:rsid w:val="08FD4104"/>
    <w:rsid w:val="08FE7F8D"/>
    <w:rsid w:val="09223108"/>
    <w:rsid w:val="092F499C"/>
    <w:rsid w:val="09400DDB"/>
    <w:rsid w:val="094A65DE"/>
    <w:rsid w:val="095B460D"/>
    <w:rsid w:val="0973309A"/>
    <w:rsid w:val="0A961183"/>
    <w:rsid w:val="0B22734D"/>
    <w:rsid w:val="0B394110"/>
    <w:rsid w:val="0B4B4EA8"/>
    <w:rsid w:val="0B5D1FDF"/>
    <w:rsid w:val="0BA30B27"/>
    <w:rsid w:val="0BB7512F"/>
    <w:rsid w:val="0BF56429"/>
    <w:rsid w:val="0C331791"/>
    <w:rsid w:val="0C516199"/>
    <w:rsid w:val="0C557747"/>
    <w:rsid w:val="0C5701CA"/>
    <w:rsid w:val="0C6128C0"/>
    <w:rsid w:val="0C686768"/>
    <w:rsid w:val="0C993C46"/>
    <w:rsid w:val="0CFF1131"/>
    <w:rsid w:val="0D0E355B"/>
    <w:rsid w:val="0D223618"/>
    <w:rsid w:val="0D29449C"/>
    <w:rsid w:val="0D541F1C"/>
    <w:rsid w:val="0D572AA2"/>
    <w:rsid w:val="0D6D70C2"/>
    <w:rsid w:val="0DB20D09"/>
    <w:rsid w:val="0DDB0848"/>
    <w:rsid w:val="0DED11CC"/>
    <w:rsid w:val="0E733BE8"/>
    <w:rsid w:val="0EB80EE7"/>
    <w:rsid w:val="0EE67E01"/>
    <w:rsid w:val="0F260E02"/>
    <w:rsid w:val="0F684B57"/>
    <w:rsid w:val="0F7936BA"/>
    <w:rsid w:val="0FB30D28"/>
    <w:rsid w:val="11803EC2"/>
    <w:rsid w:val="11D336E6"/>
    <w:rsid w:val="11DD0D9F"/>
    <w:rsid w:val="11E001D5"/>
    <w:rsid w:val="11FA160D"/>
    <w:rsid w:val="120E466E"/>
    <w:rsid w:val="12102445"/>
    <w:rsid w:val="125A5D34"/>
    <w:rsid w:val="12B807D8"/>
    <w:rsid w:val="12B90746"/>
    <w:rsid w:val="132D2C84"/>
    <w:rsid w:val="134C373C"/>
    <w:rsid w:val="138C6520"/>
    <w:rsid w:val="13931452"/>
    <w:rsid w:val="139D148E"/>
    <w:rsid w:val="13C0396E"/>
    <w:rsid w:val="13C1487D"/>
    <w:rsid w:val="13DD5026"/>
    <w:rsid w:val="141A282E"/>
    <w:rsid w:val="14272BC7"/>
    <w:rsid w:val="143B7FF8"/>
    <w:rsid w:val="145B58F4"/>
    <w:rsid w:val="14A23AEA"/>
    <w:rsid w:val="14A74714"/>
    <w:rsid w:val="14EC0BF8"/>
    <w:rsid w:val="152B5553"/>
    <w:rsid w:val="153E39FD"/>
    <w:rsid w:val="154868CD"/>
    <w:rsid w:val="157736D8"/>
    <w:rsid w:val="157E0ECE"/>
    <w:rsid w:val="15990ED6"/>
    <w:rsid w:val="15D33694"/>
    <w:rsid w:val="15D93B67"/>
    <w:rsid w:val="15F72989"/>
    <w:rsid w:val="16250ADB"/>
    <w:rsid w:val="162D54E4"/>
    <w:rsid w:val="167A58EE"/>
    <w:rsid w:val="1681379E"/>
    <w:rsid w:val="16884C04"/>
    <w:rsid w:val="16E42A17"/>
    <w:rsid w:val="16FA5506"/>
    <w:rsid w:val="17496F91"/>
    <w:rsid w:val="17650D6F"/>
    <w:rsid w:val="17AC4229"/>
    <w:rsid w:val="17B60642"/>
    <w:rsid w:val="17EE3251"/>
    <w:rsid w:val="17EF364C"/>
    <w:rsid w:val="18600DAB"/>
    <w:rsid w:val="18843F17"/>
    <w:rsid w:val="189A336A"/>
    <w:rsid w:val="18B2002D"/>
    <w:rsid w:val="192F7735"/>
    <w:rsid w:val="19C80559"/>
    <w:rsid w:val="1A9A0F2F"/>
    <w:rsid w:val="1AC720AF"/>
    <w:rsid w:val="1ACE5888"/>
    <w:rsid w:val="1B0921EA"/>
    <w:rsid w:val="1B5C41F3"/>
    <w:rsid w:val="1B632815"/>
    <w:rsid w:val="1BB41653"/>
    <w:rsid w:val="1BE247F4"/>
    <w:rsid w:val="1C220F17"/>
    <w:rsid w:val="1C942022"/>
    <w:rsid w:val="1CBD494F"/>
    <w:rsid w:val="1D6E5E93"/>
    <w:rsid w:val="1D8B26CA"/>
    <w:rsid w:val="1E0B605A"/>
    <w:rsid w:val="1EAD1FE0"/>
    <w:rsid w:val="1F074DB5"/>
    <w:rsid w:val="1F0E1BAD"/>
    <w:rsid w:val="1F0F4603"/>
    <w:rsid w:val="1FE12520"/>
    <w:rsid w:val="201266DE"/>
    <w:rsid w:val="20174BCB"/>
    <w:rsid w:val="20495333"/>
    <w:rsid w:val="20A47F1D"/>
    <w:rsid w:val="20B1480A"/>
    <w:rsid w:val="20DA5DDE"/>
    <w:rsid w:val="210C6647"/>
    <w:rsid w:val="211017CA"/>
    <w:rsid w:val="216102D0"/>
    <w:rsid w:val="21930DCA"/>
    <w:rsid w:val="21A176F3"/>
    <w:rsid w:val="21B75D9D"/>
    <w:rsid w:val="21B84273"/>
    <w:rsid w:val="22011A68"/>
    <w:rsid w:val="2210639B"/>
    <w:rsid w:val="22157F98"/>
    <w:rsid w:val="22163297"/>
    <w:rsid w:val="22185880"/>
    <w:rsid w:val="222B101D"/>
    <w:rsid w:val="22914E91"/>
    <w:rsid w:val="22B41C29"/>
    <w:rsid w:val="22D8243B"/>
    <w:rsid w:val="22F8166B"/>
    <w:rsid w:val="230D4177"/>
    <w:rsid w:val="23197621"/>
    <w:rsid w:val="233674F1"/>
    <w:rsid w:val="234B10F5"/>
    <w:rsid w:val="237810A4"/>
    <w:rsid w:val="24352D3A"/>
    <w:rsid w:val="24475880"/>
    <w:rsid w:val="248E71B6"/>
    <w:rsid w:val="24C6757B"/>
    <w:rsid w:val="255A0E55"/>
    <w:rsid w:val="25A578D5"/>
    <w:rsid w:val="25DD24AD"/>
    <w:rsid w:val="26141908"/>
    <w:rsid w:val="26922548"/>
    <w:rsid w:val="26A70CCE"/>
    <w:rsid w:val="26F25A53"/>
    <w:rsid w:val="26F25F14"/>
    <w:rsid w:val="26FA48AE"/>
    <w:rsid w:val="27202AF6"/>
    <w:rsid w:val="2746412A"/>
    <w:rsid w:val="27657FB0"/>
    <w:rsid w:val="27732FE1"/>
    <w:rsid w:val="283A50A6"/>
    <w:rsid w:val="28457752"/>
    <w:rsid w:val="285D4B5C"/>
    <w:rsid w:val="286C2D61"/>
    <w:rsid w:val="2908153C"/>
    <w:rsid w:val="294E3079"/>
    <w:rsid w:val="295938E3"/>
    <w:rsid w:val="299F1E59"/>
    <w:rsid w:val="29D5322D"/>
    <w:rsid w:val="2A2E4BC0"/>
    <w:rsid w:val="2AC52B9E"/>
    <w:rsid w:val="2B7B1DFB"/>
    <w:rsid w:val="2BBB0ECF"/>
    <w:rsid w:val="2BCE5EE0"/>
    <w:rsid w:val="2C27277D"/>
    <w:rsid w:val="2C28363B"/>
    <w:rsid w:val="2C5867CF"/>
    <w:rsid w:val="2C5B12E8"/>
    <w:rsid w:val="2C8E45E3"/>
    <w:rsid w:val="2CCF5514"/>
    <w:rsid w:val="2CD340D2"/>
    <w:rsid w:val="2CF53EA9"/>
    <w:rsid w:val="2D265E64"/>
    <w:rsid w:val="2D2936DF"/>
    <w:rsid w:val="2D362BF6"/>
    <w:rsid w:val="2D3A7DC9"/>
    <w:rsid w:val="2D3F104B"/>
    <w:rsid w:val="2D3F7AA1"/>
    <w:rsid w:val="2D5002DA"/>
    <w:rsid w:val="2D7733A3"/>
    <w:rsid w:val="2DCA2418"/>
    <w:rsid w:val="2DDD551E"/>
    <w:rsid w:val="2DF32879"/>
    <w:rsid w:val="2E153659"/>
    <w:rsid w:val="2E203BBC"/>
    <w:rsid w:val="2E277CC4"/>
    <w:rsid w:val="2F543F77"/>
    <w:rsid w:val="2F8A6C43"/>
    <w:rsid w:val="2FCE4F8D"/>
    <w:rsid w:val="301607F4"/>
    <w:rsid w:val="30401638"/>
    <w:rsid w:val="3049706E"/>
    <w:rsid w:val="304C69F8"/>
    <w:rsid w:val="309700A8"/>
    <w:rsid w:val="30C62B96"/>
    <w:rsid w:val="312E3892"/>
    <w:rsid w:val="31453464"/>
    <w:rsid w:val="31490512"/>
    <w:rsid w:val="31565C87"/>
    <w:rsid w:val="31666392"/>
    <w:rsid w:val="316F462F"/>
    <w:rsid w:val="31BD65A6"/>
    <w:rsid w:val="31CC0DBF"/>
    <w:rsid w:val="31D27B39"/>
    <w:rsid w:val="31E7630B"/>
    <w:rsid w:val="31EA0843"/>
    <w:rsid w:val="320226BB"/>
    <w:rsid w:val="324B7DB0"/>
    <w:rsid w:val="32751217"/>
    <w:rsid w:val="32BF25BD"/>
    <w:rsid w:val="32E81053"/>
    <w:rsid w:val="33A17526"/>
    <w:rsid w:val="33A64935"/>
    <w:rsid w:val="33A71D03"/>
    <w:rsid w:val="33AE2DF3"/>
    <w:rsid w:val="33B537B2"/>
    <w:rsid w:val="340940D6"/>
    <w:rsid w:val="34972557"/>
    <w:rsid w:val="34AC5114"/>
    <w:rsid w:val="35520842"/>
    <w:rsid w:val="3572573D"/>
    <w:rsid w:val="35A87AF3"/>
    <w:rsid w:val="35B37625"/>
    <w:rsid w:val="363F46D0"/>
    <w:rsid w:val="36506685"/>
    <w:rsid w:val="36681236"/>
    <w:rsid w:val="368E5BE7"/>
    <w:rsid w:val="3697122D"/>
    <w:rsid w:val="36A82CCD"/>
    <w:rsid w:val="36F749A7"/>
    <w:rsid w:val="37006FE2"/>
    <w:rsid w:val="373E6FB2"/>
    <w:rsid w:val="37423CAD"/>
    <w:rsid w:val="375223CF"/>
    <w:rsid w:val="37556BD7"/>
    <w:rsid w:val="379277BF"/>
    <w:rsid w:val="37AA6032"/>
    <w:rsid w:val="383508FC"/>
    <w:rsid w:val="3851639F"/>
    <w:rsid w:val="38885395"/>
    <w:rsid w:val="38997682"/>
    <w:rsid w:val="39B24772"/>
    <w:rsid w:val="39BD6FC6"/>
    <w:rsid w:val="3A556BAF"/>
    <w:rsid w:val="3A6A61E5"/>
    <w:rsid w:val="3A8A3D37"/>
    <w:rsid w:val="3AE07043"/>
    <w:rsid w:val="3AF61456"/>
    <w:rsid w:val="3B1341A7"/>
    <w:rsid w:val="3B3224BA"/>
    <w:rsid w:val="3B8A161E"/>
    <w:rsid w:val="3BD43417"/>
    <w:rsid w:val="3C01545E"/>
    <w:rsid w:val="3C7D2A83"/>
    <w:rsid w:val="3C7F7BF7"/>
    <w:rsid w:val="3C930CED"/>
    <w:rsid w:val="3C964AFC"/>
    <w:rsid w:val="3CA36A53"/>
    <w:rsid w:val="3CA64738"/>
    <w:rsid w:val="3CBD0C30"/>
    <w:rsid w:val="3CCA0129"/>
    <w:rsid w:val="3D0D796C"/>
    <w:rsid w:val="3D6B67D2"/>
    <w:rsid w:val="3DD43263"/>
    <w:rsid w:val="3DD66F74"/>
    <w:rsid w:val="3E7E7594"/>
    <w:rsid w:val="3EAD487E"/>
    <w:rsid w:val="3EDE7436"/>
    <w:rsid w:val="3F357535"/>
    <w:rsid w:val="3F3A0D21"/>
    <w:rsid w:val="3F6425F4"/>
    <w:rsid w:val="3F650DAA"/>
    <w:rsid w:val="3F684F93"/>
    <w:rsid w:val="3F6B3D19"/>
    <w:rsid w:val="3F7A3C6B"/>
    <w:rsid w:val="3FA77F97"/>
    <w:rsid w:val="3FAD38E3"/>
    <w:rsid w:val="402E72DA"/>
    <w:rsid w:val="40321960"/>
    <w:rsid w:val="40610FCA"/>
    <w:rsid w:val="40775150"/>
    <w:rsid w:val="40B97F5D"/>
    <w:rsid w:val="413773A1"/>
    <w:rsid w:val="41915865"/>
    <w:rsid w:val="41AE2C4F"/>
    <w:rsid w:val="421538F8"/>
    <w:rsid w:val="424F35E1"/>
    <w:rsid w:val="42880F25"/>
    <w:rsid w:val="42F83EEA"/>
    <w:rsid w:val="43513BE1"/>
    <w:rsid w:val="4376762D"/>
    <w:rsid w:val="437C44CA"/>
    <w:rsid w:val="441C5AD0"/>
    <w:rsid w:val="4430746A"/>
    <w:rsid w:val="445A06D6"/>
    <w:rsid w:val="447943E7"/>
    <w:rsid w:val="44996E9A"/>
    <w:rsid w:val="44C41167"/>
    <w:rsid w:val="44F71432"/>
    <w:rsid w:val="451B5649"/>
    <w:rsid w:val="451E2976"/>
    <w:rsid w:val="451E47A1"/>
    <w:rsid w:val="45253332"/>
    <w:rsid w:val="45310312"/>
    <w:rsid w:val="45DD5636"/>
    <w:rsid w:val="45EF7A7F"/>
    <w:rsid w:val="46033BF9"/>
    <w:rsid w:val="46132E83"/>
    <w:rsid w:val="463A3542"/>
    <w:rsid w:val="465A3516"/>
    <w:rsid w:val="46807080"/>
    <w:rsid w:val="468F024E"/>
    <w:rsid w:val="46E95465"/>
    <w:rsid w:val="4731460F"/>
    <w:rsid w:val="479F7EC6"/>
    <w:rsid w:val="47C66A46"/>
    <w:rsid w:val="47F55D34"/>
    <w:rsid w:val="48226466"/>
    <w:rsid w:val="4828256E"/>
    <w:rsid w:val="486F6565"/>
    <w:rsid w:val="48744BEB"/>
    <w:rsid w:val="487B2B51"/>
    <w:rsid w:val="487B7125"/>
    <w:rsid w:val="48AA0A8A"/>
    <w:rsid w:val="48C25943"/>
    <w:rsid w:val="48C33572"/>
    <w:rsid w:val="49064E04"/>
    <w:rsid w:val="49430333"/>
    <w:rsid w:val="496307FC"/>
    <w:rsid w:val="49A745F8"/>
    <w:rsid w:val="49BA4B0C"/>
    <w:rsid w:val="49C41134"/>
    <w:rsid w:val="4A697ED8"/>
    <w:rsid w:val="4A6E3AAD"/>
    <w:rsid w:val="4A7346B1"/>
    <w:rsid w:val="4A8329BC"/>
    <w:rsid w:val="4ABC3611"/>
    <w:rsid w:val="4ACA7879"/>
    <w:rsid w:val="4B054C48"/>
    <w:rsid w:val="4B304BAF"/>
    <w:rsid w:val="4BB23765"/>
    <w:rsid w:val="4BC423A1"/>
    <w:rsid w:val="4C140E7B"/>
    <w:rsid w:val="4C6F23A8"/>
    <w:rsid w:val="4C714B34"/>
    <w:rsid w:val="4C885DC8"/>
    <w:rsid w:val="4C93578A"/>
    <w:rsid w:val="4CC04859"/>
    <w:rsid w:val="4CFC1B5C"/>
    <w:rsid w:val="4D670057"/>
    <w:rsid w:val="4DCC655E"/>
    <w:rsid w:val="4E1431C7"/>
    <w:rsid w:val="4E1F31F2"/>
    <w:rsid w:val="4E594017"/>
    <w:rsid w:val="4E6776E2"/>
    <w:rsid w:val="4ED107DE"/>
    <w:rsid w:val="4FA252B3"/>
    <w:rsid w:val="4FA541C0"/>
    <w:rsid w:val="4FF560BE"/>
    <w:rsid w:val="500D6A78"/>
    <w:rsid w:val="505B028A"/>
    <w:rsid w:val="505F648C"/>
    <w:rsid w:val="506A1412"/>
    <w:rsid w:val="50E338A4"/>
    <w:rsid w:val="51501AF7"/>
    <w:rsid w:val="51750A31"/>
    <w:rsid w:val="51AA7C07"/>
    <w:rsid w:val="51B41DC4"/>
    <w:rsid w:val="51E43F9B"/>
    <w:rsid w:val="521767FF"/>
    <w:rsid w:val="526C6A6C"/>
    <w:rsid w:val="526F4850"/>
    <w:rsid w:val="52840BEF"/>
    <w:rsid w:val="528F4A01"/>
    <w:rsid w:val="52BC67CA"/>
    <w:rsid w:val="52E12AAE"/>
    <w:rsid w:val="535B2E50"/>
    <w:rsid w:val="53A0176D"/>
    <w:rsid w:val="53B15218"/>
    <w:rsid w:val="53B52F0B"/>
    <w:rsid w:val="5456436D"/>
    <w:rsid w:val="54637DFF"/>
    <w:rsid w:val="54744660"/>
    <w:rsid w:val="5475139F"/>
    <w:rsid w:val="54C2734A"/>
    <w:rsid w:val="552272C4"/>
    <w:rsid w:val="55457176"/>
    <w:rsid w:val="55492297"/>
    <w:rsid w:val="555B0397"/>
    <w:rsid w:val="55881008"/>
    <w:rsid w:val="564E7C46"/>
    <w:rsid w:val="56611E44"/>
    <w:rsid w:val="567F6E75"/>
    <w:rsid w:val="56C56E5C"/>
    <w:rsid w:val="56D67884"/>
    <w:rsid w:val="57326CBD"/>
    <w:rsid w:val="573F3281"/>
    <w:rsid w:val="57992320"/>
    <w:rsid w:val="57F441CE"/>
    <w:rsid w:val="58122C57"/>
    <w:rsid w:val="584D3DDB"/>
    <w:rsid w:val="58641614"/>
    <w:rsid w:val="58AE1896"/>
    <w:rsid w:val="58E65ABE"/>
    <w:rsid w:val="59061A30"/>
    <w:rsid w:val="59481887"/>
    <w:rsid w:val="594D6008"/>
    <w:rsid w:val="5A3745AC"/>
    <w:rsid w:val="5A6A5B04"/>
    <w:rsid w:val="5AAE7B53"/>
    <w:rsid w:val="5B0F4A76"/>
    <w:rsid w:val="5B301727"/>
    <w:rsid w:val="5BFF3A5C"/>
    <w:rsid w:val="5C104619"/>
    <w:rsid w:val="5D0B6D95"/>
    <w:rsid w:val="5D7957EA"/>
    <w:rsid w:val="5D7F5AF4"/>
    <w:rsid w:val="5D9975BA"/>
    <w:rsid w:val="5DAF1B6F"/>
    <w:rsid w:val="5DDF61DF"/>
    <w:rsid w:val="5DEE62F1"/>
    <w:rsid w:val="5E042315"/>
    <w:rsid w:val="5E3E4C2D"/>
    <w:rsid w:val="5E583259"/>
    <w:rsid w:val="5E5A3CEF"/>
    <w:rsid w:val="5EF07AF3"/>
    <w:rsid w:val="5EFB0B5D"/>
    <w:rsid w:val="5F0955FB"/>
    <w:rsid w:val="5F4B2D0A"/>
    <w:rsid w:val="5F6F4BC7"/>
    <w:rsid w:val="5FC14BD7"/>
    <w:rsid w:val="5FF63F7F"/>
    <w:rsid w:val="601879B6"/>
    <w:rsid w:val="603B41E2"/>
    <w:rsid w:val="60410B7B"/>
    <w:rsid w:val="60A613CD"/>
    <w:rsid w:val="60D3721E"/>
    <w:rsid w:val="60E03B7C"/>
    <w:rsid w:val="6104413C"/>
    <w:rsid w:val="61451EBB"/>
    <w:rsid w:val="61B73BAC"/>
    <w:rsid w:val="61E200DF"/>
    <w:rsid w:val="61E20F62"/>
    <w:rsid w:val="61EF75BD"/>
    <w:rsid w:val="626B0C80"/>
    <w:rsid w:val="62B87624"/>
    <w:rsid w:val="62CC15BD"/>
    <w:rsid w:val="63340B4D"/>
    <w:rsid w:val="633C2FF7"/>
    <w:rsid w:val="634C083A"/>
    <w:rsid w:val="6370220E"/>
    <w:rsid w:val="63AA400F"/>
    <w:rsid w:val="63F01C15"/>
    <w:rsid w:val="64020D48"/>
    <w:rsid w:val="641F3245"/>
    <w:rsid w:val="643F3505"/>
    <w:rsid w:val="644F6A1D"/>
    <w:rsid w:val="646D1B4F"/>
    <w:rsid w:val="64713DD8"/>
    <w:rsid w:val="64905C32"/>
    <w:rsid w:val="64982919"/>
    <w:rsid w:val="64DA02BA"/>
    <w:rsid w:val="65211A1B"/>
    <w:rsid w:val="652F768E"/>
    <w:rsid w:val="653D3F7B"/>
    <w:rsid w:val="6587477F"/>
    <w:rsid w:val="65875B1F"/>
    <w:rsid w:val="65923EB0"/>
    <w:rsid w:val="65EC5921"/>
    <w:rsid w:val="660F4346"/>
    <w:rsid w:val="66375CC2"/>
    <w:rsid w:val="666F381C"/>
    <w:rsid w:val="669C04B3"/>
    <w:rsid w:val="66E6246F"/>
    <w:rsid w:val="67246844"/>
    <w:rsid w:val="676C1A4D"/>
    <w:rsid w:val="67762DCB"/>
    <w:rsid w:val="679824DF"/>
    <w:rsid w:val="67BB0C36"/>
    <w:rsid w:val="68154334"/>
    <w:rsid w:val="683B7691"/>
    <w:rsid w:val="6857373E"/>
    <w:rsid w:val="68B94D67"/>
    <w:rsid w:val="68E542A7"/>
    <w:rsid w:val="69032DA6"/>
    <w:rsid w:val="695E42D4"/>
    <w:rsid w:val="6A4576E6"/>
    <w:rsid w:val="6AD719CA"/>
    <w:rsid w:val="6B1829D4"/>
    <w:rsid w:val="6B572DD6"/>
    <w:rsid w:val="6B575F9B"/>
    <w:rsid w:val="6B805C3D"/>
    <w:rsid w:val="6B8A3C05"/>
    <w:rsid w:val="6B9570A0"/>
    <w:rsid w:val="6BC563EB"/>
    <w:rsid w:val="6BE63E44"/>
    <w:rsid w:val="6C5C1236"/>
    <w:rsid w:val="6CBC5B71"/>
    <w:rsid w:val="6CD04B4C"/>
    <w:rsid w:val="6CFB33C6"/>
    <w:rsid w:val="6D1E0194"/>
    <w:rsid w:val="6DF830CC"/>
    <w:rsid w:val="6E2942A4"/>
    <w:rsid w:val="6E424A83"/>
    <w:rsid w:val="6E603769"/>
    <w:rsid w:val="6E616D28"/>
    <w:rsid w:val="6EB64947"/>
    <w:rsid w:val="6EB64FD5"/>
    <w:rsid w:val="6F2056E2"/>
    <w:rsid w:val="6F3A1408"/>
    <w:rsid w:val="6F465BCD"/>
    <w:rsid w:val="6F542662"/>
    <w:rsid w:val="6F5B061D"/>
    <w:rsid w:val="6F6D1136"/>
    <w:rsid w:val="703F6800"/>
    <w:rsid w:val="70541D86"/>
    <w:rsid w:val="70E368C6"/>
    <w:rsid w:val="70E660DA"/>
    <w:rsid w:val="70F91769"/>
    <w:rsid w:val="71112F06"/>
    <w:rsid w:val="713D78E5"/>
    <w:rsid w:val="714A49EB"/>
    <w:rsid w:val="71BF242C"/>
    <w:rsid w:val="71F235CA"/>
    <w:rsid w:val="71F34D41"/>
    <w:rsid w:val="722A522B"/>
    <w:rsid w:val="72385979"/>
    <w:rsid w:val="723A06A5"/>
    <w:rsid w:val="725A69AF"/>
    <w:rsid w:val="729E3A2F"/>
    <w:rsid w:val="72C773DB"/>
    <w:rsid w:val="72EA3AF6"/>
    <w:rsid w:val="72F96CB0"/>
    <w:rsid w:val="732E6E74"/>
    <w:rsid w:val="7350430B"/>
    <w:rsid w:val="736715D7"/>
    <w:rsid w:val="73B150A7"/>
    <w:rsid w:val="73DE6776"/>
    <w:rsid w:val="73E2073D"/>
    <w:rsid w:val="74182679"/>
    <w:rsid w:val="7465272F"/>
    <w:rsid w:val="747D5182"/>
    <w:rsid w:val="74972D33"/>
    <w:rsid w:val="74E6183A"/>
    <w:rsid w:val="75256FA6"/>
    <w:rsid w:val="755F74C6"/>
    <w:rsid w:val="75A13DF1"/>
    <w:rsid w:val="75E654AB"/>
    <w:rsid w:val="7625564B"/>
    <w:rsid w:val="76B665C2"/>
    <w:rsid w:val="76C00A23"/>
    <w:rsid w:val="76E135E8"/>
    <w:rsid w:val="77050FC7"/>
    <w:rsid w:val="772365F9"/>
    <w:rsid w:val="778C5CAD"/>
    <w:rsid w:val="779766F5"/>
    <w:rsid w:val="78224FC5"/>
    <w:rsid w:val="787724F6"/>
    <w:rsid w:val="78A029F4"/>
    <w:rsid w:val="78C932F6"/>
    <w:rsid w:val="78CF7CC0"/>
    <w:rsid w:val="78E14D79"/>
    <w:rsid w:val="79023547"/>
    <w:rsid w:val="791407B4"/>
    <w:rsid w:val="791555BE"/>
    <w:rsid w:val="792844C9"/>
    <w:rsid w:val="792F1EEF"/>
    <w:rsid w:val="7A8E0021"/>
    <w:rsid w:val="7AEC25B9"/>
    <w:rsid w:val="7B2A3B18"/>
    <w:rsid w:val="7B2E3935"/>
    <w:rsid w:val="7B932E1C"/>
    <w:rsid w:val="7B953C27"/>
    <w:rsid w:val="7B9A6D63"/>
    <w:rsid w:val="7BBF3C16"/>
    <w:rsid w:val="7BD07123"/>
    <w:rsid w:val="7BE45341"/>
    <w:rsid w:val="7BE76C61"/>
    <w:rsid w:val="7BE83755"/>
    <w:rsid w:val="7BED2919"/>
    <w:rsid w:val="7BEE607B"/>
    <w:rsid w:val="7C8B67B4"/>
    <w:rsid w:val="7C956F11"/>
    <w:rsid w:val="7CC269BB"/>
    <w:rsid w:val="7CD2070A"/>
    <w:rsid w:val="7DBC01D8"/>
    <w:rsid w:val="7DD71BE2"/>
    <w:rsid w:val="7E1B5039"/>
    <w:rsid w:val="7EC73B8E"/>
    <w:rsid w:val="7EE231B1"/>
    <w:rsid w:val="7EEF54AE"/>
    <w:rsid w:val="7F342DC6"/>
    <w:rsid w:val="7F900C29"/>
    <w:rsid w:val="7FAB3D5C"/>
    <w:rsid w:val="7FB9010B"/>
    <w:rsid w:val="7FC040FB"/>
    <w:rsid w:val="7FCC03E9"/>
    <w:rsid w:val="7FDD36D6"/>
    <w:rsid w:val="7FE4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ascii="Calibri" w:hAnsi="Calibri" w:eastAsia="方正小标宋简体" w:cs="Times New Roman"/>
      <w:b/>
      <w:kern w:val="44"/>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600" w:lineRule="exact"/>
      <w:ind w:left="420" w:leftChars="200" w:firstLine="420"/>
    </w:pPr>
    <w:rPr>
      <w:rFonts w:ascii="Times New Roman" w:eastAsia="仿宋_GB2312"/>
      <w:szCs w:val="20"/>
    </w:rPr>
  </w:style>
  <w:style w:type="paragraph" w:styleId="3">
    <w:name w:val="Body Text Indent"/>
    <w:basedOn w:val="1"/>
    <w:next w:val="4"/>
    <w:qFormat/>
    <w:uiPriority w:val="0"/>
    <w:pPr>
      <w:ind w:left="200" w:leftChars="200"/>
    </w:pPr>
    <w:rPr>
      <w:rFonts w:ascii="Times New Roman" w:hAnsi="Times New Roman"/>
    </w:rPr>
  </w:style>
  <w:style w:type="paragraph" w:styleId="4">
    <w:name w:val="Body Text"/>
    <w:basedOn w:val="1"/>
    <w:next w:val="5"/>
    <w:qFormat/>
    <w:uiPriority w:val="0"/>
    <w:pPr>
      <w:spacing w:line="600" w:lineRule="exact"/>
    </w:pPr>
    <w:rPr>
      <w:rFonts w:ascii="仿宋_GB2312" w:eastAsia="仿宋_GB2312"/>
    </w:rPr>
  </w:style>
  <w:style w:type="paragraph" w:styleId="5">
    <w:name w:val="toc 5"/>
    <w:basedOn w:val="1"/>
    <w:next w:val="1"/>
    <w:unhideWhenUsed/>
    <w:qFormat/>
    <w:uiPriority w:val="39"/>
    <w:pPr>
      <w:ind w:left="1680" w:leftChars="800"/>
    </w:pPr>
  </w:style>
  <w:style w:type="paragraph" w:styleId="7">
    <w:name w:val="Normal Indent"/>
    <w:basedOn w:val="1"/>
    <w:qFormat/>
    <w:uiPriority w:val="99"/>
    <w:pPr>
      <w:ind w:firstLine="200" w:firstLine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leftChars="200"/>
    </w:pPr>
    <w:rPr>
      <w:rFonts w:ascii="Calibri" w:hAnsi="Calibri" w:eastAsia="宋体" w:cs="Times New Roman"/>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22"/>
    <w:rPr>
      <w:b/>
      <w:bCs/>
    </w:rPr>
  </w:style>
  <w:style w:type="character" w:styleId="15">
    <w:name w:val="page number"/>
    <w:basedOn w:val="13"/>
    <w:qFormat/>
    <w:uiPriority w:val="0"/>
  </w:style>
  <w:style w:type="paragraph" w:customStyle="1" w:styleId="16">
    <w:name w:val="Normal Indent1"/>
    <w:basedOn w:val="1"/>
    <w:qFormat/>
    <w:uiPriority w:val="0"/>
    <w:pPr>
      <w:widowControl w:val="0"/>
      <w:adjustRightInd/>
      <w:snapToGrid/>
      <w:spacing w:after="0" w:line="660" w:lineRule="exact"/>
      <w:ind w:firstLine="720" w:firstLineChars="200"/>
      <w:jc w:val="both"/>
    </w:pPr>
    <w:rPr>
      <w:rFonts w:ascii="Calibri" w:hAnsi="Calibri" w:eastAsia="楷体_GB2312" w:cs="Times New Roman"/>
      <w:kern w:val="2"/>
      <w:sz w:val="36"/>
      <w:szCs w:val="36"/>
    </w:rPr>
  </w:style>
  <w:style w:type="paragraph" w:customStyle="1" w:styleId="17">
    <w:name w:val="NormalIndent"/>
    <w:basedOn w:val="1"/>
    <w:qFormat/>
    <w:uiPriority w:val="0"/>
    <w:pPr>
      <w:widowControl/>
      <w:ind w:firstLine="420"/>
      <w:textAlignment w:val="baseline"/>
    </w:pPr>
    <w:rPr>
      <w:szCs w:val="20"/>
    </w:rPr>
  </w:style>
  <w:style w:type="paragraph" w:customStyle="1" w:styleId="18">
    <w:name w:val="默认段落字体 Para Char Char Char Char Char Char Char"/>
    <w:basedOn w:val="1"/>
    <w:qFormat/>
    <w:uiPriority w:val="0"/>
    <w:rPr>
      <w:sz w:val="13"/>
      <w:szCs w:val="13"/>
    </w:rPr>
  </w:style>
  <w:style w:type="paragraph" w:customStyle="1" w:styleId="19">
    <w:name w:val="正文文本首行缩进 2"/>
    <w:basedOn w:val="3"/>
    <w:next w:val="1"/>
    <w:qFormat/>
    <w:uiPriority w:val="0"/>
    <w:pPr>
      <w:ind w:firstLine="200" w:firstLineChars="200"/>
    </w:pPr>
  </w:style>
  <w:style w:type="character" w:customStyle="1" w:styleId="20">
    <w:name w:val="font11"/>
    <w:basedOn w:val="13"/>
    <w:qFormat/>
    <w:uiPriority w:val="0"/>
    <w:rPr>
      <w:rFonts w:hint="eastAsia" w:ascii="宋体" w:hAnsi="宋体" w:eastAsia="宋体" w:cs="宋体"/>
      <w:b/>
      <w:bCs/>
      <w:color w:val="000000"/>
      <w:sz w:val="24"/>
      <w:szCs w:val="24"/>
      <w:u w:val="none"/>
    </w:rPr>
  </w:style>
  <w:style w:type="character" w:customStyle="1" w:styleId="21">
    <w:name w:val="font41"/>
    <w:basedOn w:val="13"/>
    <w:qFormat/>
    <w:uiPriority w:val="0"/>
    <w:rPr>
      <w:rFonts w:hint="eastAsia" w:ascii="宋体" w:hAnsi="宋体" w:eastAsia="宋体" w:cs="宋体"/>
      <w:b/>
      <w:bCs/>
      <w:color w:val="000000"/>
      <w:sz w:val="22"/>
      <w:szCs w:val="22"/>
      <w:u w:val="none"/>
    </w:rPr>
  </w:style>
  <w:style w:type="character" w:customStyle="1" w:styleId="22">
    <w:name w:val="font81"/>
    <w:basedOn w:val="13"/>
    <w:qFormat/>
    <w:uiPriority w:val="0"/>
    <w:rPr>
      <w:rFonts w:hint="default" w:ascii="Times New Roman" w:hAnsi="Times New Roman" w:cs="Times New Roman"/>
      <w:b/>
      <w:bCs/>
      <w:color w:val="000000"/>
      <w:sz w:val="22"/>
      <w:szCs w:val="22"/>
      <w:u w:val="none"/>
    </w:rPr>
  </w:style>
  <w:style w:type="character" w:customStyle="1" w:styleId="23">
    <w:name w:val="font91"/>
    <w:basedOn w:val="13"/>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2022-12-24T10:13:00Z</dcterms:created>
  <dc:creator>Administrator</dc:creator>
  <cp:lastModifiedBy>user</cp:lastModifiedBy>
  <cp:lastPrinted>2024-02-21T09:02:00Z</cp:lastPrinted>
  <dcterms:modified xsi:type="dcterms:W3CDTF">2024-08-15T04:45:58Z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77C4D69A0BE5459EB8C183E911A5FA70</vt:lpwstr>
  </property>
</Properties>
</file>