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6"/>
        <w:tabs>
          <w:tab w:val="right" w:leader="dot" w:pos="14562"/>
        </w:tabs>
        <w:sectPr>
          <w:headerReference r:id="rId3" w:type="first"/>
          <w:footerReference r:id="rId4" w:type="first"/>
          <w:pgSz w:w="16840" w:h="11900" w:orient="landscape"/>
          <w:pgMar w:top="1361" w:right="1020" w:bottom="1134" w:left="1020" w:header="720" w:footer="720" w:gutter="0"/>
          <w:pgNumType w:start="1"/>
          <w:cols w:space="720" w:num="1"/>
        </w:sectPr>
      </w:pP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pPr>
        <w:rPr>
          <w:lang w:val="uk-UA"/>
        </w:rPr>
        <w:sectPr>
          <w:footerReference r:id="rId5" w:type="default"/>
          <w:footerReference r:id="rId6" w:type="even"/>
          <w:pgSz w:w="16840" w:h="11900" w:orient="landscape"/>
          <w:pgMar w:top="1361" w:right="1020" w:bottom="1134" w:left="1020" w:header="720" w:footer="720" w:gutter="0"/>
          <w:pgNumType w:start="1"/>
          <w:cols w:space="720" w:num="1"/>
        </w:sectPr>
      </w:pPr>
      <w:r>
        <w:fldChar w:fldCharType="end"/>
      </w:r>
    </w:p>
    <w:p>
      <w:pPr>
        <w:outlineLvl w:val="0"/>
        <w:rPr>
          <w:rFonts w:eastAsia="方正小标宋_GBK" w:cs="方正小标宋_GBK" w:asciiTheme="minorHAnsi" w:hAnsiTheme="minorHAnsi"/>
          <w:b/>
          <w:color w:val="000000"/>
          <w:sz w:val="72"/>
          <w:lang w:val="uk-UA"/>
        </w:rPr>
      </w:pPr>
    </w:p>
    <w:p>
      <w:pPr>
        <w:jc w:val="center"/>
        <w:outlineLvl w:val="1"/>
        <w:rPr>
          <w:b/>
        </w:rPr>
      </w:pPr>
      <w:bookmarkStart w:id="0" w:name="_Toc_2_2_0000000001"/>
      <w:r>
        <w:rPr>
          <w:rFonts w:ascii="方正小标宋_GBK" w:hAnsi="方正小标宋_GBK" w:eastAsia="方正小标宋_GBK" w:cs="方正小标宋_GBK"/>
          <w:b/>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spacing w:val="-4"/>
              </w:rPr>
            </w:pPr>
            <w:r>
              <w:rPr>
                <w:spacing w:val="-4"/>
              </w:rPr>
              <w:t>101保定市徐水区人民代表大会常务委员会办公室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745.07</w:t>
            </w:r>
          </w:p>
        </w:tc>
        <w:tc>
          <w:tcPr>
            <w:tcW w:w="4535" w:type="dxa"/>
            <w:vAlign w:val="center"/>
          </w:tcPr>
          <w:p>
            <w:pPr>
              <w:pStyle w:val="17"/>
            </w:pPr>
            <w:r>
              <w:t>一、一般公共服务支出</w:t>
            </w:r>
          </w:p>
        </w:tc>
        <w:tc>
          <w:tcPr>
            <w:tcW w:w="2126" w:type="dxa"/>
            <w:vAlign w:val="center"/>
          </w:tcPr>
          <w:p>
            <w:pPr>
              <w:pStyle w:val="16"/>
            </w:pPr>
            <w:r>
              <w:t>513.20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168.52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r>
              <w:t>0.01</w:t>
            </w:r>
          </w:p>
        </w:tc>
        <w:tc>
          <w:tcPr>
            <w:tcW w:w="4535" w:type="dxa"/>
            <w:vAlign w:val="center"/>
          </w:tcPr>
          <w:p>
            <w:pPr>
              <w:pStyle w:val="17"/>
            </w:pPr>
            <w:r>
              <w:t>九、社会保险基金支出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28.37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34.98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745.08</w:t>
            </w:r>
          </w:p>
        </w:tc>
        <w:tc>
          <w:tcPr>
            <w:tcW w:w="4535" w:type="dxa"/>
            <w:vAlign w:val="center"/>
          </w:tcPr>
          <w:p>
            <w:pPr>
              <w:pStyle w:val="19"/>
            </w:pPr>
            <w:r>
              <w:t>本年支出合计</w:t>
            </w:r>
          </w:p>
        </w:tc>
        <w:tc>
          <w:tcPr>
            <w:tcW w:w="2126" w:type="dxa"/>
            <w:vAlign w:val="center"/>
          </w:tcPr>
          <w:p>
            <w:pPr>
              <w:pStyle w:val="20"/>
            </w:pPr>
            <w:r>
              <w:t>745.08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745.08</w:t>
            </w:r>
          </w:p>
        </w:tc>
        <w:tc>
          <w:tcPr>
            <w:tcW w:w="4535" w:type="dxa"/>
            <w:vAlign w:val="center"/>
          </w:tcPr>
          <w:p>
            <w:pPr>
              <w:pStyle w:val="19"/>
            </w:pPr>
            <w:r>
              <w:t>支出总计</w:t>
            </w:r>
          </w:p>
        </w:tc>
        <w:tc>
          <w:tcPr>
            <w:tcW w:w="2126" w:type="dxa"/>
            <w:vAlign w:val="center"/>
          </w:tcPr>
          <w:p>
            <w:pPr>
              <w:pStyle w:val="20"/>
            </w:pPr>
            <w:r>
              <w:t>745.08</w:t>
            </w:r>
          </w:p>
        </w:tc>
      </w:tr>
    </w:tbl>
    <w:p>
      <w:pPr>
        <w:sectPr>
          <w:footerReference r:id="rId7" w:type="default"/>
          <w:footerReference r:id="rId8" w:type="even"/>
          <w:pgSz w:w="16840" w:h="11900" w:orient="landscape"/>
          <w:pgMar w:top="1361" w:right="1020" w:bottom="1134" w:left="1020" w:header="720" w:footer="720" w:gutter="0"/>
          <w:pgNumType w:start="1"/>
          <w:cols w:space="720" w:num="1"/>
        </w:sectPr>
      </w:pPr>
    </w:p>
    <w:p>
      <w:pPr>
        <w:jc w:val="center"/>
        <w:outlineLvl w:val="1"/>
        <w:rPr>
          <w:b/>
          <w:bCs/>
        </w:rPr>
      </w:pPr>
      <w:bookmarkStart w:id="1" w:name="_Toc_2_2_0000000002"/>
      <w:r>
        <w:rPr>
          <w:rFonts w:ascii="方正小标宋_GBK" w:hAnsi="方正小标宋_GBK" w:eastAsia="方正小标宋_GBK" w:cs="方正小标宋_GBK"/>
          <w:b/>
          <w:bCs/>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101保定市徐水区人民代表大会常务委员会办公室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745.08</w:t>
            </w:r>
          </w:p>
        </w:tc>
        <w:tc>
          <w:tcPr>
            <w:tcW w:w="1134" w:type="dxa"/>
            <w:vAlign w:val="center"/>
          </w:tcPr>
          <w:p>
            <w:pPr>
              <w:pStyle w:val="20"/>
            </w:pPr>
            <w:r>
              <w:t>745.08</w:t>
            </w:r>
          </w:p>
        </w:tc>
        <w:tc>
          <w:tcPr>
            <w:tcW w:w="1134" w:type="dxa"/>
            <w:vAlign w:val="center"/>
          </w:tcPr>
          <w:p>
            <w:pPr>
              <w:pStyle w:val="20"/>
            </w:pPr>
            <w:r>
              <w:t>745.07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0.01</w:t>
            </w: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513.20</w:t>
            </w:r>
          </w:p>
        </w:tc>
        <w:tc>
          <w:tcPr>
            <w:tcW w:w="1134" w:type="dxa"/>
            <w:vAlign w:val="center"/>
          </w:tcPr>
          <w:p>
            <w:pPr>
              <w:pStyle w:val="16"/>
            </w:pPr>
            <w:r>
              <w:t>513.20</w:t>
            </w:r>
          </w:p>
        </w:tc>
        <w:tc>
          <w:tcPr>
            <w:tcW w:w="1134" w:type="dxa"/>
            <w:vAlign w:val="center"/>
          </w:tcPr>
          <w:p>
            <w:pPr>
              <w:pStyle w:val="16"/>
            </w:pPr>
            <w:r>
              <w:t>513.19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0.01</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20101</w:t>
            </w:r>
          </w:p>
        </w:tc>
        <w:tc>
          <w:tcPr>
            <w:tcW w:w="1559" w:type="dxa"/>
            <w:vAlign w:val="center"/>
          </w:tcPr>
          <w:p>
            <w:pPr>
              <w:pStyle w:val="17"/>
            </w:pPr>
            <w:r>
              <w:t>人大事务</w:t>
            </w:r>
          </w:p>
        </w:tc>
        <w:tc>
          <w:tcPr>
            <w:tcW w:w="1134" w:type="dxa"/>
            <w:vAlign w:val="center"/>
          </w:tcPr>
          <w:p>
            <w:pPr>
              <w:pStyle w:val="16"/>
            </w:pPr>
            <w:r>
              <w:t>513.20</w:t>
            </w:r>
          </w:p>
        </w:tc>
        <w:tc>
          <w:tcPr>
            <w:tcW w:w="1134" w:type="dxa"/>
            <w:vAlign w:val="center"/>
          </w:tcPr>
          <w:p>
            <w:pPr>
              <w:pStyle w:val="16"/>
            </w:pPr>
            <w:r>
              <w:t>513.20</w:t>
            </w:r>
          </w:p>
        </w:tc>
        <w:tc>
          <w:tcPr>
            <w:tcW w:w="1134" w:type="dxa"/>
            <w:vAlign w:val="center"/>
          </w:tcPr>
          <w:p>
            <w:pPr>
              <w:pStyle w:val="16"/>
            </w:pPr>
            <w:r>
              <w:t>513.19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0.01</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2010101</w:t>
            </w:r>
          </w:p>
        </w:tc>
        <w:tc>
          <w:tcPr>
            <w:tcW w:w="1559" w:type="dxa"/>
            <w:vAlign w:val="center"/>
          </w:tcPr>
          <w:p>
            <w:pPr>
              <w:pStyle w:val="17"/>
            </w:pPr>
            <w:r>
              <w:t>行政运行</w:t>
            </w:r>
          </w:p>
        </w:tc>
        <w:tc>
          <w:tcPr>
            <w:tcW w:w="1134" w:type="dxa"/>
            <w:vAlign w:val="center"/>
          </w:tcPr>
          <w:p>
            <w:pPr>
              <w:pStyle w:val="16"/>
            </w:pPr>
            <w:r>
              <w:t>452.72</w:t>
            </w:r>
          </w:p>
        </w:tc>
        <w:tc>
          <w:tcPr>
            <w:tcW w:w="1134" w:type="dxa"/>
            <w:vAlign w:val="center"/>
          </w:tcPr>
          <w:p>
            <w:pPr>
              <w:pStyle w:val="16"/>
            </w:pPr>
            <w:r>
              <w:t>452.72</w:t>
            </w:r>
          </w:p>
        </w:tc>
        <w:tc>
          <w:tcPr>
            <w:tcW w:w="1134" w:type="dxa"/>
            <w:vAlign w:val="center"/>
          </w:tcPr>
          <w:p>
            <w:pPr>
              <w:pStyle w:val="16"/>
            </w:pPr>
            <w:r>
              <w:t>452.71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0.01</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2010102</w:t>
            </w:r>
          </w:p>
        </w:tc>
        <w:tc>
          <w:tcPr>
            <w:tcW w:w="1559" w:type="dxa"/>
            <w:vAlign w:val="center"/>
          </w:tcPr>
          <w:p>
            <w:pPr>
              <w:pStyle w:val="17"/>
            </w:pPr>
            <w:r>
              <w:t>一般行政管理事务</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2010104</w:t>
            </w:r>
          </w:p>
        </w:tc>
        <w:tc>
          <w:tcPr>
            <w:tcW w:w="1559" w:type="dxa"/>
            <w:vAlign w:val="center"/>
          </w:tcPr>
          <w:p>
            <w:pPr>
              <w:pStyle w:val="17"/>
            </w:pPr>
            <w:r>
              <w:t>人大会议</w:t>
            </w:r>
          </w:p>
        </w:tc>
        <w:tc>
          <w:tcPr>
            <w:tcW w:w="1134" w:type="dxa"/>
            <w:vAlign w:val="center"/>
          </w:tcPr>
          <w:p>
            <w:pPr>
              <w:pStyle w:val="16"/>
            </w:pPr>
            <w:r>
              <w:t>45.60</w:t>
            </w:r>
          </w:p>
        </w:tc>
        <w:tc>
          <w:tcPr>
            <w:tcW w:w="1134" w:type="dxa"/>
            <w:vAlign w:val="center"/>
          </w:tcPr>
          <w:p>
            <w:pPr>
              <w:pStyle w:val="16"/>
            </w:pPr>
            <w:r>
              <w:t>45.60</w:t>
            </w:r>
          </w:p>
        </w:tc>
        <w:tc>
          <w:tcPr>
            <w:tcW w:w="1134" w:type="dxa"/>
            <w:vAlign w:val="center"/>
          </w:tcPr>
          <w:p>
            <w:pPr>
              <w:pStyle w:val="16"/>
            </w:pPr>
            <w:r>
              <w:t>45.60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2010106</w:t>
            </w:r>
          </w:p>
        </w:tc>
        <w:tc>
          <w:tcPr>
            <w:tcW w:w="1559" w:type="dxa"/>
            <w:vAlign w:val="center"/>
          </w:tcPr>
          <w:p>
            <w:pPr>
              <w:pStyle w:val="17"/>
            </w:pPr>
            <w:r>
              <w:t>人大监督</w:t>
            </w:r>
          </w:p>
        </w:tc>
        <w:tc>
          <w:tcPr>
            <w:tcW w:w="1134" w:type="dxa"/>
            <w:vAlign w:val="center"/>
          </w:tcPr>
          <w:p>
            <w:pPr>
              <w:pStyle w:val="16"/>
            </w:pPr>
            <w:r>
              <w:t>11.88</w:t>
            </w:r>
          </w:p>
        </w:tc>
        <w:tc>
          <w:tcPr>
            <w:tcW w:w="1134" w:type="dxa"/>
            <w:vAlign w:val="center"/>
          </w:tcPr>
          <w:p>
            <w:pPr>
              <w:pStyle w:val="16"/>
            </w:pPr>
            <w:r>
              <w:t>11.88</w:t>
            </w:r>
          </w:p>
        </w:tc>
        <w:tc>
          <w:tcPr>
            <w:tcW w:w="1134" w:type="dxa"/>
            <w:vAlign w:val="center"/>
          </w:tcPr>
          <w:p>
            <w:pPr>
              <w:pStyle w:val="16"/>
            </w:pPr>
            <w:r>
              <w:t>11.88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168.52</w:t>
            </w:r>
          </w:p>
        </w:tc>
        <w:tc>
          <w:tcPr>
            <w:tcW w:w="1134" w:type="dxa"/>
            <w:vAlign w:val="center"/>
          </w:tcPr>
          <w:p>
            <w:pPr>
              <w:pStyle w:val="16"/>
            </w:pPr>
            <w:r>
              <w:t>168.52</w:t>
            </w:r>
          </w:p>
        </w:tc>
        <w:tc>
          <w:tcPr>
            <w:tcW w:w="1134" w:type="dxa"/>
            <w:vAlign w:val="center"/>
          </w:tcPr>
          <w:p>
            <w:pPr>
              <w:pStyle w:val="16"/>
            </w:pPr>
            <w:r>
              <w:t>168.52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168.52</w:t>
            </w:r>
          </w:p>
        </w:tc>
        <w:tc>
          <w:tcPr>
            <w:tcW w:w="1134" w:type="dxa"/>
            <w:vAlign w:val="center"/>
          </w:tcPr>
          <w:p>
            <w:pPr>
              <w:pStyle w:val="16"/>
            </w:pPr>
            <w:r>
              <w:t>168.52</w:t>
            </w:r>
          </w:p>
        </w:tc>
        <w:tc>
          <w:tcPr>
            <w:tcW w:w="1134" w:type="dxa"/>
            <w:vAlign w:val="center"/>
          </w:tcPr>
          <w:p>
            <w:pPr>
              <w:pStyle w:val="16"/>
            </w:pPr>
            <w:r>
              <w:t>168.52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125.28</w:t>
            </w:r>
          </w:p>
        </w:tc>
        <w:tc>
          <w:tcPr>
            <w:tcW w:w="1134" w:type="dxa"/>
            <w:vAlign w:val="center"/>
          </w:tcPr>
          <w:p>
            <w:pPr>
              <w:pStyle w:val="16"/>
            </w:pPr>
            <w:r>
              <w:t>125.28</w:t>
            </w:r>
          </w:p>
        </w:tc>
        <w:tc>
          <w:tcPr>
            <w:tcW w:w="1134" w:type="dxa"/>
            <w:vAlign w:val="center"/>
          </w:tcPr>
          <w:p>
            <w:pPr>
              <w:pStyle w:val="16"/>
            </w:pPr>
            <w:r>
              <w:t>125.28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43.24</w:t>
            </w:r>
          </w:p>
        </w:tc>
        <w:tc>
          <w:tcPr>
            <w:tcW w:w="1134" w:type="dxa"/>
            <w:vAlign w:val="center"/>
          </w:tcPr>
          <w:p>
            <w:pPr>
              <w:pStyle w:val="16"/>
            </w:pPr>
            <w:r>
              <w:t>43.24</w:t>
            </w:r>
          </w:p>
        </w:tc>
        <w:tc>
          <w:tcPr>
            <w:tcW w:w="1134" w:type="dxa"/>
            <w:vAlign w:val="center"/>
          </w:tcPr>
          <w:p>
            <w:pPr>
              <w:pStyle w:val="16"/>
            </w:pPr>
            <w:r>
              <w:t>43.24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28.37</w:t>
            </w:r>
          </w:p>
        </w:tc>
        <w:tc>
          <w:tcPr>
            <w:tcW w:w="1134" w:type="dxa"/>
            <w:vAlign w:val="center"/>
          </w:tcPr>
          <w:p>
            <w:pPr>
              <w:pStyle w:val="16"/>
            </w:pPr>
            <w:r>
              <w:t>28.37</w:t>
            </w:r>
          </w:p>
        </w:tc>
        <w:tc>
          <w:tcPr>
            <w:tcW w:w="1134" w:type="dxa"/>
            <w:vAlign w:val="center"/>
          </w:tcPr>
          <w:p>
            <w:pPr>
              <w:pStyle w:val="16"/>
            </w:pPr>
            <w:r>
              <w:t>28.37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28.37</w:t>
            </w:r>
          </w:p>
        </w:tc>
        <w:tc>
          <w:tcPr>
            <w:tcW w:w="1134" w:type="dxa"/>
            <w:vAlign w:val="center"/>
          </w:tcPr>
          <w:p>
            <w:pPr>
              <w:pStyle w:val="16"/>
            </w:pPr>
            <w:r>
              <w:t>28.37</w:t>
            </w:r>
          </w:p>
        </w:tc>
        <w:tc>
          <w:tcPr>
            <w:tcW w:w="1134" w:type="dxa"/>
            <w:vAlign w:val="center"/>
          </w:tcPr>
          <w:p>
            <w:pPr>
              <w:pStyle w:val="16"/>
            </w:pPr>
            <w:r>
              <w:t>28.37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28.37</w:t>
            </w:r>
          </w:p>
        </w:tc>
        <w:tc>
          <w:tcPr>
            <w:tcW w:w="1134" w:type="dxa"/>
            <w:vAlign w:val="center"/>
          </w:tcPr>
          <w:p>
            <w:pPr>
              <w:pStyle w:val="16"/>
            </w:pPr>
            <w:r>
              <w:t>28.37</w:t>
            </w:r>
          </w:p>
        </w:tc>
        <w:tc>
          <w:tcPr>
            <w:tcW w:w="1134" w:type="dxa"/>
            <w:vAlign w:val="center"/>
          </w:tcPr>
          <w:p>
            <w:pPr>
              <w:pStyle w:val="16"/>
            </w:pPr>
            <w:r>
              <w:t>28.37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34.98</w:t>
            </w:r>
          </w:p>
        </w:tc>
        <w:tc>
          <w:tcPr>
            <w:tcW w:w="1134" w:type="dxa"/>
            <w:vAlign w:val="center"/>
          </w:tcPr>
          <w:p>
            <w:pPr>
              <w:pStyle w:val="16"/>
            </w:pPr>
            <w:r>
              <w:t>34.98</w:t>
            </w:r>
          </w:p>
        </w:tc>
        <w:tc>
          <w:tcPr>
            <w:tcW w:w="1134" w:type="dxa"/>
            <w:vAlign w:val="center"/>
          </w:tcPr>
          <w:p>
            <w:pPr>
              <w:pStyle w:val="16"/>
            </w:pPr>
            <w:r>
              <w:t>34.98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34.98</w:t>
            </w:r>
          </w:p>
        </w:tc>
        <w:tc>
          <w:tcPr>
            <w:tcW w:w="1134" w:type="dxa"/>
            <w:vAlign w:val="center"/>
          </w:tcPr>
          <w:p>
            <w:pPr>
              <w:pStyle w:val="16"/>
            </w:pPr>
            <w:r>
              <w:t>34.98</w:t>
            </w:r>
          </w:p>
        </w:tc>
        <w:tc>
          <w:tcPr>
            <w:tcW w:w="1134" w:type="dxa"/>
            <w:vAlign w:val="center"/>
          </w:tcPr>
          <w:p>
            <w:pPr>
              <w:pStyle w:val="16"/>
            </w:pPr>
            <w:r>
              <w:t>34.98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34.98</w:t>
            </w:r>
          </w:p>
        </w:tc>
        <w:tc>
          <w:tcPr>
            <w:tcW w:w="1134" w:type="dxa"/>
            <w:vAlign w:val="center"/>
          </w:tcPr>
          <w:p>
            <w:pPr>
              <w:pStyle w:val="16"/>
            </w:pPr>
            <w:r>
              <w:t>34.98</w:t>
            </w:r>
          </w:p>
        </w:tc>
        <w:tc>
          <w:tcPr>
            <w:tcW w:w="1134" w:type="dxa"/>
            <w:vAlign w:val="center"/>
          </w:tcPr>
          <w:p>
            <w:pPr>
              <w:pStyle w:val="16"/>
            </w:pPr>
            <w:r>
              <w:t>34.98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rPr>
          <w:b/>
          <w:bCs/>
        </w:rPr>
      </w:pPr>
      <w:bookmarkStart w:id="2" w:name="_Toc_2_2_0000000003"/>
      <w:r>
        <w:rPr>
          <w:rFonts w:ascii="方正小标宋_GBK" w:hAnsi="方正小标宋_GBK" w:eastAsia="方正小标宋_GBK" w:cs="方正小标宋_GBK"/>
          <w:b/>
          <w:bCs/>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101保定市徐水区人民代表大会常务委员会办公室</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745.08</w:t>
            </w:r>
          </w:p>
        </w:tc>
        <w:tc>
          <w:tcPr>
            <w:tcW w:w="1361" w:type="dxa"/>
            <w:vAlign w:val="center"/>
          </w:tcPr>
          <w:p>
            <w:pPr>
              <w:pStyle w:val="20"/>
            </w:pPr>
            <w:r>
              <w:t>684.59</w:t>
            </w:r>
          </w:p>
        </w:tc>
        <w:tc>
          <w:tcPr>
            <w:tcW w:w="1361" w:type="dxa"/>
            <w:vAlign w:val="center"/>
          </w:tcPr>
          <w:p>
            <w:pPr>
              <w:pStyle w:val="20"/>
            </w:pPr>
            <w:r>
              <w:t>60.49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513.20</w:t>
            </w:r>
          </w:p>
        </w:tc>
        <w:tc>
          <w:tcPr>
            <w:tcW w:w="1361" w:type="dxa"/>
            <w:vAlign w:val="center"/>
          </w:tcPr>
          <w:p>
            <w:pPr>
              <w:pStyle w:val="16"/>
            </w:pPr>
            <w:r>
              <w:t>452.71</w:t>
            </w:r>
          </w:p>
        </w:tc>
        <w:tc>
          <w:tcPr>
            <w:tcW w:w="1361" w:type="dxa"/>
            <w:vAlign w:val="center"/>
          </w:tcPr>
          <w:p>
            <w:pPr>
              <w:pStyle w:val="16"/>
            </w:pPr>
            <w:r>
              <w:t>60.49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20101</w:t>
            </w:r>
          </w:p>
        </w:tc>
        <w:tc>
          <w:tcPr>
            <w:tcW w:w="4535" w:type="dxa"/>
            <w:vAlign w:val="center"/>
          </w:tcPr>
          <w:p>
            <w:pPr>
              <w:pStyle w:val="17"/>
            </w:pPr>
            <w:r>
              <w:t>人大事务</w:t>
            </w:r>
          </w:p>
        </w:tc>
        <w:tc>
          <w:tcPr>
            <w:tcW w:w="1361" w:type="dxa"/>
            <w:vAlign w:val="center"/>
          </w:tcPr>
          <w:p>
            <w:pPr>
              <w:pStyle w:val="16"/>
            </w:pPr>
            <w:r>
              <w:t>513.20</w:t>
            </w:r>
          </w:p>
        </w:tc>
        <w:tc>
          <w:tcPr>
            <w:tcW w:w="1361" w:type="dxa"/>
            <w:vAlign w:val="center"/>
          </w:tcPr>
          <w:p>
            <w:pPr>
              <w:pStyle w:val="16"/>
            </w:pPr>
            <w:r>
              <w:t>452.71</w:t>
            </w:r>
          </w:p>
        </w:tc>
        <w:tc>
          <w:tcPr>
            <w:tcW w:w="1361" w:type="dxa"/>
            <w:vAlign w:val="center"/>
          </w:tcPr>
          <w:p>
            <w:pPr>
              <w:pStyle w:val="16"/>
            </w:pPr>
            <w:r>
              <w:t>60.49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2010101</w:t>
            </w:r>
          </w:p>
        </w:tc>
        <w:tc>
          <w:tcPr>
            <w:tcW w:w="4535" w:type="dxa"/>
            <w:vAlign w:val="center"/>
          </w:tcPr>
          <w:p>
            <w:pPr>
              <w:pStyle w:val="17"/>
            </w:pPr>
            <w:r>
              <w:t>行政运行</w:t>
            </w:r>
          </w:p>
        </w:tc>
        <w:tc>
          <w:tcPr>
            <w:tcW w:w="1361" w:type="dxa"/>
            <w:vAlign w:val="center"/>
          </w:tcPr>
          <w:p>
            <w:pPr>
              <w:pStyle w:val="16"/>
            </w:pPr>
            <w:r>
              <w:t>452.72</w:t>
            </w:r>
          </w:p>
        </w:tc>
        <w:tc>
          <w:tcPr>
            <w:tcW w:w="1361" w:type="dxa"/>
            <w:vAlign w:val="center"/>
          </w:tcPr>
          <w:p>
            <w:pPr>
              <w:pStyle w:val="16"/>
            </w:pPr>
            <w:r>
              <w:t>452.71</w:t>
            </w:r>
          </w:p>
        </w:tc>
        <w:tc>
          <w:tcPr>
            <w:tcW w:w="1361" w:type="dxa"/>
            <w:vAlign w:val="center"/>
          </w:tcPr>
          <w:p>
            <w:pPr>
              <w:pStyle w:val="16"/>
            </w:pPr>
            <w:r>
              <w:t>0.01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2010102</w:t>
            </w:r>
          </w:p>
        </w:tc>
        <w:tc>
          <w:tcPr>
            <w:tcW w:w="4535" w:type="dxa"/>
            <w:vAlign w:val="center"/>
          </w:tcPr>
          <w:p>
            <w:pPr>
              <w:pStyle w:val="17"/>
            </w:pPr>
            <w:r>
              <w:t>一般行政管理事务</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2010104</w:t>
            </w:r>
          </w:p>
        </w:tc>
        <w:tc>
          <w:tcPr>
            <w:tcW w:w="4535" w:type="dxa"/>
            <w:vAlign w:val="center"/>
          </w:tcPr>
          <w:p>
            <w:pPr>
              <w:pStyle w:val="17"/>
            </w:pPr>
            <w:r>
              <w:t>人大会议</w:t>
            </w:r>
          </w:p>
        </w:tc>
        <w:tc>
          <w:tcPr>
            <w:tcW w:w="1361" w:type="dxa"/>
            <w:vAlign w:val="center"/>
          </w:tcPr>
          <w:p>
            <w:pPr>
              <w:pStyle w:val="16"/>
            </w:pPr>
            <w:r>
              <w:t>45.60</w:t>
            </w:r>
          </w:p>
        </w:tc>
        <w:tc>
          <w:tcPr>
            <w:tcW w:w="1361" w:type="dxa"/>
            <w:vAlign w:val="center"/>
          </w:tcPr>
          <w:p>
            <w:pPr>
              <w:pStyle w:val="16"/>
            </w:pPr>
          </w:p>
        </w:tc>
        <w:tc>
          <w:tcPr>
            <w:tcW w:w="1361" w:type="dxa"/>
            <w:vAlign w:val="center"/>
          </w:tcPr>
          <w:p>
            <w:pPr>
              <w:pStyle w:val="16"/>
            </w:pPr>
            <w:r>
              <w:t>45.60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2010106</w:t>
            </w:r>
          </w:p>
        </w:tc>
        <w:tc>
          <w:tcPr>
            <w:tcW w:w="4535" w:type="dxa"/>
            <w:vAlign w:val="center"/>
          </w:tcPr>
          <w:p>
            <w:pPr>
              <w:pStyle w:val="17"/>
            </w:pPr>
            <w:r>
              <w:t>人大监督</w:t>
            </w:r>
          </w:p>
        </w:tc>
        <w:tc>
          <w:tcPr>
            <w:tcW w:w="1361" w:type="dxa"/>
            <w:vAlign w:val="center"/>
          </w:tcPr>
          <w:p>
            <w:pPr>
              <w:pStyle w:val="16"/>
            </w:pPr>
            <w:r>
              <w:t>11.88</w:t>
            </w:r>
          </w:p>
        </w:tc>
        <w:tc>
          <w:tcPr>
            <w:tcW w:w="1361" w:type="dxa"/>
            <w:vAlign w:val="center"/>
          </w:tcPr>
          <w:p>
            <w:pPr>
              <w:pStyle w:val="16"/>
            </w:pPr>
          </w:p>
        </w:tc>
        <w:tc>
          <w:tcPr>
            <w:tcW w:w="1361" w:type="dxa"/>
            <w:vAlign w:val="center"/>
          </w:tcPr>
          <w:p>
            <w:pPr>
              <w:pStyle w:val="16"/>
            </w:pPr>
            <w:r>
              <w:t>11.88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168.52</w:t>
            </w:r>
          </w:p>
        </w:tc>
        <w:tc>
          <w:tcPr>
            <w:tcW w:w="1361" w:type="dxa"/>
            <w:vAlign w:val="center"/>
          </w:tcPr>
          <w:p>
            <w:pPr>
              <w:pStyle w:val="16"/>
            </w:pPr>
            <w:r>
              <w:t>168.52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168.52</w:t>
            </w:r>
          </w:p>
        </w:tc>
        <w:tc>
          <w:tcPr>
            <w:tcW w:w="1361" w:type="dxa"/>
            <w:vAlign w:val="center"/>
          </w:tcPr>
          <w:p>
            <w:pPr>
              <w:pStyle w:val="16"/>
            </w:pPr>
            <w:r>
              <w:t>168.52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125.28</w:t>
            </w:r>
          </w:p>
        </w:tc>
        <w:tc>
          <w:tcPr>
            <w:tcW w:w="1361" w:type="dxa"/>
            <w:vAlign w:val="center"/>
          </w:tcPr>
          <w:p>
            <w:pPr>
              <w:pStyle w:val="16"/>
            </w:pPr>
            <w:r>
              <w:t>125.28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43.24</w:t>
            </w:r>
          </w:p>
        </w:tc>
        <w:tc>
          <w:tcPr>
            <w:tcW w:w="1361" w:type="dxa"/>
            <w:vAlign w:val="center"/>
          </w:tcPr>
          <w:p>
            <w:pPr>
              <w:pStyle w:val="16"/>
            </w:pPr>
            <w:r>
              <w:t>43.24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28.37</w:t>
            </w:r>
          </w:p>
        </w:tc>
        <w:tc>
          <w:tcPr>
            <w:tcW w:w="1361" w:type="dxa"/>
            <w:vAlign w:val="center"/>
          </w:tcPr>
          <w:p>
            <w:pPr>
              <w:pStyle w:val="16"/>
            </w:pPr>
            <w:r>
              <w:t>28.37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28.37</w:t>
            </w:r>
          </w:p>
        </w:tc>
        <w:tc>
          <w:tcPr>
            <w:tcW w:w="1361" w:type="dxa"/>
            <w:vAlign w:val="center"/>
          </w:tcPr>
          <w:p>
            <w:pPr>
              <w:pStyle w:val="16"/>
            </w:pPr>
            <w:r>
              <w:t>28.37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28.37</w:t>
            </w:r>
          </w:p>
        </w:tc>
        <w:tc>
          <w:tcPr>
            <w:tcW w:w="1361" w:type="dxa"/>
            <w:vAlign w:val="center"/>
          </w:tcPr>
          <w:p>
            <w:pPr>
              <w:pStyle w:val="16"/>
            </w:pPr>
            <w:r>
              <w:t>28.37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34.98</w:t>
            </w:r>
          </w:p>
        </w:tc>
        <w:tc>
          <w:tcPr>
            <w:tcW w:w="1361" w:type="dxa"/>
            <w:vAlign w:val="center"/>
          </w:tcPr>
          <w:p>
            <w:pPr>
              <w:pStyle w:val="16"/>
            </w:pPr>
            <w:r>
              <w:t>34.98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34.98</w:t>
            </w:r>
          </w:p>
        </w:tc>
        <w:tc>
          <w:tcPr>
            <w:tcW w:w="1361" w:type="dxa"/>
            <w:vAlign w:val="center"/>
          </w:tcPr>
          <w:p>
            <w:pPr>
              <w:pStyle w:val="16"/>
            </w:pPr>
            <w:r>
              <w:t>34.98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34.98</w:t>
            </w:r>
          </w:p>
        </w:tc>
        <w:tc>
          <w:tcPr>
            <w:tcW w:w="1361" w:type="dxa"/>
            <w:vAlign w:val="center"/>
          </w:tcPr>
          <w:p>
            <w:pPr>
              <w:pStyle w:val="16"/>
            </w:pPr>
            <w:r>
              <w:t>34.98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rPr>
          <w:b/>
          <w:bCs/>
        </w:rPr>
      </w:pPr>
      <w:bookmarkStart w:id="3" w:name="_Toc_2_2_0000000004"/>
      <w:r>
        <w:rPr>
          <w:rFonts w:ascii="方正小标宋_GBK" w:hAnsi="方正小标宋_GBK" w:eastAsia="方正小标宋_GBK" w:cs="方正小标宋_GBK"/>
          <w:b/>
          <w:bCs/>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101保定市徐水区人民代表大会常务委员会办公室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745.07</w:t>
            </w:r>
          </w:p>
        </w:tc>
        <w:tc>
          <w:tcPr>
            <w:tcW w:w="3402" w:type="dxa"/>
            <w:vAlign w:val="center"/>
          </w:tcPr>
          <w:p>
            <w:pPr>
              <w:pStyle w:val="17"/>
            </w:pPr>
            <w:r>
              <w:t>一、一般公共服务支出</w:t>
            </w:r>
          </w:p>
        </w:tc>
        <w:tc>
          <w:tcPr>
            <w:tcW w:w="1474" w:type="dxa"/>
            <w:vAlign w:val="center"/>
          </w:tcPr>
          <w:p>
            <w:pPr>
              <w:pStyle w:val="16"/>
            </w:pPr>
            <w:r>
              <w:t>513.19</w:t>
            </w:r>
          </w:p>
        </w:tc>
        <w:tc>
          <w:tcPr>
            <w:tcW w:w="1474" w:type="dxa"/>
            <w:vAlign w:val="center"/>
          </w:tcPr>
          <w:p>
            <w:pPr>
              <w:pStyle w:val="16"/>
            </w:pPr>
            <w:r>
              <w:t>513.19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168.52</w:t>
            </w:r>
          </w:p>
        </w:tc>
        <w:tc>
          <w:tcPr>
            <w:tcW w:w="1474" w:type="dxa"/>
            <w:vAlign w:val="center"/>
          </w:tcPr>
          <w:p>
            <w:pPr>
              <w:pStyle w:val="16"/>
            </w:pPr>
            <w:r>
              <w:t>168.52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28.37</w:t>
            </w:r>
          </w:p>
        </w:tc>
        <w:tc>
          <w:tcPr>
            <w:tcW w:w="1474" w:type="dxa"/>
            <w:vAlign w:val="center"/>
          </w:tcPr>
          <w:p>
            <w:pPr>
              <w:pStyle w:val="16"/>
            </w:pPr>
            <w:r>
              <w:t>28.37</w:t>
            </w: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34.98</w:t>
            </w:r>
          </w:p>
        </w:tc>
        <w:tc>
          <w:tcPr>
            <w:tcW w:w="1474" w:type="dxa"/>
            <w:vAlign w:val="center"/>
          </w:tcPr>
          <w:p>
            <w:pPr>
              <w:pStyle w:val="16"/>
            </w:pPr>
            <w:r>
              <w:t>34.98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745.07</w:t>
            </w:r>
          </w:p>
        </w:tc>
        <w:tc>
          <w:tcPr>
            <w:tcW w:w="3402" w:type="dxa"/>
            <w:vAlign w:val="center"/>
          </w:tcPr>
          <w:p>
            <w:pPr>
              <w:pStyle w:val="19"/>
            </w:pPr>
            <w:r>
              <w:t>本年支出合计</w:t>
            </w:r>
          </w:p>
        </w:tc>
        <w:tc>
          <w:tcPr>
            <w:tcW w:w="1474" w:type="dxa"/>
            <w:vAlign w:val="center"/>
          </w:tcPr>
          <w:p>
            <w:pPr>
              <w:pStyle w:val="20"/>
            </w:pPr>
            <w:r>
              <w:t>745.07</w:t>
            </w:r>
          </w:p>
        </w:tc>
        <w:tc>
          <w:tcPr>
            <w:tcW w:w="1474" w:type="dxa"/>
            <w:vAlign w:val="center"/>
          </w:tcPr>
          <w:p>
            <w:pPr>
              <w:pStyle w:val="20"/>
            </w:pPr>
            <w:r>
              <w:t>745.07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745.07</w:t>
            </w:r>
          </w:p>
        </w:tc>
        <w:tc>
          <w:tcPr>
            <w:tcW w:w="3402" w:type="dxa"/>
            <w:vAlign w:val="center"/>
          </w:tcPr>
          <w:p>
            <w:pPr>
              <w:pStyle w:val="19"/>
            </w:pPr>
            <w:r>
              <w:t>支出总计</w:t>
            </w:r>
          </w:p>
        </w:tc>
        <w:tc>
          <w:tcPr>
            <w:tcW w:w="1474" w:type="dxa"/>
            <w:vAlign w:val="center"/>
          </w:tcPr>
          <w:p>
            <w:pPr>
              <w:pStyle w:val="20"/>
            </w:pPr>
            <w:r>
              <w:t>745.07</w:t>
            </w:r>
          </w:p>
        </w:tc>
        <w:tc>
          <w:tcPr>
            <w:tcW w:w="1474" w:type="dxa"/>
            <w:vAlign w:val="center"/>
          </w:tcPr>
          <w:p>
            <w:pPr>
              <w:pStyle w:val="20"/>
            </w:pPr>
            <w:r>
              <w:t>745.07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rPr>
          <w:b/>
          <w:bCs/>
        </w:rPr>
      </w:pPr>
      <w:bookmarkStart w:id="4" w:name="_Toc_2_2_0000000005"/>
      <w:r>
        <w:rPr>
          <w:rFonts w:ascii="方正小标宋_GBK" w:hAnsi="方正小标宋_GBK" w:eastAsia="方正小标宋_GBK" w:cs="方正小标宋_GBK"/>
          <w:b/>
          <w:bCs/>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101保定市徐水区人民代表大会常务委员会办公室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745.07</w:t>
            </w:r>
          </w:p>
        </w:tc>
        <w:tc>
          <w:tcPr>
            <w:tcW w:w="2551" w:type="dxa"/>
            <w:vAlign w:val="center"/>
          </w:tcPr>
          <w:p>
            <w:pPr>
              <w:pStyle w:val="20"/>
            </w:pPr>
            <w:r>
              <w:t>684.59</w:t>
            </w:r>
          </w:p>
        </w:tc>
        <w:tc>
          <w:tcPr>
            <w:tcW w:w="2551" w:type="dxa"/>
            <w:vAlign w:val="center"/>
          </w:tcPr>
          <w:p>
            <w:pPr>
              <w:pStyle w:val="20"/>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513.19</w:t>
            </w:r>
          </w:p>
        </w:tc>
        <w:tc>
          <w:tcPr>
            <w:tcW w:w="2551" w:type="dxa"/>
            <w:vAlign w:val="center"/>
          </w:tcPr>
          <w:p>
            <w:pPr>
              <w:pStyle w:val="16"/>
            </w:pPr>
            <w:r>
              <w:t>452.71</w:t>
            </w:r>
          </w:p>
        </w:tc>
        <w:tc>
          <w:tcPr>
            <w:tcW w:w="2551" w:type="dxa"/>
            <w:vAlign w:val="center"/>
          </w:tcPr>
          <w:p>
            <w:pPr>
              <w:pStyle w:val="16"/>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20101</w:t>
            </w:r>
          </w:p>
        </w:tc>
        <w:tc>
          <w:tcPr>
            <w:tcW w:w="4535" w:type="dxa"/>
            <w:vAlign w:val="center"/>
          </w:tcPr>
          <w:p>
            <w:pPr>
              <w:pStyle w:val="17"/>
            </w:pPr>
            <w:r>
              <w:t>人大事务</w:t>
            </w:r>
          </w:p>
        </w:tc>
        <w:tc>
          <w:tcPr>
            <w:tcW w:w="2551" w:type="dxa"/>
            <w:vAlign w:val="center"/>
          </w:tcPr>
          <w:p>
            <w:pPr>
              <w:pStyle w:val="16"/>
            </w:pPr>
            <w:r>
              <w:t>513.19</w:t>
            </w:r>
          </w:p>
        </w:tc>
        <w:tc>
          <w:tcPr>
            <w:tcW w:w="2551" w:type="dxa"/>
            <w:vAlign w:val="center"/>
          </w:tcPr>
          <w:p>
            <w:pPr>
              <w:pStyle w:val="16"/>
            </w:pPr>
            <w:r>
              <w:t>452.71</w:t>
            </w:r>
          </w:p>
        </w:tc>
        <w:tc>
          <w:tcPr>
            <w:tcW w:w="2551" w:type="dxa"/>
            <w:vAlign w:val="center"/>
          </w:tcPr>
          <w:p>
            <w:pPr>
              <w:pStyle w:val="16"/>
            </w:pPr>
            <w:r>
              <w:t>60.48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2010101</w:t>
            </w:r>
          </w:p>
        </w:tc>
        <w:tc>
          <w:tcPr>
            <w:tcW w:w="4535" w:type="dxa"/>
            <w:vAlign w:val="center"/>
          </w:tcPr>
          <w:p>
            <w:pPr>
              <w:pStyle w:val="17"/>
            </w:pPr>
            <w:r>
              <w:t>行政运行</w:t>
            </w:r>
          </w:p>
        </w:tc>
        <w:tc>
          <w:tcPr>
            <w:tcW w:w="2551" w:type="dxa"/>
            <w:vAlign w:val="center"/>
          </w:tcPr>
          <w:p>
            <w:pPr>
              <w:pStyle w:val="16"/>
            </w:pPr>
            <w:r>
              <w:t>452.71</w:t>
            </w:r>
          </w:p>
        </w:tc>
        <w:tc>
          <w:tcPr>
            <w:tcW w:w="2551" w:type="dxa"/>
            <w:vAlign w:val="center"/>
          </w:tcPr>
          <w:p>
            <w:pPr>
              <w:pStyle w:val="16"/>
            </w:pPr>
            <w:r>
              <w:t>452.71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2010102</w:t>
            </w:r>
          </w:p>
        </w:tc>
        <w:tc>
          <w:tcPr>
            <w:tcW w:w="4535" w:type="dxa"/>
            <w:vAlign w:val="center"/>
          </w:tcPr>
          <w:p>
            <w:pPr>
              <w:pStyle w:val="17"/>
            </w:pPr>
            <w:r>
              <w:t>一般行政管理事务</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2010104</w:t>
            </w:r>
          </w:p>
        </w:tc>
        <w:tc>
          <w:tcPr>
            <w:tcW w:w="4535" w:type="dxa"/>
            <w:vAlign w:val="center"/>
          </w:tcPr>
          <w:p>
            <w:pPr>
              <w:pStyle w:val="17"/>
            </w:pPr>
            <w:r>
              <w:t>人大会议</w:t>
            </w:r>
          </w:p>
        </w:tc>
        <w:tc>
          <w:tcPr>
            <w:tcW w:w="2551" w:type="dxa"/>
            <w:vAlign w:val="center"/>
          </w:tcPr>
          <w:p>
            <w:pPr>
              <w:pStyle w:val="16"/>
            </w:pPr>
            <w:r>
              <w:t>45.60</w:t>
            </w:r>
          </w:p>
        </w:tc>
        <w:tc>
          <w:tcPr>
            <w:tcW w:w="2551" w:type="dxa"/>
            <w:vAlign w:val="center"/>
          </w:tcPr>
          <w:p>
            <w:pPr>
              <w:pStyle w:val="16"/>
            </w:pPr>
          </w:p>
        </w:tc>
        <w:tc>
          <w:tcPr>
            <w:tcW w:w="2551" w:type="dxa"/>
            <w:vAlign w:val="center"/>
          </w:tcPr>
          <w:p>
            <w:pPr>
              <w:pStyle w:val="16"/>
            </w:pPr>
            <w:r>
              <w:t>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2010106</w:t>
            </w:r>
          </w:p>
        </w:tc>
        <w:tc>
          <w:tcPr>
            <w:tcW w:w="4535" w:type="dxa"/>
            <w:vAlign w:val="center"/>
          </w:tcPr>
          <w:p>
            <w:pPr>
              <w:pStyle w:val="17"/>
            </w:pPr>
            <w:r>
              <w:t>人大监督</w:t>
            </w:r>
          </w:p>
        </w:tc>
        <w:tc>
          <w:tcPr>
            <w:tcW w:w="2551" w:type="dxa"/>
            <w:vAlign w:val="center"/>
          </w:tcPr>
          <w:p>
            <w:pPr>
              <w:pStyle w:val="16"/>
            </w:pPr>
            <w:r>
              <w:t>11.88</w:t>
            </w:r>
          </w:p>
        </w:tc>
        <w:tc>
          <w:tcPr>
            <w:tcW w:w="2551" w:type="dxa"/>
            <w:vAlign w:val="center"/>
          </w:tcPr>
          <w:p>
            <w:pPr>
              <w:pStyle w:val="16"/>
            </w:pPr>
          </w:p>
        </w:tc>
        <w:tc>
          <w:tcPr>
            <w:tcW w:w="2551" w:type="dxa"/>
            <w:vAlign w:val="center"/>
          </w:tcPr>
          <w:p>
            <w:pPr>
              <w:pStyle w:val="16"/>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168.52</w:t>
            </w:r>
          </w:p>
        </w:tc>
        <w:tc>
          <w:tcPr>
            <w:tcW w:w="2551" w:type="dxa"/>
            <w:vAlign w:val="center"/>
          </w:tcPr>
          <w:p>
            <w:pPr>
              <w:pStyle w:val="16"/>
            </w:pPr>
            <w:r>
              <w:t>168.52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168.52</w:t>
            </w:r>
          </w:p>
        </w:tc>
        <w:tc>
          <w:tcPr>
            <w:tcW w:w="2551" w:type="dxa"/>
            <w:vAlign w:val="center"/>
          </w:tcPr>
          <w:p>
            <w:pPr>
              <w:pStyle w:val="16"/>
            </w:pPr>
            <w:r>
              <w:t>168.52</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125.28</w:t>
            </w:r>
          </w:p>
        </w:tc>
        <w:tc>
          <w:tcPr>
            <w:tcW w:w="2551" w:type="dxa"/>
            <w:vAlign w:val="center"/>
          </w:tcPr>
          <w:p>
            <w:pPr>
              <w:pStyle w:val="16"/>
            </w:pPr>
            <w:r>
              <w:t>125.28</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43.24</w:t>
            </w:r>
          </w:p>
        </w:tc>
        <w:tc>
          <w:tcPr>
            <w:tcW w:w="2551" w:type="dxa"/>
            <w:vAlign w:val="center"/>
          </w:tcPr>
          <w:p>
            <w:pPr>
              <w:pStyle w:val="16"/>
            </w:pPr>
            <w:r>
              <w:t>43.24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28.37</w:t>
            </w:r>
          </w:p>
        </w:tc>
        <w:tc>
          <w:tcPr>
            <w:tcW w:w="2551" w:type="dxa"/>
            <w:vAlign w:val="center"/>
          </w:tcPr>
          <w:p>
            <w:pPr>
              <w:pStyle w:val="16"/>
            </w:pPr>
            <w:r>
              <w:t>28.37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28.37</w:t>
            </w:r>
          </w:p>
        </w:tc>
        <w:tc>
          <w:tcPr>
            <w:tcW w:w="2551" w:type="dxa"/>
            <w:vAlign w:val="center"/>
          </w:tcPr>
          <w:p>
            <w:pPr>
              <w:pStyle w:val="16"/>
            </w:pPr>
            <w:r>
              <w:t>28.37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28.37</w:t>
            </w:r>
          </w:p>
        </w:tc>
        <w:tc>
          <w:tcPr>
            <w:tcW w:w="2551" w:type="dxa"/>
            <w:vAlign w:val="center"/>
          </w:tcPr>
          <w:p>
            <w:pPr>
              <w:pStyle w:val="16"/>
            </w:pPr>
            <w:r>
              <w:t>28.37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34.98</w:t>
            </w:r>
          </w:p>
        </w:tc>
        <w:tc>
          <w:tcPr>
            <w:tcW w:w="2551" w:type="dxa"/>
            <w:vAlign w:val="center"/>
          </w:tcPr>
          <w:p>
            <w:pPr>
              <w:pStyle w:val="16"/>
            </w:pPr>
            <w:r>
              <w:t>34.98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34.98</w:t>
            </w:r>
          </w:p>
        </w:tc>
        <w:tc>
          <w:tcPr>
            <w:tcW w:w="2551" w:type="dxa"/>
            <w:vAlign w:val="center"/>
          </w:tcPr>
          <w:p>
            <w:pPr>
              <w:pStyle w:val="16"/>
            </w:pPr>
            <w:r>
              <w:t>34.98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34.98</w:t>
            </w:r>
          </w:p>
        </w:tc>
        <w:tc>
          <w:tcPr>
            <w:tcW w:w="2551" w:type="dxa"/>
            <w:vAlign w:val="center"/>
          </w:tcPr>
          <w:p>
            <w:pPr>
              <w:pStyle w:val="16"/>
            </w:pPr>
            <w:r>
              <w:t>34.98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rPr>
          <w:b/>
          <w:bCs/>
        </w:rPr>
      </w:pPr>
      <w:bookmarkStart w:id="5" w:name="_Toc_2_2_0000000006"/>
      <w:r>
        <w:rPr>
          <w:rFonts w:ascii="方正小标宋_GBK" w:hAnsi="方正小标宋_GBK" w:eastAsia="方正小标宋_GBK" w:cs="方正小标宋_GBK"/>
          <w:b/>
          <w:bCs/>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101保定市徐水区人民代表大会常务委员会办公室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684.59</w:t>
            </w:r>
          </w:p>
        </w:tc>
        <w:tc>
          <w:tcPr>
            <w:tcW w:w="2551" w:type="dxa"/>
            <w:vAlign w:val="center"/>
          </w:tcPr>
          <w:p>
            <w:pPr>
              <w:pStyle w:val="20"/>
            </w:pPr>
            <w:r>
              <w:t>618.39</w:t>
            </w:r>
          </w:p>
        </w:tc>
        <w:tc>
          <w:tcPr>
            <w:tcW w:w="2551" w:type="dxa"/>
            <w:vAlign w:val="center"/>
          </w:tcPr>
          <w:p>
            <w:pPr>
              <w:pStyle w:val="20"/>
            </w:pPr>
            <w:r>
              <w:t>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496.02</w:t>
            </w:r>
          </w:p>
        </w:tc>
        <w:tc>
          <w:tcPr>
            <w:tcW w:w="2551" w:type="dxa"/>
            <w:vAlign w:val="center"/>
          </w:tcPr>
          <w:p>
            <w:pPr>
              <w:pStyle w:val="16"/>
            </w:pPr>
            <w:r>
              <w:t>496.02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130.62</w:t>
            </w:r>
          </w:p>
        </w:tc>
        <w:tc>
          <w:tcPr>
            <w:tcW w:w="2551" w:type="dxa"/>
            <w:vAlign w:val="center"/>
          </w:tcPr>
          <w:p>
            <w:pPr>
              <w:pStyle w:val="16"/>
            </w:pPr>
            <w:r>
              <w:t>130.62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101.57</w:t>
            </w:r>
          </w:p>
        </w:tc>
        <w:tc>
          <w:tcPr>
            <w:tcW w:w="2551" w:type="dxa"/>
            <w:vAlign w:val="center"/>
          </w:tcPr>
          <w:p>
            <w:pPr>
              <w:pStyle w:val="16"/>
            </w:pPr>
            <w:r>
              <w:t>101.57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61.37</w:t>
            </w:r>
          </w:p>
        </w:tc>
        <w:tc>
          <w:tcPr>
            <w:tcW w:w="2551" w:type="dxa"/>
            <w:vAlign w:val="center"/>
          </w:tcPr>
          <w:p>
            <w:pPr>
              <w:pStyle w:val="16"/>
            </w:pPr>
            <w:r>
              <w:t>61.37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43.24</w:t>
            </w:r>
          </w:p>
        </w:tc>
        <w:tc>
          <w:tcPr>
            <w:tcW w:w="2551" w:type="dxa"/>
            <w:vAlign w:val="center"/>
          </w:tcPr>
          <w:p>
            <w:pPr>
              <w:pStyle w:val="16"/>
            </w:pPr>
            <w:r>
              <w:t>43.24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27.97</w:t>
            </w:r>
          </w:p>
        </w:tc>
        <w:tc>
          <w:tcPr>
            <w:tcW w:w="2551" w:type="dxa"/>
            <w:vAlign w:val="center"/>
          </w:tcPr>
          <w:p>
            <w:pPr>
              <w:pStyle w:val="16"/>
            </w:pPr>
            <w:r>
              <w:t>27.97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1.51</w:t>
            </w:r>
          </w:p>
        </w:tc>
        <w:tc>
          <w:tcPr>
            <w:tcW w:w="2551" w:type="dxa"/>
            <w:vAlign w:val="center"/>
          </w:tcPr>
          <w:p>
            <w:pPr>
              <w:pStyle w:val="16"/>
            </w:pPr>
            <w:r>
              <w:t>1.51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34.98</w:t>
            </w:r>
          </w:p>
        </w:tc>
        <w:tc>
          <w:tcPr>
            <w:tcW w:w="2551" w:type="dxa"/>
            <w:vAlign w:val="center"/>
          </w:tcPr>
          <w:p>
            <w:pPr>
              <w:pStyle w:val="16"/>
            </w:pPr>
            <w:r>
              <w:t>34.98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94.75</w:t>
            </w:r>
          </w:p>
        </w:tc>
        <w:tc>
          <w:tcPr>
            <w:tcW w:w="2551" w:type="dxa"/>
            <w:vAlign w:val="center"/>
          </w:tcPr>
          <w:p>
            <w:pPr>
              <w:pStyle w:val="16"/>
            </w:pPr>
            <w:r>
              <w:t>94.75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66.20</w:t>
            </w:r>
          </w:p>
        </w:tc>
        <w:tc>
          <w:tcPr>
            <w:tcW w:w="2551" w:type="dxa"/>
            <w:vAlign w:val="center"/>
          </w:tcPr>
          <w:p>
            <w:pPr>
              <w:pStyle w:val="16"/>
            </w:pPr>
          </w:p>
        </w:tc>
        <w:tc>
          <w:tcPr>
            <w:tcW w:w="2551" w:type="dxa"/>
            <w:vAlign w:val="center"/>
          </w:tcPr>
          <w:p>
            <w:pPr>
              <w:pStyle w:val="16"/>
            </w:pPr>
            <w:r>
              <w:t>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4.98</w:t>
            </w:r>
          </w:p>
        </w:tc>
        <w:tc>
          <w:tcPr>
            <w:tcW w:w="2551" w:type="dxa"/>
            <w:vAlign w:val="center"/>
          </w:tcPr>
          <w:p>
            <w:pPr>
              <w:pStyle w:val="16"/>
            </w:pPr>
          </w:p>
        </w:tc>
        <w:tc>
          <w:tcPr>
            <w:tcW w:w="2551" w:type="dxa"/>
            <w:vAlign w:val="center"/>
          </w:tcPr>
          <w:p>
            <w:pPr>
              <w:pStyle w:val="16"/>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14.74</w:t>
            </w:r>
          </w:p>
        </w:tc>
        <w:tc>
          <w:tcPr>
            <w:tcW w:w="2551" w:type="dxa"/>
            <w:vAlign w:val="center"/>
          </w:tcPr>
          <w:p>
            <w:pPr>
              <w:pStyle w:val="16"/>
            </w:pPr>
          </w:p>
        </w:tc>
        <w:tc>
          <w:tcPr>
            <w:tcW w:w="2551" w:type="dxa"/>
            <w:vAlign w:val="center"/>
          </w:tcPr>
          <w:p>
            <w:pPr>
              <w:pStyle w:val="16"/>
            </w:pPr>
            <w:r>
              <w:t>14.74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pPr>
            <w:r>
              <w:t>0.50</w:t>
            </w:r>
          </w:p>
        </w:tc>
        <w:tc>
          <w:tcPr>
            <w:tcW w:w="2551" w:type="dxa"/>
            <w:vAlign w:val="center"/>
          </w:tcPr>
          <w:p>
            <w:pPr>
              <w:pStyle w:val="16"/>
            </w:pPr>
          </w:p>
        </w:tc>
        <w:tc>
          <w:tcPr>
            <w:tcW w:w="2551"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4.40</w:t>
            </w:r>
          </w:p>
        </w:tc>
        <w:tc>
          <w:tcPr>
            <w:tcW w:w="2551" w:type="dxa"/>
            <w:vAlign w:val="center"/>
          </w:tcPr>
          <w:p>
            <w:pPr>
              <w:pStyle w:val="16"/>
            </w:pPr>
          </w:p>
        </w:tc>
        <w:tc>
          <w:tcPr>
            <w:tcW w:w="2551" w:type="dxa"/>
            <w:vAlign w:val="center"/>
          </w:tcPr>
          <w:p>
            <w:pPr>
              <w:pStyle w:val="16"/>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3.27</w:t>
            </w:r>
          </w:p>
        </w:tc>
        <w:tc>
          <w:tcPr>
            <w:tcW w:w="2551" w:type="dxa"/>
            <w:vAlign w:val="center"/>
          </w:tcPr>
          <w:p>
            <w:pPr>
              <w:pStyle w:val="16"/>
            </w:pPr>
          </w:p>
        </w:tc>
        <w:tc>
          <w:tcPr>
            <w:tcW w:w="2551" w:type="dxa"/>
            <w:vAlign w:val="center"/>
          </w:tcPr>
          <w:p>
            <w:pPr>
              <w:pStyle w:val="16"/>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9.72</w:t>
            </w:r>
          </w:p>
        </w:tc>
        <w:tc>
          <w:tcPr>
            <w:tcW w:w="2551" w:type="dxa"/>
            <w:vAlign w:val="center"/>
          </w:tcPr>
          <w:p>
            <w:pPr>
              <w:pStyle w:val="16"/>
            </w:pPr>
          </w:p>
        </w:tc>
        <w:tc>
          <w:tcPr>
            <w:tcW w:w="2551" w:type="dxa"/>
            <w:vAlign w:val="center"/>
          </w:tcPr>
          <w:p>
            <w:pPr>
              <w:pStyle w:val="16"/>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20.84</w:t>
            </w:r>
          </w:p>
        </w:tc>
        <w:tc>
          <w:tcPr>
            <w:tcW w:w="2551" w:type="dxa"/>
            <w:vAlign w:val="center"/>
          </w:tcPr>
          <w:p>
            <w:pPr>
              <w:pStyle w:val="16"/>
            </w:pPr>
          </w:p>
        </w:tc>
        <w:tc>
          <w:tcPr>
            <w:tcW w:w="2551" w:type="dxa"/>
            <w:vAlign w:val="center"/>
          </w:tcPr>
          <w:p>
            <w:pPr>
              <w:pStyle w:val="16"/>
            </w:pPr>
            <w:r>
              <w:t>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6.76</w:t>
            </w:r>
          </w:p>
        </w:tc>
        <w:tc>
          <w:tcPr>
            <w:tcW w:w="2551" w:type="dxa"/>
            <w:vAlign w:val="center"/>
          </w:tcPr>
          <w:p>
            <w:pPr>
              <w:pStyle w:val="16"/>
            </w:pPr>
          </w:p>
        </w:tc>
        <w:tc>
          <w:tcPr>
            <w:tcW w:w="2551" w:type="dxa"/>
            <w:vAlign w:val="center"/>
          </w:tcPr>
          <w:p>
            <w:pPr>
              <w:pStyle w:val="16"/>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122.37</w:t>
            </w:r>
          </w:p>
        </w:tc>
        <w:tc>
          <w:tcPr>
            <w:tcW w:w="2551" w:type="dxa"/>
            <w:vAlign w:val="center"/>
          </w:tcPr>
          <w:p>
            <w:pPr>
              <w:pStyle w:val="16"/>
            </w:pPr>
            <w:r>
              <w:t>122.37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118.74</w:t>
            </w:r>
          </w:p>
        </w:tc>
        <w:tc>
          <w:tcPr>
            <w:tcW w:w="2551" w:type="dxa"/>
            <w:vAlign w:val="center"/>
          </w:tcPr>
          <w:p>
            <w:pPr>
              <w:pStyle w:val="16"/>
            </w:pPr>
            <w:r>
              <w:t>118.74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3.63</w:t>
            </w:r>
          </w:p>
        </w:tc>
        <w:tc>
          <w:tcPr>
            <w:tcW w:w="2551" w:type="dxa"/>
            <w:vAlign w:val="center"/>
          </w:tcPr>
          <w:p>
            <w:pPr>
              <w:pStyle w:val="16"/>
            </w:pPr>
            <w:r>
              <w:t>3.63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rPr>
          <w:b/>
          <w:bCs/>
        </w:rPr>
      </w:pPr>
      <w:bookmarkStart w:id="6" w:name="_Toc_2_2_0000000007"/>
      <w:r>
        <w:rPr>
          <w:rFonts w:ascii="方正小标宋_GBK" w:hAnsi="方正小标宋_GBK" w:eastAsia="方正小标宋_GBK" w:cs="方正小标宋_GBK"/>
          <w:b/>
          <w:bCs/>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101保定市徐水区人民代表大会常务委员会办公室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rPr>
          <w:b/>
          <w:bCs/>
        </w:rPr>
      </w:pPr>
      <w:bookmarkStart w:id="7" w:name="_Toc_2_2_0000000008"/>
      <w:r>
        <w:rPr>
          <w:rFonts w:ascii="方正小标宋_GBK" w:hAnsi="方正小标宋_GBK" w:eastAsia="方正小标宋_GBK" w:cs="方正小标宋_GBK"/>
          <w:b/>
          <w:bCs/>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101保定市徐水区人民代表大会常务委员会办公室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b/>
          <w:bCs/>
        </w:rPr>
      </w:pPr>
      <w:bookmarkStart w:id="8" w:name="_Toc_2_2_0000000009"/>
      <w:r>
        <w:rPr>
          <w:rFonts w:ascii="方正小标宋_GBK" w:hAnsi="方正小标宋_GBK" w:eastAsia="方正小标宋_GBK" w:cs="方正小标宋_GBK"/>
          <w:b/>
          <w:bCs/>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101保定市徐水区人民代表大会常务委员会办公室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pPr>
            <w:r>
              <w:t>10.72</w:t>
            </w:r>
          </w:p>
        </w:tc>
        <w:tc>
          <w:tcPr>
            <w:tcW w:w="2381" w:type="dxa"/>
            <w:vAlign w:val="center"/>
          </w:tcPr>
          <w:p>
            <w:pPr>
              <w:pStyle w:val="20"/>
            </w:pPr>
            <w:r>
              <w:t>10.72</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pPr>
            <w:r>
              <w:t>10.72</w:t>
            </w:r>
          </w:p>
        </w:tc>
        <w:tc>
          <w:tcPr>
            <w:tcW w:w="2381" w:type="dxa"/>
            <w:vAlign w:val="center"/>
          </w:tcPr>
          <w:p>
            <w:pPr>
              <w:pStyle w:val="16"/>
            </w:pPr>
            <w:r>
              <w:t>10.72</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pPr>
            <w:r>
              <w:t>9.72</w:t>
            </w:r>
          </w:p>
        </w:tc>
        <w:tc>
          <w:tcPr>
            <w:tcW w:w="2381" w:type="dxa"/>
            <w:vAlign w:val="center"/>
          </w:tcPr>
          <w:p>
            <w:pPr>
              <w:pStyle w:val="16"/>
            </w:pPr>
            <w:r>
              <w:t>9.72</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pPr>
            <w:r>
              <w:t>9.72</w:t>
            </w:r>
          </w:p>
        </w:tc>
        <w:tc>
          <w:tcPr>
            <w:tcW w:w="2381" w:type="dxa"/>
            <w:vAlign w:val="center"/>
          </w:tcPr>
          <w:p>
            <w:pPr>
              <w:pStyle w:val="16"/>
            </w:pPr>
            <w:r>
              <w:t>9.72</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pPr>
            <w:r>
              <w:t>1.00</w:t>
            </w:r>
          </w:p>
        </w:tc>
        <w:tc>
          <w:tcPr>
            <w:tcW w:w="2381" w:type="dxa"/>
            <w:vAlign w:val="center"/>
          </w:tcPr>
          <w:p>
            <w:pPr>
              <w:pStyle w:val="16"/>
            </w:pPr>
            <w:r>
              <w:t>1.00</w:t>
            </w: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保定市徐水区人民代表大会常务委员会办公室2023年部门预算信息公开情况说明</w:t>
      </w:r>
    </w:p>
    <w:p>
      <w:pPr>
        <w:jc w:val="center"/>
        <w:rPr>
          <w:rFonts w:ascii="方正小标宋_GBK" w:hAnsi="方正小标宋_GBK" w:eastAsia="方正小标宋_GBK" w:cs="方正小标宋_GBK"/>
          <w:b/>
          <w:bCs/>
          <w:color w:val="000000"/>
          <w:sz w:val="44"/>
        </w:rPr>
      </w:pPr>
      <w:r>
        <w:rPr>
          <w:rFonts w:ascii="方正小标宋_GBK" w:hAnsi="方正小标宋_GBK" w:eastAsia="方正小标宋_GBK" w:cs="方正小标宋_GBK"/>
          <w:b/>
          <w:bCs/>
          <w:color w:val="000000"/>
          <w:sz w:val="44"/>
        </w:rPr>
        <w:t>保定市徐水区人民代表大会常务委员会办公室</w:t>
      </w:r>
    </w:p>
    <w:p>
      <w:pPr>
        <w:jc w:val="center"/>
        <w:rPr>
          <w:b/>
          <w:bCs/>
        </w:rPr>
      </w:pPr>
      <w:r>
        <w:rPr>
          <w:rFonts w:ascii="方正小标宋_GBK" w:hAnsi="方正小标宋_GBK" w:eastAsia="方正小标宋_GBK" w:cs="方正小标宋_GBK"/>
          <w:b/>
          <w:bCs/>
          <w:color w:val="000000"/>
          <w:sz w:val="44"/>
        </w:rPr>
        <w:t>2023年部门预算信息公开情况说明</w:t>
      </w:r>
    </w:p>
    <w:p>
      <w:pPr>
        <w:spacing w:line="500" w:lineRule="exact"/>
        <w:ind w:firstLine="560"/>
        <w:rPr>
          <w:rFonts w:eastAsia="方正仿宋_GBK"/>
          <w:color w:val="000000"/>
          <w:sz w:val="28"/>
        </w:rPr>
      </w:pPr>
    </w:p>
    <w:p>
      <w:pPr>
        <w:spacing w:line="560" w:lineRule="exact"/>
        <w:ind w:firstLine="561"/>
        <w:rPr>
          <w:rFonts w:eastAsia="方正仿宋_GBK"/>
          <w:color w:val="000000"/>
          <w:sz w:val="28"/>
        </w:rPr>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、《地方预决算公开操作规程》和《关于进一步推进预算公开工作的实施意见》规定，现将保定市徐水区人民代表大会常务委员会办公室2023年部门预算公开如下：</w:t>
      </w:r>
    </w:p>
    <w:p>
      <w:pPr>
        <w:spacing w:line="200" w:lineRule="exact"/>
        <w:ind w:firstLine="561"/>
        <w:rPr>
          <w:rFonts w:eastAsia="方正仿宋_GBK"/>
          <w:color w:val="000000"/>
          <w:sz w:val="28"/>
        </w:rPr>
      </w:pP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56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部门职责：</w:t>
      </w:r>
    </w:p>
    <w:p>
      <w:pPr>
        <w:spacing w:line="500" w:lineRule="exact"/>
        <w:ind w:firstLine="560"/>
        <w:rPr>
          <w:lang w:val="uk-UA"/>
        </w:rPr>
      </w:pPr>
      <w:r>
        <w:rPr>
          <w:rFonts w:eastAsia="方正仿宋_GBK"/>
          <w:color w:val="000000"/>
          <w:sz w:val="28"/>
        </w:rPr>
        <w:t>根据《保定市徐水区人民代表大会常务委员会办公室职能配置、内设机构和人员编制规定》，保定市徐水区人民代表大会常务委员会办公室的主要职责是：</w:t>
      </w:r>
    </w:p>
    <w:p>
      <w:pPr>
        <w:pStyle w:val="22"/>
        <w:spacing w:line="560" w:lineRule="exact"/>
      </w:pPr>
      <w:r>
        <w:t>（一）为人大会议服务。主要为本级人民代表大会和人大常委会会议、主任会议服务，包括发送会议通知、准备会议文件、提供必要的资料，起草会议的议程草案、安排会议、会议记录等。</w:t>
      </w:r>
    </w:p>
    <w:p>
      <w:pPr>
        <w:pStyle w:val="22"/>
        <w:spacing w:line="560" w:lineRule="exact"/>
      </w:pPr>
      <w:r>
        <w:t>（二）为人大日常工作服务。负责联系代表、安排代表活动，组织视察、调研、执法检查等，处理代表和人大常委会组成人员提出的议案、建议、批评和意见，接待人民群众的来信来访。</w:t>
      </w:r>
    </w:p>
    <w:p>
      <w:pPr>
        <w:pStyle w:val="22"/>
        <w:spacing w:line="560" w:lineRule="exact"/>
      </w:pPr>
      <w:r>
        <w:t>（三）提供研究、咨询服务。围绕人大制度建设和民主法制建设进行调查研究，发现问题并提供解决问题的办法，为人大及其常委会决议决定提供信息和参考。</w:t>
      </w:r>
    </w:p>
    <w:p>
      <w:pPr>
        <w:pStyle w:val="22"/>
        <w:spacing w:line="560" w:lineRule="exact"/>
      </w:pPr>
      <w:r>
        <w:t>（四）提供后勤服务。包括为人大及其常委会工作人员的工作、生活提供一些必要的保障。</w:t>
      </w:r>
    </w:p>
    <w:p>
      <w:pPr>
        <w:pStyle w:val="22"/>
        <w:spacing w:line="560" w:lineRule="exact"/>
      </w:pPr>
    </w:p>
    <w:p>
      <w:pPr>
        <w:pStyle w:val="22"/>
        <w:spacing w:line="560" w:lineRule="exact"/>
      </w:pPr>
    </w:p>
    <w:p>
      <w:pPr>
        <w:pStyle w:val="22"/>
        <w:spacing w:line="200" w:lineRule="exact"/>
        <w:ind w:firstLine="561"/>
      </w:pPr>
    </w:p>
    <w:p>
      <w:pPr>
        <w:ind w:firstLine="640"/>
      </w:pPr>
      <w:r>
        <w:rPr>
          <w:rFonts w:ascii="方正楷体_GBK" w:hAnsi="方正楷体_GBK" w:eastAsia="方正楷体_GBK" w:cs="方正楷体_GBK"/>
          <w:b/>
          <w:color w:val="000000"/>
          <w:sz w:val="32"/>
        </w:rPr>
        <w:t>机构设置：</w:t>
      </w:r>
    </w:p>
    <w:p>
      <w:pPr>
        <w:jc w:val="center"/>
        <w:rPr>
          <w:b/>
          <w:bCs/>
        </w:rPr>
      </w:pPr>
      <w:r>
        <w:rPr>
          <w:rFonts w:ascii="方正小标宋_GBK" w:hAnsi="方正小标宋_GBK" w:eastAsia="方正小标宋_GBK" w:cs="方正小标宋_GBK"/>
          <w:b/>
          <w:bCs/>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保定市徐水区人民代表大会常务委员会办公室本级</w:t>
            </w:r>
          </w:p>
        </w:tc>
        <w:tc>
          <w:tcPr>
            <w:tcW w:w="1843" w:type="dxa"/>
            <w:vAlign w:val="center"/>
          </w:tcPr>
          <w:p>
            <w:pPr>
              <w:pStyle w:val="18"/>
            </w:pPr>
            <w:r>
              <w:t>行政</w:t>
            </w:r>
          </w:p>
        </w:tc>
        <w:tc>
          <w:tcPr>
            <w:tcW w:w="2126" w:type="dxa"/>
            <w:vAlign w:val="center"/>
          </w:tcPr>
          <w:p>
            <w:pPr>
              <w:pStyle w:val="18"/>
            </w:pPr>
            <w:r>
              <w:t>正处（县）级</w:t>
            </w:r>
          </w:p>
        </w:tc>
        <w:tc>
          <w:tcPr>
            <w:tcW w:w="3827" w:type="dxa"/>
            <w:vAlign w:val="center"/>
          </w:tcPr>
          <w:p>
            <w:pPr>
              <w:pStyle w:val="18"/>
            </w:pPr>
            <w:r>
              <w:t>财政拨款</w:t>
            </w:r>
          </w:p>
        </w:tc>
      </w:tr>
    </w:tbl>
    <w:p>
      <w:pPr>
        <w:spacing w:before="10" w:after="10" w:line="360" w:lineRule="exact"/>
        <w:ind w:firstLine="641"/>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20" w:lineRule="exact"/>
        <w:ind w:firstLine="561"/>
      </w:pPr>
      <w:r>
        <w:rPr>
          <w:rFonts w:eastAsia="方正仿宋_GBK"/>
          <w:color w:val="000000"/>
          <w:sz w:val="28"/>
        </w:rPr>
        <w:t>按照预算管理有关规定，目前我省部门预算的编制实行综合预算管理，即全部收入和支出都反映在预算中。保定市徐水区人民代表大会常务委员会办公室机关及所属事业单位的收支包含在部门预算中。</w:t>
      </w:r>
    </w:p>
    <w:p>
      <w:pPr>
        <w:pStyle w:val="23"/>
      </w:pPr>
      <w:r>
        <w:t>一、收入说明</w:t>
      </w:r>
    </w:p>
    <w:p>
      <w:pPr>
        <w:pStyle w:val="23"/>
        <w:spacing w:line="520" w:lineRule="exact"/>
        <w:ind w:firstLine="561"/>
      </w:pPr>
      <w:r>
        <w:t>反映本部门当年全部收入。2023年预算收入745.08万元，其中：一般公共预算收入745.07万元，基金预算收入0万元，国有资本经营预算收入0万元，财政专户核拨收入0万元，单位资金收入0.01万元，上年结转结余0万元。</w:t>
      </w:r>
    </w:p>
    <w:p>
      <w:pPr>
        <w:pStyle w:val="23"/>
        <w:spacing w:line="520" w:lineRule="exact"/>
        <w:ind w:firstLine="561"/>
      </w:pPr>
      <w:r>
        <w:t>二、支出说明</w:t>
      </w:r>
    </w:p>
    <w:p>
      <w:pPr>
        <w:pStyle w:val="23"/>
        <w:spacing w:line="520" w:lineRule="exact"/>
        <w:ind w:firstLine="561"/>
      </w:pPr>
      <w:r>
        <w:t>收支预算总表支出栏、基本支出表、项目支出表按经济分类和支出功能分类科目编制，反映保定市徐水区人民代表大会常务委员会办公室年度部门预算中支出预算的总体情况。2023年支出预算745.08万元，其中基本支出684.59万元，包括人员经费618.39万元和日常公用经费66.20万元；项目支出60.49万元，主要为1、单位其他资金0.01万元；2、2023年一般公共预算本级项目60.48万元等。</w:t>
      </w:r>
    </w:p>
    <w:p>
      <w:pPr>
        <w:pStyle w:val="23"/>
        <w:spacing w:line="520" w:lineRule="exact"/>
        <w:ind w:firstLine="561"/>
      </w:pPr>
      <w:r>
        <w:t>三、比上年增减情况</w:t>
      </w:r>
    </w:p>
    <w:p>
      <w:pPr>
        <w:pStyle w:val="23"/>
        <w:spacing w:line="520" w:lineRule="exact"/>
        <w:ind w:firstLine="561"/>
      </w:pPr>
      <w:r>
        <w:t>本年度预算收支安排745.08万元，较上年减少161.93万元。其中:基本支出减少164.9万元,主要原因是人员</w:t>
      </w:r>
      <w:r>
        <w:rPr>
          <w:rFonts w:hint="eastAsia" w:eastAsiaTheme="minorEastAsia"/>
          <w:lang w:eastAsia="zh-CN"/>
        </w:rPr>
        <w:t>经费</w:t>
      </w:r>
      <w:r>
        <w:t>减少；项目支出增加2.97万元，主要原因是项目增加。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4"/>
      </w:pPr>
      <w:r>
        <w:t>2023年我部门机关运行经费安排66.20万元，其中办公费4.98万元，邮电费14.74万元，工会经费4.40万元，福利费3.27万元，公务用车运行维护费9.72万元，其他支出29.09万元。</w:t>
      </w:r>
    </w:p>
    <w:p>
      <w:pPr>
        <w:pStyle w:val="24"/>
        <w:spacing w:line="300" w:lineRule="exact"/>
        <w:ind w:firstLine="56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5"/>
      </w:pPr>
      <w:r>
        <w:t>2023年，我部门财政拨款“三公”经费预算安排10.72万元，其中因公出国（境）费0万元；公务用车购置及运维费9.72万元（其中：公务用车购置费为0万元，公务用车运维费9.72万元)；公务接待费1.00万元。与2022年相比减少0.18万元，减少的主要原因是：</w:t>
      </w:r>
      <w:r>
        <w:rPr>
          <w:rFonts w:hint="eastAsia"/>
          <w:lang w:val="en-US" w:eastAsia="zh-CN"/>
        </w:rPr>
        <w:t>2023年公务接待任务比往年较少</w:t>
      </w:r>
      <w:r>
        <w:t>。</w:t>
      </w:r>
    </w:p>
    <w:p>
      <w:pPr>
        <w:pStyle w:val="25"/>
        <w:spacing w:line="300" w:lineRule="exact"/>
        <w:ind w:firstLine="561"/>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hint="eastAsia" w:ascii="仿宋" w:hAnsi="仿宋" w:eastAsia="仿宋" w:cs="仿宋"/>
          <w:b/>
          <w:color w:val="000000"/>
          <w:sz w:val="32"/>
        </w:rPr>
        <w:t>第一部分 部门整体绩效目标</w:t>
      </w:r>
    </w:p>
    <w:p>
      <w:pPr>
        <w:spacing w:line="540" w:lineRule="exact"/>
        <w:ind w:firstLine="561"/>
      </w:pPr>
      <w:r>
        <w:rPr>
          <w:rFonts w:eastAsia="方正仿宋_GBK"/>
          <w:color w:val="000000"/>
          <w:sz w:val="28"/>
        </w:rPr>
        <w:t>（一）总体绩效目标</w:t>
      </w:r>
    </w:p>
    <w:p>
      <w:pPr>
        <w:pStyle w:val="26"/>
        <w:spacing w:line="540" w:lineRule="exact"/>
        <w:ind w:firstLine="561"/>
      </w:pPr>
      <w:r>
        <w:t>做好区人大常委会主任会议、常委会会议、人民代表大会及其他重要会议的组织准备和会务工作，督办会议决定事项的落实；负责人事任免事项的具体工作；负责人大代表的选举、补选、罢免、代表资格审查等具体工作；批办上级和本级党委、国家机关及有关部门的来文和人民群众来信来访；区人大常委会审议专项工作报告、讨论决定重大事项，对相关工作进行专项视察或者调查研究。对“一府一委两院”落实常委会决议、决定和组成人员审议意见情况，进行跟踪检查；负责人大代表质询案及议案和建议、批评、意见的办理和督办；组织人大代表的调查、视察、检查等活动，在区人大常委会审议专项工作报告、讨论决定重大事项前，对相关工作进行专项视察或者调查研究，提出意见和建议。对“一府一委两院”落实常委会决议、决定和组成人员审议意见情况，进行跟踪检查；加强与上级人大常委会和有关委员会的沟通交流联系，协助其进行调研、视察、检查等工作；根据区第三届人民代表大会第3次会议通过的工作报告；审查和批准2022年国民经济和社会发展计划执行情况与2023年国民经济和社会发展计划；审查和批准徐水区2022年财政预算执行情况和2023年财政预算；审议2022年徐水区民生实事项目完成情况；审议决定常务委员会应当依法审议、决定的其他重要事项；提供后勤服务，包括为人大及其常委会工作人员的工作、生活提供一些必要的保障。</w:t>
      </w:r>
    </w:p>
    <w:p>
      <w:pPr>
        <w:spacing w:line="540" w:lineRule="exact"/>
        <w:ind w:firstLine="561"/>
      </w:pPr>
      <w:r>
        <w:rPr>
          <w:rFonts w:eastAsia="方正仿宋_GBK"/>
          <w:color w:val="000000"/>
          <w:sz w:val="28"/>
        </w:rPr>
        <w:t>（二）分项绩效目标</w:t>
      </w:r>
    </w:p>
    <w:p>
      <w:pPr>
        <w:pStyle w:val="27"/>
        <w:spacing w:line="540" w:lineRule="exact"/>
        <w:ind w:firstLine="561"/>
      </w:pPr>
      <w:r>
        <w:rPr>
          <w:rFonts w:hint="eastAsia" w:eastAsiaTheme="minorEastAsia"/>
          <w:lang w:eastAsia="zh-CN"/>
        </w:rPr>
        <w:t>1、</w:t>
      </w:r>
      <w:r>
        <w:t>人大监督工作促进各项法律法规、人大会议、报告等的落实；促进“一府两院”改进工作；提高规范性文件质量；促进社会和谐稳定。</w:t>
      </w:r>
    </w:p>
    <w:p>
      <w:pPr>
        <w:pStyle w:val="27"/>
        <w:spacing w:line="540" w:lineRule="exact"/>
        <w:ind w:firstLine="561"/>
      </w:pPr>
      <w:r>
        <w:t>绩效目标：保障法律法规有效实施，发挥常委会组成人员及代表的桥梁纽带作用，集中反映民意。</w:t>
      </w:r>
    </w:p>
    <w:p>
      <w:pPr>
        <w:pStyle w:val="27"/>
        <w:spacing w:line="540" w:lineRule="exact"/>
        <w:ind w:firstLine="561"/>
      </w:pPr>
      <w:r>
        <w:t>绩效指标：监督工作任务完成率。</w:t>
      </w:r>
    </w:p>
    <w:p>
      <w:pPr>
        <w:pStyle w:val="27"/>
        <w:spacing w:line="540" w:lineRule="exact"/>
        <w:ind w:firstLine="561"/>
      </w:pPr>
      <w:r>
        <w:rPr>
          <w:rFonts w:hint="eastAsia" w:eastAsiaTheme="minorEastAsia"/>
          <w:lang w:eastAsia="zh-CN"/>
        </w:rPr>
        <w:t>2、</w:t>
      </w:r>
      <w:r>
        <w:t>人大会议工作完善各项会议制度,规范会议程序，提高会议质量，提高人大代表及常委会审议水平。</w:t>
      </w:r>
    </w:p>
    <w:p>
      <w:pPr>
        <w:pStyle w:val="27"/>
        <w:spacing w:line="540" w:lineRule="exact"/>
        <w:ind w:firstLine="561"/>
      </w:pPr>
      <w:r>
        <w:t>绩效目标：完善各项会议制度，规范会议程序，提高会议质量。</w:t>
      </w:r>
    </w:p>
    <w:p>
      <w:pPr>
        <w:pStyle w:val="27"/>
        <w:spacing w:line="540" w:lineRule="exact"/>
        <w:ind w:firstLine="561"/>
      </w:pPr>
      <w:r>
        <w:t>绩效指标：会议召开率，会议任务完成率。</w:t>
      </w:r>
    </w:p>
    <w:p>
      <w:pPr>
        <w:pStyle w:val="27"/>
        <w:spacing w:line="540" w:lineRule="exact"/>
        <w:ind w:firstLine="561"/>
      </w:pPr>
      <w:r>
        <w:rPr>
          <w:rFonts w:hint="eastAsia" w:eastAsiaTheme="minorEastAsia"/>
          <w:lang w:eastAsia="zh-CN"/>
        </w:rPr>
        <w:t>3、</w:t>
      </w:r>
      <w:r>
        <w:t>选举了任免工作确保换届选举工作顺利完成，实现省市和区委人事安排部署；提高组织换届选举工作水平。</w:t>
      </w:r>
    </w:p>
    <w:p>
      <w:pPr>
        <w:pStyle w:val="27"/>
        <w:spacing w:line="540" w:lineRule="exact"/>
        <w:ind w:firstLine="561"/>
      </w:pPr>
      <w:r>
        <w:t xml:space="preserve">绩效目标：依法依规完成人大选举及常委会人事任免工作。  </w:t>
      </w:r>
    </w:p>
    <w:p>
      <w:pPr>
        <w:pStyle w:val="27"/>
        <w:spacing w:line="540" w:lineRule="exact"/>
        <w:ind w:firstLine="561"/>
      </w:pPr>
      <w:r>
        <w:t>绩效指标：工作完成率、任务实现率。</w:t>
      </w:r>
    </w:p>
    <w:p>
      <w:pPr>
        <w:pStyle w:val="27"/>
        <w:spacing w:line="540" w:lineRule="exact"/>
        <w:ind w:firstLine="561"/>
      </w:pPr>
      <w:r>
        <w:t>4</w:t>
      </w:r>
      <w:r>
        <w:rPr>
          <w:rFonts w:hint="eastAsia" w:eastAsiaTheme="minorEastAsia"/>
          <w:lang w:eastAsia="zh-CN"/>
        </w:rPr>
        <w:t>、</w:t>
      </w:r>
      <w:r>
        <w:t>人大事务管理工作促进机关自身建设、服务保障能力进一步提升。</w:t>
      </w:r>
    </w:p>
    <w:p>
      <w:pPr>
        <w:pStyle w:val="27"/>
        <w:spacing w:line="540" w:lineRule="exact"/>
        <w:ind w:firstLine="561"/>
      </w:pPr>
      <w:r>
        <w:t xml:space="preserve">绩效目标：机关自身建设、服务保障能力进一步提升。  </w:t>
      </w:r>
    </w:p>
    <w:p>
      <w:pPr>
        <w:pStyle w:val="27"/>
        <w:spacing w:line="540" w:lineRule="exact"/>
        <w:ind w:firstLine="561"/>
      </w:pPr>
      <w:r>
        <w:t>绩效指标：工作任务完成率。</w:t>
      </w:r>
    </w:p>
    <w:p>
      <w:pPr>
        <w:spacing w:line="540" w:lineRule="exact"/>
        <w:ind w:firstLine="561"/>
      </w:pPr>
      <w:r>
        <w:rPr>
          <w:rFonts w:eastAsia="方正仿宋_GBK"/>
          <w:color w:val="000000"/>
          <w:sz w:val="28"/>
        </w:rPr>
        <w:t>（三）工作保障措施</w:t>
      </w:r>
    </w:p>
    <w:p>
      <w:pPr>
        <w:pStyle w:val="28"/>
        <w:spacing w:line="540" w:lineRule="exact"/>
        <w:ind w:firstLine="561"/>
      </w:pPr>
      <w:r>
        <w:t>1、加强制度建设。建立健全机关预算绩效管理制度，为全年预算绩效目标的实现奠定制度基础。</w:t>
      </w:r>
    </w:p>
    <w:p>
      <w:pPr>
        <w:pStyle w:val="28"/>
        <w:spacing w:line="540" w:lineRule="exact"/>
        <w:ind w:firstLine="561"/>
      </w:pPr>
      <w:r>
        <w:t>2、加强财务管理。进一步完善财务管理制度，通过科学编制预算、优化支出结构、加快政府采购、加快项目建设、及时拨付资金，确保经费支出进度达到规定标准。</w:t>
      </w:r>
    </w:p>
    <w:p>
      <w:pPr>
        <w:pStyle w:val="28"/>
        <w:spacing w:line="540" w:lineRule="exact"/>
        <w:ind w:firstLine="561"/>
      </w:pPr>
      <w:r>
        <w:t>3、加强内部监督。加强内部监督制度建设,对绩效运行、重大支出事项、资产处置及其他重要经济业务事项决策和执行进行监督，定期开展财务内部审计，确保财政资金使用安全合规。</w:t>
      </w:r>
    </w:p>
    <w:p>
      <w:pPr>
        <w:pStyle w:val="28"/>
        <w:spacing w:line="540" w:lineRule="exact"/>
        <w:ind w:firstLine="561"/>
      </w:pPr>
      <w:r>
        <w:t>4、加强绩效监控。积极开展绩效运行监控，发现问题及时采取措施，确保绩效目标如期保质实现。</w:t>
      </w:r>
    </w:p>
    <w:p>
      <w:pPr>
        <w:pStyle w:val="28"/>
        <w:spacing w:line="540" w:lineRule="exact"/>
        <w:ind w:firstLine="561"/>
      </w:pPr>
      <w:r>
        <w:t>5、做好绩效自评。按要求开展部门预算绩效自评和重点项目评价工作，对评价中发现的问题及时整改。</w:t>
      </w:r>
    </w:p>
    <w:p>
      <w:pPr>
        <w:pStyle w:val="28"/>
        <w:spacing w:line="540" w:lineRule="exact"/>
        <w:ind w:firstLine="561"/>
      </w:pPr>
      <w:r>
        <w:t>6、加强宣传培训。加强人员培训，加大宣传力度，强化预算绩效管理意识，促进预算绩效管理水平提升。</w:t>
      </w:r>
    </w:p>
    <w:p>
      <w:pPr>
        <w:pStyle w:val="28"/>
        <w:spacing w:line="540" w:lineRule="exact"/>
        <w:ind w:firstLine="561"/>
      </w:pPr>
    </w:p>
    <w:p>
      <w:pPr>
        <w:ind w:firstLine="640"/>
        <w:sectPr>
          <w:pgSz w:w="16840" w:h="11900" w:orient="landscape"/>
          <w:pgMar w:top="1361" w:right="1020" w:bottom="1134" w:left="1020" w:header="720" w:footer="720" w:gutter="0"/>
          <w:cols w:space="720" w:num="1"/>
        </w:sectPr>
      </w:pPr>
      <w:r>
        <w:rPr>
          <w:rFonts w:hint="eastAsia" w:ascii="仿宋" w:hAnsi="仿宋" w:eastAsia="仿宋" w:cs="仿宋"/>
          <w:b/>
          <w:color w:val="000000"/>
          <w:sz w:val="32"/>
        </w:rPr>
        <w:t>第二部分  预算项目绩效目标</w:t>
      </w:r>
    </w:p>
    <w:p>
      <w:pPr>
        <w:ind w:firstLine="560"/>
      </w:pPr>
      <w:r>
        <w:rPr>
          <w:rFonts w:ascii="方正仿宋_GBK" w:hAnsi="方正仿宋_GBK" w:eastAsia="方正仿宋_GBK" w:cs="方正仿宋_GBK"/>
          <w:b/>
          <w:color w:val="000000"/>
          <w:sz w:val="28"/>
        </w:rPr>
        <w:t>1、2023年单位其他资金绩效目标表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1.本年度日常工作支出</w:t>
            </w:r>
          </w:p>
          <w:p>
            <w:pPr>
              <w:pStyle w:val="17"/>
            </w:pPr>
            <w:r>
              <w:t>2.本年度利息支出</w:t>
            </w:r>
          </w:p>
          <w:p>
            <w:pPr>
              <w:pStyle w:val="17"/>
            </w:pPr>
            <w:r>
              <w:t>3.年底支出100%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利息金额</w:t>
            </w:r>
          </w:p>
        </w:tc>
        <w:tc>
          <w:tcPr>
            <w:tcW w:w="2835" w:type="dxa"/>
            <w:vAlign w:val="center"/>
          </w:tcPr>
          <w:p>
            <w:pPr>
              <w:pStyle w:val="17"/>
            </w:pPr>
            <w:r>
              <w:t>本年度利息支出金额</w:t>
            </w:r>
          </w:p>
        </w:tc>
        <w:tc>
          <w:tcPr>
            <w:tcW w:w="2551" w:type="dxa"/>
            <w:vAlign w:val="center"/>
          </w:tcPr>
          <w:p>
            <w:pPr>
              <w:pStyle w:val="17"/>
            </w:pPr>
            <w:r>
              <w:t>100元</w:t>
            </w:r>
          </w:p>
        </w:tc>
        <w:tc>
          <w:tcPr>
            <w:tcW w:w="2268" w:type="dxa"/>
            <w:vAlign w:val="center"/>
          </w:tcPr>
          <w:p>
            <w:pPr>
              <w:pStyle w:val="17"/>
            </w:pPr>
            <w:r>
              <w:t>近三年利息支出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支出率</w:t>
            </w:r>
          </w:p>
        </w:tc>
        <w:tc>
          <w:tcPr>
            <w:tcW w:w="2835" w:type="dxa"/>
            <w:vAlign w:val="center"/>
          </w:tcPr>
          <w:p>
            <w:pPr>
              <w:pStyle w:val="17"/>
            </w:pPr>
            <w:r>
              <w:t>全部利息支出情况</w:t>
            </w:r>
          </w:p>
        </w:tc>
        <w:tc>
          <w:tcPr>
            <w:tcW w:w="2551" w:type="dxa"/>
            <w:vAlign w:val="center"/>
          </w:tcPr>
          <w:p>
            <w:pPr>
              <w:pStyle w:val="17"/>
            </w:pPr>
            <w:r>
              <w:t>100%</w:t>
            </w:r>
          </w:p>
        </w:tc>
        <w:tc>
          <w:tcPr>
            <w:tcW w:w="2268" w:type="dxa"/>
            <w:vAlign w:val="center"/>
          </w:tcPr>
          <w:p>
            <w:pPr>
              <w:pStyle w:val="17"/>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全部支出时间</w:t>
            </w:r>
          </w:p>
        </w:tc>
        <w:tc>
          <w:tcPr>
            <w:tcW w:w="2835" w:type="dxa"/>
            <w:vAlign w:val="center"/>
          </w:tcPr>
          <w:p>
            <w:pPr>
              <w:pStyle w:val="17"/>
            </w:pPr>
            <w:r>
              <w:t>利息全部支出时间节点</w:t>
            </w:r>
          </w:p>
        </w:tc>
        <w:tc>
          <w:tcPr>
            <w:tcW w:w="2551" w:type="dxa"/>
            <w:vAlign w:val="center"/>
          </w:tcPr>
          <w:p>
            <w:pPr>
              <w:pStyle w:val="17"/>
            </w:pPr>
            <w:r>
              <w:t>≤12月</w:t>
            </w:r>
          </w:p>
        </w:tc>
        <w:tc>
          <w:tcPr>
            <w:tcW w:w="2268" w:type="dxa"/>
            <w:vAlign w:val="center"/>
          </w:tcPr>
          <w:p>
            <w:pPr>
              <w:pStyle w:val="17"/>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项目完成投入资金情况</w:t>
            </w:r>
          </w:p>
        </w:tc>
        <w:tc>
          <w:tcPr>
            <w:tcW w:w="2835" w:type="dxa"/>
            <w:vAlign w:val="center"/>
          </w:tcPr>
          <w:p>
            <w:pPr>
              <w:pStyle w:val="17"/>
            </w:pPr>
            <w:r>
              <w:t>完成利息全部支出完成率</w:t>
            </w:r>
          </w:p>
        </w:tc>
        <w:tc>
          <w:tcPr>
            <w:tcW w:w="2551" w:type="dxa"/>
            <w:vAlign w:val="center"/>
          </w:tcPr>
          <w:p>
            <w:pPr>
              <w:pStyle w:val="17"/>
            </w:pPr>
            <w:r>
              <w:t>100%</w:t>
            </w:r>
          </w:p>
        </w:tc>
        <w:tc>
          <w:tcPr>
            <w:tcW w:w="2268" w:type="dxa"/>
            <w:vAlign w:val="center"/>
          </w:tcPr>
          <w:p>
            <w:pPr>
              <w:pStyle w:val="17"/>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工作完成率</w:t>
            </w:r>
          </w:p>
        </w:tc>
        <w:tc>
          <w:tcPr>
            <w:tcW w:w="2835" w:type="dxa"/>
            <w:vAlign w:val="center"/>
          </w:tcPr>
          <w:p>
            <w:pPr>
              <w:pStyle w:val="17"/>
            </w:pPr>
            <w:r>
              <w:t>补充经费不足，促进工作完成</w:t>
            </w:r>
          </w:p>
        </w:tc>
        <w:tc>
          <w:tcPr>
            <w:tcW w:w="2551" w:type="dxa"/>
            <w:vAlign w:val="center"/>
          </w:tcPr>
          <w:p>
            <w:pPr>
              <w:pStyle w:val="17"/>
            </w:pPr>
            <w:r>
              <w:t>≥95%</w:t>
            </w:r>
          </w:p>
        </w:tc>
        <w:tc>
          <w:tcPr>
            <w:tcW w:w="2268" w:type="dxa"/>
            <w:vAlign w:val="center"/>
          </w:tcPr>
          <w:p>
            <w:pPr>
              <w:pStyle w:val="17"/>
            </w:pPr>
            <w:r>
              <w:t>工作需求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2、保洁经费绩效目标表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1.机关保洁工作圆满完成。</w:t>
            </w:r>
          </w:p>
          <w:p>
            <w:pPr>
              <w:pStyle w:val="17"/>
            </w:pPr>
            <w:r>
              <w:t>2.完成10间机关房间的打扫工作，保证房间整洁率不低于80%，提高机关房间的整洁性，保证房间使用人员的满意度不低于80%。</w:t>
            </w:r>
          </w:p>
          <w:p>
            <w:pPr>
              <w:pStyle w:val="17"/>
            </w:pPr>
            <w:r>
              <w:t>3.确保按时间进度完成各项工作任务，6月底之前完成50%，12月底之前完成100%。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机关房间清洁数量</w:t>
            </w:r>
          </w:p>
        </w:tc>
        <w:tc>
          <w:tcPr>
            <w:tcW w:w="2835" w:type="dxa"/>
            <w:vAlign w:val="center"/>
          </w:tcPr>
          <w:p>
            <w:pPr>
              <w:pStyle w:val="17"/>
            </w:pPr>
            <w:r>
              <w:t>反映保洁人员每天保洁的房间数量</w:t>
            </w:r>
          </w:p>
        </w:tc>
        <w:tc>
          <w:tcPr>
            <w:tcW w:w="2551" w:type="dxa"/>
            <w:vAlign w:val="center"/>
          </w:tcPr>
          <w:p>
            <w:pPr>
              <w:pStyle w:val="17"/>
            </w:pPr>
            <w:r>
              <w:t>10间</w:t>
            </w:r>
          </w:p>
        </w:tc>
        <w:tc>
          <w:tcPr>
            <w:tcW w:w="2268" w:type="dxa"/>
            <w:vAlign w:val="center"/>
          </w:tcPr>
          <w:p>
            <w:pPr>
              <w:pStyle w:val="17"/>
            </w:pPr>
            <w:r>
              <w:t>保洁协议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机关房间整洁率</w:t>
            </w:r>
          </w:p>
        </w:tc>
        <w:tc>
          <w:tcPr>
            <w:tcW w:w="2835" w:type="dxa"/>
            <w:vAlign w:val="center"/>
          </w:tcPr>
          <w:p>
            <w:pPr>
              <w:pStyle w:val="17"/>
            </w:pPr>
            <w:r>
              <w:t>反映保洁人员打扫房间的整洁情况</w:t>
            </w:r>
          </w:p>
        </w:tc>
        <w:tc>
          <w:tcPr>
            <w:tcW w:w="2551" w:type="dxa"/>
            <w:vAlign w:val="center"/>
          </w:tcPr>
          <w:p>
            <w:pPr>
              <w:pStyle w:val="17"/>
            </w:pPr>
            <w:r>
              <w:t>≥80%</w:t>
            </w:r>
          </w:p>
        </w:tc>
        <w:tc>
          <w:tcPr>
            <w:tcW w:w="2268" w:type="dxa"/>
            <w:vAlign w:val="center"/>
          </w:tcPr>
          <w:p>
            <w:pPr>
              <w:pStyle w:val="17"/>
            </w:pPr>
            <w:r>
              <w:t>保洁协议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保洁及时率</w:t>
            </w:r>
          </w:p>
        </w:tc>
        <w:tc>
          <w:tcPr>
            <w:tcW w:w="2835" w:type="dxa"/>
            <w:vAlign w:val="center"/>
          </w:tcPr>
          <w:p>
            <w:pPr>
              <w:pStyle w:val="17"/>
            </w:pPr>
            <w:r>
              <w:t>反映机关房间保洁的及时情况</w:t>
            </w:r>
          </w:p>
        </w:tc>
        <w:tc>
          <w:tcPr>
            <w:tcW w:w="2551" w:type="dxa"/>
            <w:vAlign w:val="center"/>
          </w:tcPr>
          <w:p>
            <w:pPr>
              <w:pStyle w:val="17"/>
            </w:pPr>
            <w:r>
              <w:t>≥90%</w:t>
            </w:r>
          </w:p>
        </w:tc>
        <w:tc>
          <w:tcPr>
            <w:tcW w:w="2268" w:type="dxa"/>
            <w:vAlign w:val="center"/>
          </w:tcPr>
          <w:p>
            <w:pPr>
              <w:pStyle w:val="17"/>
            </w:pPr>
            <w:r>
              <w:t>保洁协议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保洁成本</w:t>
            </w:r>
          </w:p>
        </w:tc>
        <w:tc>
          <w:tcPr>
            <w:tcW w:w="2835" w:type="dxa"/>
            <w:vAlign w:val="center"/>
          </w:tcPr>
          <w:p>
            <w:pPr>
              <w:pStyle w:val="17"/>
            </w:pPr>
            <w:r>
              <w:t>反映机关保洁费成本</w:t>
            </w:r>
          </w:p>
        </w:tc>
        <w:tc>
          <w:tcPr>
            <w:tcW w:w="2551" w:type="dxa"/>
            <w:vAlign w:val="center"/>
          </w:tcPr>
          <w:p>
            <w:pPr>
              <w:pStyle w:val="17"/>
            </w:pPr>
            <w:r>
              <w:t>≤3万元</w:t>
            </w:r>
          </w:p>
        </w:tc>
        <w:tc>
          <w:tcPr>
            <w:tcW w:w="2268" w:type="dxa"/>
            <w:vAlign w:val="center"/>
          </w:tcPr>
          <w:p>
            <w:pPr>
              <w:pStyle w:val="17"/>
            </w:pPr>
            <w:r>
              <w:t>保洁协议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机关整洁提升率</w:t>
            </w:r>
          </w:p>
        </w:tc>
        <w:tc>
          <w:tcPr>
            <w:tcW w:w="2835" w:type="dxa"/>
            <w:vAlign w:val="center"/>
          </w:tcPr>
          <w:p>
            <w:pPr>
              <w:pStyle w:val="17"/>
            </w:pPr>
            <w:r>
              <w:t>反映机关房间整洁提高情况</w:t>
            </w:r>
          </w:p>
        </w:tc>
        <w:tc>
          <w:tcPr>
            <w:tcW w:w="2551" w:type="dxa"/>
            <w:vAlign w:val="center"/>
          </w:tcPr>
          <w:p>
            <w:pPr>
              <w:pStyle w:val="17"/>
            </w:pPr>
            <w:r>
              <w:t>≥80%</w:t>
            </w:r>
          </w:p>
        </w:tc>
        <w:tc>
          <w:tcPr>
            <w:tcW w:w="2268" w:type="dxa"/>
            <w:vAlign w:val="center"/>
          </w:tcPr>
          <w:p>
            <w:pPr>
              <w:pStyle w:val="17"/>
            </w:pPr>
            <w:r>
              <w:t>保洁协议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房间使用人员满意度</w:t>
            </w:r>
          </w:p>
        </w:tc>
        <w:tc>
          <w:tcPr>
            <w:tcW w:w="2835" w:type="dxa"/>
            <w:vAlign w:val="center"/>
          </w:tcPr>
          <w:p>
            <w:pPr>
              <w:pStyle w:val="17"/>
            </w:pPr>
            <w:r>
              <w:t>反映机关房间使用人员的满意度情况</w:t>
            </w:r>
          </w:p>
        </w:tc>
        <w:tc>
          <w:tcPr>
            <w:tcW w:w="2551" w:type="dxa"/>
            <w:vAlign w:val="center"/>
          </w:tcPr>
          <w:p>
            <w:pPr>
              <w:pStyle w:val="17"/>
            </w:pPr>
            <w:r>
              <w:t>≥80%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3、人大会议绩效目标表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1.为了更好的</w:t>
            </w:r>
            <w:r>
              <w:rPr>
                <w:rFonts w:hint="eastAsia"/>
                <w:lang w:eastAsia="zh-CN"/>
              </w:rPr>
              <w:t>人大代表履行职责</w:t>
            </w:r>
            <w:r>
              <w:t>。</w:t>
            </w:r>
          </w:p>
          <w:p>
            <w:pPr>
              <w:pStyle w:val="17"/>
            </w:pPr>
            <w:r>
              <w:t>2.组织召开不少于1次人民代表大会会议，保障会议圆满完成率不低于90%，代表履行提升度不低于90%。</w:t>
            </w:r>
          </w:p>
          <w:p>
            <w:pPr>
              <w:pStyle w:val="17"/>
            </w:pPr>
            <w:r>
              <w:t>3.确保按时间进度高质量完成各项工作任务，预计6月底之前。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会议召开次数</w:t>
            </w:r>
          </w:p>
        </w:tc>
        <w:tc>
          <w:tcPr>
            <w:tcW w:w="2835" w:type="dxa"/>
            <w:vAlign w:val="center"/>
          </w:tcPr>
          <w:p>
            <w:pPr>
              <w:pStyle w:val="17"/>
            </w:pPr>
            <w:r>
              <w:t>反映组织召开人民代表大会会议情况</w:t>
            </w:r>
          </w:p>
        </w:tc>
        <w:tc>
          <w:tcPr>
            <w:tcW w:w="2551" w:type="dxa"/>
            <w:vAlign w:val="center"/>
          </w:tcPr>
          <w:p>
            <w:pPr>
              <w:pStyle w:val="17"/>
            </w:pPr>
            <w:r>
              <w:t>≥1次</w:t>
            </w:r>
          </w:p>
        </w:tc>
        <w:tc>
          <w:tcPr>
            <w:tcW w:w="2268" w:type="dxa"/>
            <w:vAlign w:val="center"/>
          </w:tcPr>
          <w:p>
            <w:pPr>
              <w:pStyle w:val="17"/>
            </w:pPr>
            <w:r>
              <w:t>《中华人民共和国地方各级人民代表大会和地方各级人民政府组织法》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会议开展预期效果符合率</w:t>
            </w:r>
          </w:p>
        </w:tc>
        <w:tc>
          <w:tcPr>
            <w:tcW w:w="2835" w:type="dxa"/>
            <w:vAlign w:val="center"/>
          </w:tcPr>
          <w:p>
            <w:pPr>
              <w:pStyle w:val="17"/>
            </w:pPr>
            <w:r>
              <w:t>反映会议开展的预期效果符合情况</w:t>
            </w:r>
          </w:p>
        </w:tc>
        <w:tc>
          <w:tcPr>
            <w:tcW w:w="2551" w:type="dxa"/>
            <w:vAlign w:val="center"/>
          </w:tcPr>
          <w:p>
            <w:pPr>
              <w:pStyle w:val="17"/>
            </w:pPr>
            <w:r>
              <w:t>≥90%</w:t>
            </w:r>
          </w:p>
        </w:tc>
        <w:tc>
          <w:tcPr>
            <w:tcW w:w="2268" w:type="dxa"/>
            <w:vAlign w:val="center"/>
          </w:tcPr>
          <w:p>
            <w:pPr>
              <w:pStyle w:val="17"/>
            </w:pPr>
            <w:r>
              <w:t>《中华人民共和国地方各级人民代表大会和地方各级人民政府组织法》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会议工作完成及时率</w:t>
            </w:r>
          </w:p>
        </w:tc>
        <w:tc>
          <w:tcPr>
            <w:tcW w:w="2835" w:type="dxa"/>
            <w:vAlign w:val="center"/>
          </w:tcPr>
          <w:p>
            <w:pPr>
              <w:pStyle w:val="17"/>
            </w:pPr>
            <w:r>
              <w:t>反映会议工作完成及时情况</w:t>
            </w:r>
          </w:p>
        </w:tc>
        <w:tc>
          <w:tcPr>
            <w:tcW w:w="2551" w:type="dxa"/>
            <w:vAlign w:val="center"/>
          </w:tcPr>
          <w:p>
            <w:pPr>
              <w:pStyle w:val="17"/>
            </w:pPr>
            <w:r>
              <w:t>≥90%</w:t>
            </w:r>
          </w:p>
        </w:tc>
        <w:tc>
          <w:tcPr>
            <w:tcW w:w="2268" w:type="dxa"/>
            <w:vAlign w:val="center"/>
          </w:tcPr>
          <w:p>
            <w:pPr>
              <w:pStyle w:val="17"/>
            </w:pPr>
            <w:r>
              <w:t>徐政财字[2015]71号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会议费标准</w:t>
            </w:r>
          </w:p>
        </w:tc>
        <w:tc>
          <w:tcPr>
            <w:tcW w:w="2835" w:type="dxa"/>
            <w:vAlign w:val="center"/>
          </w:tcPr>
          <w:p>
            <w:pPr>
              <w:pStyle w:val="17"/>
            </w:pPr>
            <w:r>
              <w:t>反映会议开支限额控制情况</w:t>
            </w:r>
          </w:p>
        </w:tc>
        <w:tc>
          <w:tcPr>
            <w:tcW w:w="2551" w:type="dxa"/>
            <w:vAlign w:val="center"/>
          </w:tcPr>
          <w:p>
            <w:pPr>
              <w:pStyle w:val="17"/>
            </w:pPr>
            <w:r>
              <w:t>≤500元</w:t>
            </w:r>
          </w:p>
        </w:tc>
        <w:tc>
          <w:tcPr>
            <w:tcW w:w="2268" w:type="dxa"/>
            <w:vAlign w:val="center"/>
          </w:tcPr>
          <w:p>
            <w:pPr>
              <w:pStyle w:val="17"/>
            </w:pPr>
            <w:r>
              <w:t>徐政财字[2015]71号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代表履职提升度</w:t>
            </w:r>
          </w:p>
        </w:tc>
        <w:tc>
          <w:tcPr>
            <w:tcW w:w="2835" w:type="dxa"/>
            <w:vAlign w:val="center"/>
          </w:tcPr>
          <w:p>
            <w:pPr>
              <w:pStyle w:val="17"/>
            </w:pPr>
            <w:r>
              <w:t>反映代表履职能力提升情况</w:t>
            </w:r>
          </w:p>
        </w:tc>
        <w:tc>
          <w:tcPr>
            <w:tcW w:w="2551" w:type="dxa"/>
            <w:vAlign w:val="center"/>
          </w:tcPr>
          <w:p>
            <w:pPr>
              <w:pStyle w:val="17"/>
            </w:pPr>
            <w:r>
              <w:t>≥90%</w:t>
            </w:r>
          </w:p>
        </w:tc>
        <w:tc>
          <w:tcPr>
            <w:tcW w:w="2268" w:type="dxa"/>
            <w:vAlign w:val="center"/>
          </w:tcPr>
          <w:p>
            <w:pPr>
              <w:pStyle w:val="1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参会人员满意度</w:t>
            </w:r>
          </w:p>
        </w:tc>
        <w:tc>
          <w:tcPr>
            <w:tcW w:w="2835" w:type="dxa"/>
            <w:vAlign w:val="center"/>
          </w:tcPr>
          <w:p>
            <w:pPr>
              <w:pStyle w:val="17"/>
            </w:pPr>
            <w:r>
              <w:t>反映参会人员的满意度情况</w:t>
            </w:r>
          </w:p>
        </w:tc>
        <w:tc>
          <w:tcPr>
            <w:tcW w:w="2551" w:type="dxa"/>
            <w:vAlign w:val="center"/>
          </w:tcPr>
          <w:p>
            <w:pPr>
              <w:pStyle w:val="17"/>
            </w:pPr>
            <w:r>
              <w:t>≥80%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4、人大监督绩效目标表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1.为了更好的</w:t>
            </w:r>
            <w:r>
              <w:rPr>
                <w:rFonts w:hint="eastAsia"/>
                <w:lang w:eastAsia="zh-CN"/>
              </w:rPr>
              <w:t>人大代表履行职责</w:t>
            </w:r>
            <w:r>
              <w:t>。</w:t>
            </w:r>
          </w:p>
          <w:p>
            <w:pPr>
              <w:pStyle w:val="17"/>
            </w:pPr>
            <w:r>
              <w:t>2.组织人大代表开展视察、调研、执法检查等代表活动不少于5次，保障人大代表参与活动比率不低于80%，提升人大代表活动的影响力，保障人大代表满意度不低于80%。</w:t>
            </w:r>
          </w:p>
          <w:p>
            <w:pPr>
              <w:pStyle w:val="17"/>
            </w:pPr>
            <w:r>
              <w:t>3.确保按时间进度完成各项工作任务，6月底之前完成50%，12月底之前完成100%。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人大代表活动开展数量</w:t>
            </w:r>
          </w:p>
        </w:tc>
        <w:tc>
          <w:tcPr>
            <w:tcW w:w="2835" w:type="dxa"/>
            <w:vAlign w:val="center"/>
          </w:tcPr>
          <w:p>
            <w:pPr>
              <w:pStyle w:val="17"/>
            </w:pPr>
            <w:r>
              <w:t>反映人大代表调研、视察、执法检查等活动开展情况</w:t>
            </w:r>
          </w:p>
        </w:tc>
        <w:tc>
          <w:tcPr>
            <w:tcW w:w="2551" w:type="dxa"/>
            <w:vAlign w:val="center"/>
          </w:tcPr>
          <w:p>
            <w:pPr>
              <w:pStyle w:val="17"/>
            </w:pPr>
            <w:r>
              <w:t>≥5次</w:t>
            </w:r>
          </w:p>
        </w:tc>
        <w:tc>
          <w:tcPr>
            <w:tcW w:w="2268" w:type="dxa"/>
            <w:vAlign w:val="center"/>
          </w:tcPr>
          <w:p>
            <w:pPr>
              <w:pStyle w:val="17"/>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人大代表参与活动比率</w:t>
            </w:r>
          </w:p>
        </w:tc>
        <w:tc>
          <w:tcPr>
            <w:tcW w:w="2835" w:type="dxa"/>
            <w:vAlign w:val="center"/>
          </w:tcPr>
          <w:p>
            <w:pPr>
              <w:pStyle w:val="17"/>
            </w:pPr>
            <w:r>
              <w:t>反映人大代表参与活动的人数占代表总数的比率</w:t>
            </w:r>
          </w:p>
        </w:tc>
        <w:tc>
          <w:tcPr>
            <w:tcW w:w="2551" w:type="dxa"/>
            <w:vAlign w:val="center"/>
          </w:tcPr>
          <w:p>
            <w:pPr>
              <w:pStyle w:val="17"/>
            </w:pPr>
            <w:r>
              <w:t>≥80%</w:t>
            </w:r>
          </w:p>
        </w:tc>
        <w:tc>
          <w:tcPr>
            <w:tcW w:w="2268" w:type="dxa"/>
            <w:vAlign w:val="center"/>
          </w:tcPr>
          <w:p>
            <w:pPr>
              <w:pStyle w:val="17"/>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活动完成及时率</w:t>
            </w:r>
          </w:p>
        </w:tc>
        <w:tc>
          <w:tcPr>
            <w:tcW w:w="2835" w:type="dxa"/>
            <w:vAlign w:val="center"/>
          </w:tcPr>
          <w:p>
            <w:pPr>
              <w:pStyle w:val="17"/>
            </w:pPr>
            <w:r>
              <w:t>反映人大代表调研、视察、执法检查等活动完成的及时性</w:t>
            </w:r>
          </w:p>
        </w:tc>
        <w:tc>
          <w:tcPr>
            <w:tcW w:w="2551" w:type="dxa"/>
            <w:vAlign w:val="center"/>
          </w:tcPr>
          <w:p>
            <w:pPr>
              <w:pStyle w:val="17"/>
            </w:pPr>
            <w:r>
              <w:t>≥90%</w:t>
            </w:r>
          </w:p>
        </w:tc>
        <w:tc>
          <w:tcPr>
            <w:tcW w:w="2268" w:type="dxa"/>
            <w:vAlign w:val="center"/>
          </w:tcPr>
          <w:p>
            <w:pPr>
              <w:pStyle w:val="17"/>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人大代表活动成本</w:t>
            </w:r>
          </w:p>
        </w:tc>
        <w:tc>
          <w:tcPr>
            <w:tcW w:w="2835" w:type="dxa"/>
            <w:vAlign w:val="center"/>
          </w:tcPr>
          <w:p>
            <w:pPr>
              <w:pStyle w:val="17"/>
            </w:pPr>
            <w:r>
              <w:t>反映人大代表活动的成本控制情况</w:t>
            </w:r>
          </w:p>
        </w:tc>
        <w:tc>
          <w:tcPr>
            <w:tcW w:w="2551" w:type="dxa"/>
            <w:vAlign w:val="center"/>
          </w:tcPr>
          <w:p>
            <w:pPr>
              <w:pStyle w:val="17"/>
            </w:pPr>
            <w:r>
              <w:t>≤11.88万元</w:t>
            </w:r>
          </w:p>
        </w:tc>
        <w:tc>
          <w:tcPr>
            <w:tcW w:w="2268" w:type="dxa"/>
            <w:vAlign w:val="center"/>
          </w:tcPr>
          <w:p>
            <w:pPr>
              <w:pStyle w:val="17"/>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代表活动影响提升率</w:t>
            </w:r>
          </w:p>
        </w:tc>
        <w:tc>
          <w:tcPr>
            <w:tcW w:w="2835" w:type="dxa"/>
            <w:vAlign w:val="center"/>
          </w:tcPr>
          <w:p>
            <w:pPr>
              <w:pStyle w:val="17"/>
            </w:pPr>
            <w:r>
              <w:t>反映通过调研、视察、执法检查等活动，人大代表积极建言献策的比例</w:t>
            </w:r>
          </w:p>
        </w:tc>
        <w:tc>
          <w:tcPr>
            <w:tcW w:w="2551" w:type="dxa"/>
            <w:vAlign w:val="center"/>
          </w:tcPr>
          <w:p>
            <w:pPr>
              <w:pStyle w:val="17"/>
            </w:pPr>
            <w:r>
              <w:t>≥80%</w:t>
            </w:r>
          </w:p>
        </w:tc>
        <w:tc>
          <w:tcPr>
            <w:tcW w:w="2268" w:type="dxa"/>
            <w:vAlign w:val="center"/>
          </w:tcPr>
          <w:p>
            <w:pPr>
              <w:pStyle w:val="17"/>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人大代表满意度</w:t>
            </w:r>
          </w:p>
        </w:tc>
        <w:tc>
          <w:tcPr>
            <w:tcW w:w="2835" w:type="dxa"/>
            <w:vAlign w:val="center"/>
          </w:tcPr>
          <w:p>
            <w:pPr>
              <w:pStyle w:val="17"/>
            </w:pPr>
            <w:r>
              <w:t>反映参与活动的人大代表的满意度情况</w:t>
            </w:r>
          </w:p>
        </w:tc>
        <w:tc>
          <w:tcPr>
            <w:tcW w:w="2551" w:type="dxa"/>
            <w:vAlign w:val="center"/>
          </w:tcPr>
          <w:p>
            <w:pPr>
              <w:pStyle w:val="17"/>
            </w:pPr>
            <w:r>
              <w:t>≥80%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rPr>
          <w:rFonts w:eastAsia="方正仿宋_GBK"/>
          <w:color w:val="000000"/>
          <w:sz w:val="28"/>
        </w:rPr>
      </w:pPr>
      <w:r>
        <w:rPr>
          <w:rFonts w:eastAsia="方正仿宋_GBK"/>
          <w:color w:val="000000"/>
          <w:sz w:val="28"/>
        </w:rPr>
        <w:t>2023年，保定市徐水区人民代表大会常务委员会办公室安排政府采购预算0.00万元。具体内容见下表。</w:t>
      </w:r>
    </w:p>
    <w:p>
      <w:pPr>
        <w:spacing w:line="200" w:lineRule="exact"/>
        <w:ind w:firstLine="561"/>
        <w:rPr>
          <w:rFonts w:eastAsia="方正仿宋_GBK"/>
          <w:color w:val="000000"/>
          <w:sz w:val="28"/>
        </w:rPr>
      </w:pPr>
    </w:p>
    <w:p>
      <w:pPr>
        <w:spacing w:line="200" w:lineRule="exact"/>
        <w:ind w:firstLine="561"/>
        <w:rPr>
          <w:rFonts w:eastAsia="方正仿宋_GBK"/>
          <w:color w:val="000000"/>
          <w:sz w:val="28"/>
        </w:rPr>
      </w:pPr>
    </w:p>
    <w:p>
      <w:pPr>
        <w:jc w:val="center"/>
        <w:rPr>
          <w:b/>
          <w:bCs/>
        </w:rPr>
      </w:pPr>
      <w:r>
        <w:rPr>
          <w:rFonts w:ascii="方正小标宋_GBK" w:hAnsi="方正小标宋_GBK" w:eastAsia="方正小标宋_GBK" w:cs="方正小标宋_GBK"/>
          <w:b/>
          <w:bCs/>
          <w:color w:val="000000"/>
          <w:sz w:val="36"/>
        </w:rPr>
        <w:t>部门政府采购预算</w:t>
      </w:r>
    </w:p>
    <w:tbl>
      <w:tblPr>
        <w:tblStyle w:val="9"/>
        <w:tblW w:w="137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810"/>
        <w:gridCol w:w="700"/>
        <w:gridCol w:w="960"/>
        <w:gridCol w:w="740"/>
        <w:gridCol w:w="640"/>
        <w:gridCol w:w="620"/>
        <w:gridCol w:w="670"/>
        <w:gridCol w:w="990"/>
        <w:gridCol w:w="930"/>
        <w:gridCol w:w="1080"/>
        <w:gridCol w:w="910"/>
        <w:gridCol w:w="700"/>
        <w:gridCol w:w="930"/>
        <w:gridCol w:w="1000"/>
        <w:gridCol w:w="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570" w:type="dxa"/>
            <w:gridSpan w:val="7"/>
            <w:tcBorders>
              <w:top w:val="single" w:color="FFFFFF" w:sz="6" w:space="0"/>
              <w:left w:val="single" w:color="FFFFFF" w:sz="6" w:space="0"/>
              <w:right w:val="single" w:color="FFFFFF" w:sz="6" w:space="0"/>
            </w:tcBorders>
            <w:vAlign w:val="center"/>
          </w:tcPr>
          <w:p>
            <w:pPr>
              <w:pStyle w:val="14"/>
            </w:pPr>
            <w:r>
              <w:t>101保定市徐水区人民代表大会常务委员会办公室</w:t>
            </w:r>
          </w:p>
        </w:tc>
        <w:tc>
          <w:tcPr>
            <w:tcW w:w="8175"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10" w:type="dxa"/>
            <w:gridSpan w:val="2"/>
            <w:vAlign w:val="center"/>
          </w:tcPr>
          <w:p>
            <w:pPr>
              <w:pStyle w:val="15"/>
            </w:pPr>
            <w:r>
              <w:t>政府采购项目来源</w:t>
            </w:r>
          </w:p>
        </w:tc>
        <w:tc>
          <w:tcPr>
            <w:tcW w:w="700" w:type="dxa"/>
            <w:vMerge w:val="restart"/>
            <w:vAlign w:val="center"/>
          </w:tcPr>
          <w:p>
            <w:pPr>
              <w:pStyle w:val="15"/>
            </w:pPr>
            <w:r>
              <w:t>采购物品名称</w:t>
            </w:r>
          </w:p>
        </w:tc>
        <w:tc>
          <w:tcPr>
            <w:tcW w:w="960" w:type="dxa"/>
            <w:vMerge w:val="restart"/>
            <w:vAlign w:val="center"/>
          </w:tcPr>
          <w:p>
            <w:pPr>
              <w:pStyle w:val="15"/>
            </w:pPr>
            <w:r>
              <w:t>政府采购目录序号</w:t>
            </w:r>
          </w:p>
        </w:tc>
        <w:tc>
          <w:tcPr>
            <w:tcW w:w="740" w:type="dxa"/>
            <w:vMerge w:val="restart"/>
            <w:vAlign w:val="center"/>
          </w:tcPr>
          <w:p>
            <w:pPr>
              <w:pStyle w:val="15"/>
            </w:pPr>
            <w:r>
              <w:t>计量  单位</w:t>
            </w:r>
          </w:p>
        </w:tc>
        <w:tc>
          <w:tcPr>
            <w:tcW w:w="640" w:type="dxa"/>
            <w:vMerge w:val="restart"/>
            <w:vAlign w:val="center"/>
          </w:tcPr>
          <w:p>
            <w:pPr>
              <w:pStyle w:val="15"/>
            </w:pPr>
            <w:r>
              <w:t>数量</w:t>
            </w:r>
          </w:p>
        </w:tc>
        <w:tc>
          <w:tcPr>
            <w:tcW w:w="620" w:type="dxa"/>
            <w:vMerge w:val="restart"/>
            <w:vAlign w:val="center"/>
          </w:tcPr>
          <w:p>
            <w:pPr>
              <w:pStyle w:val="15"/>
            </w:pPr>
            <w:r>
              <w:t>单价</w:t>
            </w:r>
          </w:p>
        </w:tc>
        <w:tc>
          <w:tcPr>
            <w:tcW w:w="7210" w:type="dxa"/>
            <w:gridSpan w:val="8"/>
            <w:vAlign w:val="center"/>
          </w:tcPr>
          <w:p>
            <w:pPr>
              <w:pStyle w:val="15"/>
            </w:pPr>
            <w:r>
              <w:t>政府采购金额（当年部门预算安排资金）</w:t>
            </w:r>
          </w:p>
        </w:tc>
        <w:tc>
          <w:tcPr>
            <w:tcW w:w="965"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00" w:type="dxa"/>
            <w:vAlign w:val="center"/>
          </w:tcPr>
          <w:p>
            <w:pPr>
              <w:pStyle w:val="15"/>
            </w:pPr>
            <w:r>
              <w:t>项目名称</w:t>
            </w:r>
          </w:p>
        </w:tc>
        <w:tc>
          <w:tcPr>
            <w:tcW w:w="810" w:type="dxa"/>
            <w:vAlign w:val="center"/>
          </w:tcPr>
          <w:p>
            <w:pPr>
              <w:pStyle w:val="15"/>
            </w:pPr>
            <w:r>
              <w:t>预算    资金</w:t>
            </w:r>
          </w:p>
        </w:tc>
        <w:tc>
          <w:tcPr>
            <w:tcW w:w="700" w:type="dxa"/>
            <w:vMerge w:val="continue"/>
          </w:tcPr>
          <w:p/>
        </w:tc>
        <w:tc>
          <w:tcPr>
            <w:tcW w:w="960" w:type="dxa"/>
            <w:vMerge w:val="continue"/>
          </w:tcPr>
          <w:p/>
        </w:tc>
        <w:tc>
          <w:tcPr>
            <w:tcW w:w="740" w:type="dxa"/>
            <w:vMerge w:val="continue"/>
          </w:tcPr>
          <w:p/>
        </w:tc>
        <w:tc>
          <w:tcPr>
            <w:tcW w:w="640" w:type="dxa"/>
            <w:vMerge w:val="continue"/>
          </w:tcPr>
          <w:p/>
        </w:tc>
        <w:tc>
          <w:tcPr>
            <w:tcW w:w="620" w:type="dxa"/>
            <w:vMerge w:val="continue"/>
          </w:tcPr>
          <w:p/>
        </w:tc>
        <w:tc>
          <w:tcPr>
            <w:tcW w:w="670" w:type="dxa"/>
            <w:vAlign w:val="center"/>
          </w:tcPr>
          <w:p>
            <w:pPr>
              <w:pStyle w:val="15"/>
            </w:pPr>
            <w:r>
              <w:t>合计</w:t>
            </w:r>
          </w:p>
        </w:tc>
        <w:tc>
          <w:tcPr>
            <w:tcW w:w="990" w:type="dxa"/>
            <w:vAlign w:val="center"/>
          </w:tcPr>
          <w:p>
            <w:pPr>
              <w:pStyle w:val="15"/>
            </w:pPr>
            <w:r>
              <w:t>一般公共预算拨款</w:t>
            </w:r>
          </w:p>
        </w:tc>
        <w:tc>
          <w:tcPr>
            <w:tcW w:w="930" w:type="dxa"/>
            <w:vAlign w:val="center"/>
          </w:tcPr>
          <w:p>
            <w:pPr>
              <w:pStyle w:val="15"/>
            </w:pPr>
            <w:r>
              <w:t>基金预算拨款</w:t>
            </w:r>
          </w:p>
        </w:tc>
        <w:tc>
          <w:tcPr>
            <w:tcW w:w="1080" w:type="dxa"/>
            <w:vAlign w:val="center"/>
          </w:tcPr>
          <w:p>
            <w:pPr>
              <w:pStyle w:val="15"/>
            </w:pPr>
            <w:r>
              <w:t>国有资本经营预算拨款</w:t>
            </w:r>
          </w:p>
        </w:tc>
        <w:tc>
          <w:tcPr>
            <w:tcW w:w="910" w:type="dxa"/>
            <w:vAlign w:val="center"/>
          </w:tcPr>
          <w:p>
            <w:pPr>
              <w:pStyle w:val="15"/>
            </w:pPr>
            <w:r>
              <w:t>财政专户核拨</w:t>
            </w:r>
          </w:p>
        </w:tc>
        <w:tc>
          <w:tcPr>
            <w:tcW w:w="700" w:type="dxa"/>
            <w:vAlign w:val="center"/>
          </w:tcPr>
          <w:p>
            <w:pPr>
              <w:pStyle w:val="15"/>
            </w:pPr>
            <w:r>
              <w:t>单位    资金</w:t>
            </w:r>
          </w:p>
        </w:tc>
        <w:tc>
          <w:tcPr>
            <w:tcW w:w="930" w:type="dxa"/>
            <w:vAlign w:val="center"/>
          </w:tcPr>
          <w:p>
            <w:pPr>
              <w:pStyle w:val="15"/>
            </w:pPr>
            <w:r>
              <w:t>财政拨    款结转</w:t>
            </w:r>
          </w:p>
        </w:tc>
        <w:tc>
          <w:tcPr>
            <w:tcW w:w="1000" w:type="dxa"/>
            <w:vAlign w:val="center"/>
          </w:tcPr>
          <w:p>
            <w:pPr>
              <w:pStyle w:val="15"/>
            </w:pPr>
            <w:r>
              <w:t>非财政    拨款结    转结余</w:t>
            </w:r>
          </w:p>
        </w:tc>
        <w:tc>
          <w:tcPr>
            <w:tcW w:w="9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0" w:type="dxa"/>
            <w:vAlign w:val="center"/>
          </w:tcPr>
          <w:p>
            <w:pPr>
              <w:pStyle w:val="17"/>
            </w:pPr>
          </w:p>
        </w:tc>
        <w:tc>
          <w:tcPr>
            <w:tcW w:w="810" w:type="dxa"/>
            <w:vAlign w:val="center"/>
          </w:tcPr>
          <w:p>
            <w:pPr>
              <w:pStyle w:val="16"/>
            </w:pPr>
          </w:p>
        </w:tc>
        <w:tc>
          <w:tcPr>
            <w:tcW w:w="700" w:type="dxa"/>
            <w:vAlign w:val="center"/>
          </w:tcPr>
          <w:p>
            <w:pPr>
              <w:pStyle w:val="17"/>
            </w:pPr>
          </w:p>
        </w:tc>
        <w:tc>
          <w:tcPr>
            <w:tcW w:w="960" w:type="dxa"/>
            <w:vAlign w:val="center"/>
          </w:tcPr>
          <w:p>
            <w:pPr>
              <w:pStyle w:val="17"/>
            </w:pPr>
          </w:p>
        </w:tc>
        <w:tc>
          <w:tcPr>
            <w:tcW w:w="740" w:type="dxa"/>
            <w:vAlign w:val="center"/>
          </w:tcPr>
          <w:p>
            <w:pPr>
              <w:pStyle w:val="18"/>
            </w:pPr>
          </w:p>
        </w:tc>
        <w:tc>
          <w:tcPr>
            <w:tcW w:w="640" w:type="dxa"/>
            <w:vAlign w:val="center"/>
          </w:tcPr>
          <w:p>
            <w:pPr>
              <w:pStyle w:val="16"/>
            </w:pPr>
          </w:p>
        </w:tc>
        <w:tc>
          <w:tcPr>
            <w:tcW w:w="620" w:type="dxa"/>
            <w:vAlign w:val="center"/>
          </w:tcPr>
          <w:p>
            <w:pPr>
              <w:pStyle w:val="16"/>
            </w:pPr>
          </w:p>
        </w:tc>
        <w:tc>
          <w:tcPr>
            <w:tcW w:w="670" w:type="dxa"/>
            <w:vAlign w:val="center"/>
          </w:tcPr>
          <w:p>
            <w:pPr>
              <w:pStyle w:val="16"/>
            </w:pPr>
          </w:p>
        </w:tc>
        <w:tc>
          <w:tcPr>
            <w:tcW w:w="990" w:type="dxa"/>
            <w:vAlign w:val="center"/>
          </w:tcPr>
          <w:p>
            <w:pPr>
              <w:pStyle w:val="16"/>
            </w:pPr>
          </w:p>
        </w:tc>
        <w:tc>
          <w:tcPr>
            <w:tcW w:w="930" w:type="dxa"/>
            <w:vAlign w:val="center"/>
          </w:tcPr>
          <w:p>
            <w:pPr>
              <w:pStyle w:val="16"/>
            </w:pPr>
          </w:p>
        </w:tc>
        <w:tc>
          <w:tcPr>
            <w:tcW w:w="1080" w:type="dxa"/>
            <w:vAlign w:val="center"/>
          </w:tcPr>
          <w:p>
            <w:pPr>
              <w:pStyle w:val="16"/>
            </w:pPr>
          </w:p>
        </w:tc>
        <w:tc>
          <w:tcPr>
            <w:tcW w:w="910" w:type="dxa"/>
            <w:vAlign w:val="center"/>
          </w:tcPr>
          <w:p>
            <w:pPr>
              <w:pStyle w:val="16"/>
            </w:pPr>
          </w:p>
        </w:tc>
        <w:tc>
          <w:tcPr>
            <w:tcW w:w="700" w:type="dxa"/>
            <w:vAlign w:val="center"/>
          </w:tcPr>
          <w:p>
            <w:pPr>
              <w:pStyle w:val="16"/>
            </w:pPr>
          </w:p>
        </w:tc>
        <w:tc>
          <w:tcPr>
            <w:tcW w:w="930" w:type="dxa"/>
            <w:vAlign w:val="center"/>
          </w:tcPr>
          <w:p>
            <w:pPr>
              <w:pStyle w:val="16"/>
            </w:pPr>
          </w:p>
        </w:tc>
        <w:tc>
          <w:tcPr>
            <w:tcW w:w="1000" w:type="dxa"/>
            <w:vAlign w:val="center"/>
          </w:tcPr>
          <w:p>
            <w:pPr>
              <w:pStyle w:val="16"/>
            </w:pPr>
          </w:p>
        </w:tc>
        <w:tc>
          <w:tcPr>
            <w:tcW w:w="965"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eastAsia="方正仿宋_GBK"/>
          <w:color w:val="000000"/>
          <w:sz w:val="32"/>
        </w:rPr>
      </w:pPr>
      <w:r>
        <w:rPr>
          <w:rFonts w:ascii="方正书宋_GBK" w:hAnsi="方正书宋_GBK" w:eastAsia="方正书宋_GBK" w:cs="方正书宋_GBK"/>
          <w:color w:val="000000"/>
          <w:sz w:val="21"/>
        </w:rPr>
        <w:t>注：无政府采购预算，空表列示。</w:t>
      </w:r>
    </w:p>
    <w:p>
      <w:pPr>
        <w:spacing w:line="200" w:lineRule="exact"/>
        <w:ind w:firstLine="641"/>
        <w:rPr>
          <w:rFonts w:eastAsia="方正仿宋_GBK"/>
          <w:color w:val="000000"/>
          <w:sz w:val="32"/>
        </w:rPr>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保定市徐水区人民代表大会常务委员会办公室（含所属单位）上年末固定资产金额为114.69万元（详见下表）。本年度拟购置固定资产总额为0.00万元，已按要求列入政府采购预算，详见政府采购预算表。</w:t>
      </w:r>
    </w:p>
    <w:p>
      <w:pPr>
        <w:spacing w:line="200" w:lineRule="exact"/>
        <w:ind w:firstLine="561"/>
        <w:rPr>
          <w:rFonts w:eastAsia="方正仿宋_GBK"/>
          <w:color w:val="000000"/>
          <w:sz w:val="28"/>
        </w:rPr>
      </w:pPr>
    </w:p>
    <w:p>
      <w:pPr>
        <w:jc w:val="center"/>
        <w:rPr>
          <w:b/>
        </w:rPr>
      </w:pPr>
      <w:r>
        <w:rPr>
          <w:rFonts w:ascii="方正小标宋_GBK" w:hAnsi="方正小标宋_GBK" w:eastAsia="方正小标宋_GBK" w:cs="方正小标宋_GBK"/>
          <w:b/>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101保定市徐水区人民代表大会常务委员会办公室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3</w:t>
            </w:r>
          </w:p>
        </w:tc>
        <w:tc>
          <w:tcPr>
            <w:tcW w:w="2835" w:type="dxa"/>
            <w:vAlign w:val="center"/>
          </w:tcPr>
          <w:p>
            <w:pPr>
              <w:pStyle w:val="16"/>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rPr>
                <w:rFonts w:hint="default" w:eastAsia="方正书宋_GBK"/>
                <w:lang w:val="en-US" w:eastAsia="zh-CN"/>
              </w:rPr>
            </w:pPr>
            <w:r>
              <w:rPr>
                <w:rFonts w:hint="eastAsia"/>
                <w:lang w:val="en-US" w:eastAsia="zh-CN"/>
              </w:rPr>
              <w:t>177</w:t>
            </w:r>
            <w:bookmarkStart w:id="18" w:name="_GoBack"/>
            <w:bookmarkEnd w:id="18"/>
          </w:p>
        </w:tc>
        <w:tc>
          <w:tcPr>
            <w:tcW w:w="2835" w:type="dxa"/>
            <w:vAlign w:val="center"/>
          </w:tcPr>
          <w:p>
            <w:pPr>
              <w:pStyle w:val="16"/>
            </w:pPr>
            <w:r>
              <w:t>54.19</w:t>
            </w:r>
          </w:p>
        </w:tc>
      </w:tr>
    </w:tbl>
    <w:p>
      <w:pPr>
        <w:ind w:firstLine="640"/>
      </w:pPr>
      <w:r>
        <w:rPr>
          <w:rFonts w:eastAsia="方正仿宋_GBK"/>
          <w:color w:val="000000"/>
          <w:sz w:val="32"/>
        </w:rPr>
        <w:t xml:space="preserve"> </w:t>
      </w:r>
    </w:p>
    <w:p>
      <w:pPr>
        <w:numPr>
          <w:ilvl w:val="0"/>
          <w:numId w:val="1"/>
        </w:numPr>
        <w:spacing w:before="10" w:after="10"/>
        <w:ind w:firstLine="640"/>
        <w:outlineLvl w:val="2"/>
        <w:rPr>
          <w:rFonts w:ascii="黑体" w:hAnsi="黑体" w:eastAsia="黑体" w:cs="黑体"/>
          <w:color w:val="000000"/>
          <w:sz w:val="32"/>
        </w:rPr>
      </w:pPr>
      <w:bookmarkStart w:id="16" w:name="_Toc_3_3_0000000017"/>
      <w:r>
        <w:rPr>
          <w:rFonts w:ascii="黑体" w:hAnsi="黑体" w:eastAsia="黑体" w:cs="黑体"/>
          <w:color w:val="000000"/>
          <w:sz w:val="32"/>
        </w:rPr>
        <w:t>名词解释</w:t>
      </w:r>
      <w:bookmarkEnd w:id="16"/>
    </w:p>
    <w:p>
      <w:pPr>
        <w:spacing w:before="10" w:after="10" w:line="200" w:lineRule="exact"/>
        <w:outlineLvl w:val="2"/>
        <w:rPr>
          <w:rFonts w:ascii="黑体" w:hAnsi="黑体" w:eastAsia="黑体" w:cs="黑体"/>
          <w:color w:val="000000"/>
          <w:sz w:val="32"/>
        </w:rPr>
      </w:pPr>
    </w:p>
    <w:p>
      <w:pPr>
        <w:spacing w:line="520" w:lineRule="exact"/>
        <w:ind w:firstLine="561"/>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20" w:lineRule="exact"/>
        <w:ind w:firstLine="561"/>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20" w:lineRule="exact"/>
        <w:ind w:firstLine="561"/>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20" w:lineRule="exact"/>
        <w:ind w:firstLine="561"/>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20" w:lineRule="exact"/>
        <w:ind w:firstLine="561"/>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20" w:lineRule="exact"/>
        <w:ind w:firstLine="561"/>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20" w:lineRule="exact"/>
        <w:ind w:firstLine="561"/>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w:t>
      </w:r>
      <w:r>
        <w:rPr>
          <w:rFonts w:hint="eastAsia" w:eastAsia="方正仿宋_GBK"/>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20" w:lineRule="exact"/>
        <w:ind w:firstLine="561"/>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561"/>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20" w:lineRule="exact"/>
        <w:ind w:firstLine="561"/>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val="uk-UA"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Theme="minorEastAsia"/>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5B95F"/>
    <w:multiLevelType w:val="singleLevel"/>
    <w:tmpl w:val="00F5B95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A4YzI5MGM1ODUyZmI4NDU2YWJiYjE0OTEzYzdjYjcifQ=="/>
  </w:docVars>
  <w:rsids>
    <w:rsidRoot w:val="0039377B"/>
    <w:rsid w:val="00014BB0"/>
    <w:rsid w:val="00047333"/>
    <w:rsid w:val="0009273F"/>
    <w:rsid w:val="00167B68"/>
    <w:rsid w:val="00196C76"/>
    <w:rsid w:val="0039377B"/>
    <w:rsid w:val="004625BF"/>
    <w:rsid w:val="004E05D5"/>
    <w:rsid w:val="00532C2E"/>
    <w:rsid w:val="00581A44"/>
    <w:rsid w:val="005E08CB"/>
    <w:rsid w:val="00637E6C"/>
    <w:rsid w:val="006B7585"/>
    <w:rsid w:val="007B084E"/>
    <w:rsid w:val="0083666D"/>
    <w:rsid w:val="008A38CD"/>
    <w:rsid w:val="009F48DD"/>
    <w:rsid w:val="00A34B86"/>
    <w:rsid w:val="00A8699A"/>
    <w:rsid w:val="00B63A66"/>
    <w:rsid w:val="00C43BE8"/>
    <w:rsid w:val="00CB6ED3"/>
    <w:rsid w:val="00CC1D91"/>
    <w:rsid w:val="00CF759B"/>
    <w:rsid w:val="00E03E16"/>
    <w:rsid w:val="00E250EB"/>
    <w:rsid w:val="02044A61"/>
    <w:rsid w:val="08115A75"/>
    <w:rsid w:val="08B84D5E"/>
    <w:rsid w:val="10DD7F3C"/>
    <w:rsid w:val="14A02B65"/>
    <w:rsid w:val="16B822B0"/>
    <w:rsid w:val="17125CEF"/>
    <w:rsid w:val="18984662"/>
    <w:rsid w:val="1B7D4C33"/>
    <w:rsid w:val="1D1F3A9E"/>
    <w:rsid w:val="1F487838"/>
    <w:rsid w:val="24E84F33"/>
    <w:rsid w:val="25967BE9"/>
    <w:rsid w:val="2868548F"/>
    <w:rsid w:val="2B7B4862"/>
    <w:rsid w:val="2DD227B8"/>
    <w:rsid w:val="398C1096"/>
    <w:rsid w:val="49BD0406"/>
    <w:rsid w:val="4BAB3A41"/>
    <w:rsid w:val="4D2B6005"/>
    <w:rsid w:val="4F070EA0"/>
    <w:rsid w:val="4FAF23CA"/>
    <w:rsid w:val="534F73A8"/>
    <w:rsid w:val="536618D8"/>
    <w:rsid w:val="61336EB4"/>
    <w:rsid w:val="63C00260"/>
    <w:rsid w:val="6BE1078C"/>
    <w:rsid w:val="6BF11B39"/>
    <w:rsid w:val="6F3B31CD"/>
    <w:rsid w:val="70D978B2"/>
    <w:rsid w:val="71D864BB"/>
    <w:rsid w:val="730C6926"/>
    <w:rsid w:val="73A6484A"/>
    <w:rsid w:val="75542A4A"/>
    <w:rsid w:val="759365F4"/>
    <w:rsid w:val="779437BB"/>
    <w:rsid w:val="7AC4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34"/>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批注框文本 字符"/>
    <w:basedOn w:val="11"/>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header" Target="head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2023-02-27T15:49:22Z</dcterms:created>
  <dcterms:modified xsi:type="dcterms:W3CDTF">2023-02-27T07:49:22Z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2023-02-27T15:49:22Z</dcterms:created>
  <dcterms:modified xsi:type="dcterms:W3CDTF">2023-02-27T07:49:22Z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2023-02-27T15:49:29Z</dcterms:created>
  <dcterms:modified xsi:type="dcterms:W3CDTF">2023-02-27T07:49:29Z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2023-02-27T15:49:29Z</dcterms:created>
  <dcterms:modified xsi:type="dcterms:W3CDTF">2023-02-27T07:49:29Z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2023-02-27T15:49:22Z</dcterms:created>
  <dcterms:modified xsi:type="dcterms:W3CDTF">2023-02-27T07:49:22Z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2023-02-27T15:49:20Z</dcterms:created>
  <dcterms:modified xsi:type="dcterms:W3CDTF">2023-02-27T07:49:20Z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2023-02-27T15:49:25Z</dcterms:created>
  <dcterms:modified xsi:type="dcterms:W3CDTF">2023-02-27T07:49:25Z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2023-02-27T15:49:23Z</dcterms:created>
  <dcterms:modified xsi:type="dcterms:W3CDTF">2023-02-27T07:49:23Z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2023-02-27T15:49:22Z</dcterms:created>
  <dcterms:modified xsi:type="dcterms:W3CDTF">2023-02-27T07:49:22Z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2023-02-27T15:49:29Z</dcterms:created>
  <dcterms:modified xsi:type="dcterms:W3CDTF">2023-02-27T07:49:29Z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2023-02-27T15:49:29Z</dcterms:created>
  <dcterms:modified xsi:type="dcterms:W3CDTF">2023-02-27T07:49:29Z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2023-02-27T15:49:22Z</dcterms:created>
  <dcterms:modified xsi:type="dcterms:W3CDTF">2023-02-27T07:49:22Z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2023-02-27T15:49:29Z</dcterms:created>
  <dcterms:modified xsi:type="dcterms:W3CDTF">2023-02-27T07:49:29Z</dcterms:modified>
</cp:coreProperties>
</file>

<file path=customXml/itemProps1.xml><?xml version="1.0" encoding="utf-8"?>
<ds:datastoreItem xmlns:ds="http://schemas.openxmlformats.org/officeDocument/2006/customXml" ds:itemID="{DF890499-D79B-442E-B488-968C216C0E12}">
  <ds:schemaRefs/>
</ds:datastoreItem>
</file>

<file path=customXml/itemProps10.xml><?xml version="1.0" encoding="utf-8"?>
<ds:datastoreItem xmlns:ds="http://schemas.openxmlformats.org/officeDocument/2006/customXml" ds:itemID="{B5CB3E41-88D8-4C28-8243-359ACBD18D2F}">
  <ds:schemaRefs/>
</ds:datastoreItem>
</file>

<file path=customXml/itemProps11.xml><?xml version="1.0" encoding="utf-8"?>
<ds:datastoreItem xmlns:ds="http://schemas.openxmlformats.org/officeDocument/2006/customXml" ds:itemID="{177FB9D2-34DC-4957-80B3-E6F82E32B00E}">
  <ds:schemaRefs/>
</ds:datastoreItem>
</file>

<file path=customXml/itemProps12.xml><?xml version="1.0" encoding="utf-8"?>
<ds:datastoreItem xmlns:ds="http://schemas.openxmlformats.org/officeDocument/2006/customXml" ds:itemID="{069304FD-FB58-4337-B327-D1085E4B6184}">
  <ds:schemaRefs/>
</ds:datastoreItem>
</file>

<file path=customXml/itemProps13.xml><?xml version="1.0" encoding="utf-8"?>
<ds:datastoreItem xmlns:ds="http://schemas.openxmlformats.org/officeDocument/2006/customXml" ds:itemID="{FCA318AE-F281-4D93-9102-6F926F4D9973}">
  <ds:schemaRefs/>
</ds:datastoreItem>
</file>

<file path=customXml/itemProps14.xml><?xml version="1.0" encoding="utf-8"?>
<ds:datastoreItem xmlns:ds="http://schemas.openxmlformats.org/officeDocument/2006/customXml" ds:itemID="{DE0965D7-BAED-4BBA-93EC-B0C8F1C2EC82}">
  <ds:schemaRefs/>
</ds:datastoreItem>
</file>

<file path=customXml/itemProps15.xml><?xml version="1.0" encoding="utf-8"?>
<ds:datastoreItem xmlns:ds="http://schemas.openxmlformats.org/officeDocument/2006/customXml" ds:itemID="{6B316108-FD61-4CBF-911F-758224738EFC}">
  <ds:schemaRefs/>
</ds:datastoreItem>
</file>

<file path=customXml/itemProps16.xml><?xml version="1.0" encoding="utf-8"?>
<ds:datastoreItem xmlns:ds="http://schemas.openxmlformats.org/officeDocument/2006/customXml" ds:itemID="{35204159-5BF3-400C-A586-9EEBF6F6481C}">
  <ds:schemaRefs/>
</ds:datastoreItem>
</file>

<file path=customXml/itemProps17.xml><?xml version="1.0" encoding="utf-8"?>
<ds:datastoreItem xmlns:ds="http://schemas.openxmlformats.org/officeDocument/2006/customXml" ds:itemID="{D17F2E56-962C-46BA-90BE-7C461A76DAC6}">
  <ds:schemaRefs/>
</ds:datastoreItem>
</file>

<file path=customXml/itemProps18.xml><?xml version="1.0" encoding="utf-8"?>
<ds:datastoreItem xmlns:ds="http://schemas.openxmlformats.org/officeDocument/2006/customXml" ds:itemID="{16FE3D81-FBC2-4EBC-86FF-8A02ECECB83A}">
  <ds:schemaRefs/>
</ds:datastoreItem>
</file>

<file path=customXml/itemProps19.xml><?xml version="1.0" encoding="utf-8"?>
<ds:datastoreItem xmlns:ds="http://schemas.openxmlformats.org/officeDocument/2006/customXml" ds:itemID="{6C9CFA7B-B4CF-4403-A6EE-FC3F7C45DB76}">
  <ds:schemaRefs/>
</ds:datastoreItem>
</file>

<file path=customXml/itemProps2.xml><?xml version="1.0" encoding="utf-8"?>
<ds:datastoreItem xmlns:ds="http://schemas.openxmlformats.org/officeDocument/2006/customXml" ds:itemID="{62251D97-2742-4894-B844-0C28CB962FBD}">
  <ds:schemaRefs/>
</ds:datastoreItem>
</file>

<file path=customXml/itemProps20.xml><?xml version="1.0" encoding="utf-8"?>
<ds:datastoreItem xmlns:ds="http://schemas.openxmlformats.org/officeDocument/2006/customXml" ds:itemID="{6CF02F3D-A4C6-45BF-AF2B-07892B635AB3}">
  <ds:schemaRefs/>
</ds:datastoreItem>
</file>

<file path=customXml/itemProps21.xml><?xml version="1.0" encoding="utf-8"?>
<ds:datastoreItem xmlns:ds="http://schemas.openxmlformats.org/officeDocument/2006/customXml" ds:itemID="{812DF02D-373D-4E42-9BFB-53413168AD6B}">
  <ds:schemaRefs/>
</ds:datastoreItem>
</file>

<file path=customXml/itemProps22.xml><?xml version="1.0" encoding="utf-8"?>
<ds:datastoreItem xmlns:ds="http://schemas.openxmlformats.org/officeDocument/2006/customXml" ds:itemID="{01EB029A-A248-4841-94B5-808BA11274E3}">
  <ds:schemaRefs/>
</ds:datastoreItem>
</file>

<file path=customXml/itemProps23.xml><?xml version="1.0" encoding="utf-8"?>
<ds:datastoreItem xmlns:ds="http://schemas.openxmlformats.org/officeDocument/2006/customXml" ds:itemID="{0DE2CCAC-2A3B-41BA-BB75-11077D51229E}">
  <ds:schemaRefs/>
</ds:datastoreItem>
</file>

<file path=customXml/itemProps24.xml><?xml version="1.0" encoding="utf-8"?>
<ds:datastoreItem xmlns:ds="http://schemas.openxmlformats.org/officeDocument/2006/customXml" ds:itemID="{8B509D2A-8ABB-458D-B4CF-9BF31A7CFCC5}">
  <ds:schemaRefs/>
</ds:datastoreItem>
</file>

<file path=customXml/itemProps25.xml><?xml version="1.0" encoding="utf-8"?>
<ds:datastoreItem xmlns:ds="http://schemas.openxmlformats.org/officeDocument/2006/customXml" ds:itemID="{DCB885F3-A31F-4B31-979A-86D71E22A529}">
  <ds:schemaRefs/>
</ds:datastoreItem>
</file>

<file path=customXml/itemProps26.xml><?xml version="1.0" encoding="utf-8"?>
<ds:datastoreItem xmlns:ds="http://schemas.openxmlformats.org/officeDocument/2006/customXml" ds:itemID="{CFFE211D-F882-48F9-8DBB-C8D6D49BC787}">
  <ds:schemaRefs/>
</ds:datastoreItem>
</file>

<file path=customXml/itemProps3.xml><?xml version="1.0" encoding="utf-8"?>
<ds:datastoreItem xmlns:ds="http://schemas.openxmlformats.org/officeDocument/2006/customXml" ds:itemID="{47F82882-A68C-461A-9C00-38516669B0F9}">
  <ds:schemaRefs/>
</ds:datastoreItem>
</file>

<file path=customXml/itemProps4.xml><?xml version="1.0" encoding="utf-8"?>
<ds:datastoreItem xmlns:ds="http://schemas.openxmlformats.org/officeDocument/2006/customXml" ds:itemID="{F2F779AF-567F-4217-ACA3-D6BFE8AF9BE6}">
  <ds:schemaRefs/>
</ds:datastoreItem>
</file>

<file path=customXml/itemProps5.xml><?xml version="1.0" encoding="utf-8"?>
<ds:datastoreItem xmlns:ds="http://schemas.openxmlformats.org/officeDocument/2006/customXml" ds:itemID="{299836B8-3168-4AF2-9426-11E914A20F00}">
  <ds:schemaRefs/>
</ds:datastoreItem>
</file>

<file path=customXml/itemProps6.xml><?xml version="1.0" encoding="utf-8"?>
<ds:datastoreItem xmlns:ds="http://schemas.openxmlformats.org/officeDocument/2006/customXml" ds:itemID="{8CE88352-E617-4696-B8A6-7C781B491353}">
  <ds:schemaRefs/>
</ds:datastoreItem>
</file>

<file path=customXml/itemProps7.xml><?xml version="1.0" encoding="utf-8"?>
<ds:datastoreItem xmlns:ds="http://schemas.openxmlformats.org/officeDocument/2006/customXml" ds:itemID="{2B07B1A3-B361-4185-9FCB-4CFF963B3437}">
  <ds:schemaRefs/>
</ds:datastoreItem>
</file>

<file path=customXml/itemProps8.xml><?xml version="1.0" encoding="utf-8"?>
<ds:datastoreItem xmlns:ds="http://schemas.openxmlformats.org/officeDocument/2006/customXml" ds:itemID="{DFD87B30-D7F3-4561-9FBB-A6013DEA3493}">
  <ds:schemaRefs/>
</ds:datastoreItem>
</file>

<file path=customXml/itemProps9.xml><?xml version="1.0" encoding="utf-8"?>
<ds:datastoreItem xmlns:ds="http://schemas.openxmlformats.org/officeDocument/2006/customXml" ds:itemID="{72489F45-B07B-4F68-89C6-0162C5BAC75F}">
  <ds:schemaRefs/>
</ds:datastoreItem>
</file>

<file path=docProps/app.xml><?xml version="1.0" encoding="utf-8"?>
<Properties xmlns="http://schemas.openxmlformats.org/officeDocument/2006/extended-properties" xmlns:vt="http://schemas.openxmlformats.org/officeDocument/2006/docPropsVTypes">
  <Template>Normal</Template>
  <Pages>32</Pages>
  <Words>8049</Words>
  <Characters>9708</Characters>
  <Lines>93</Lines>
  <Paragraphs>26</Paragraphs>
  <TotalTime>41</TotalTime>
  <ScaleCrop>false</ScaleCrop>
  <LinksUpToDate>false</LinksUpToDate>
  <CharactersWithSpaces>9880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2023-02-27T15:49:00Z</dcterms:created>
  <dc:creator>Administrator</dc:creator>
  <cp:lastModifiedBy>风声</cp:lastModifiedBy>
  <cp:lastPrinted>2023-02-27T08:48:00Z</cp:lastPrinted>
  <dcterms:modified xsi:type="dcterms:W3CDTF">2024-08-13T05:30:57Z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E23DD82A7BD045E499480B7E92963042</vt:lpwstr>
  </property>
</Properties>
</file>