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440.79</w:t>
            </w:r>
          </w:p>
        </w:tc>
        <w:tc>
          <w:tcPr>
            <w:tcW w:w="4535" w:type="dxa"/>
            <w:vAlign w:val="center"/>
          </w:tcPr>
          <w:p>
            <w:pPr>
              <w:pStyle w:val="14"/>
            </w:pPr>
            <w:r>
              <w:t>一、一般公共服务支出</w:t>
            </w:r>
          </w:p>
        </w:tc>
        <w:tc>
          <w:tcPr>
            <w:tcW w:w="2126" w:type="dxa"/>
            <w:vAlign w:val="center"/>
          </w:tcPr>
          <w:p>
            <w:pPr>
              <w:pStyle w:val="13"/>
            </w:pPr>
            <w:r>
              <w:t>330.74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0.02</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440.81</w:t>
            </w:r>
          </w:p>
        </w:tc>
        <w:tc>
          <w:tcPr>
            <w:tcW w:w="4535" w:type="dxa"/>
            <w:vAlign w:val="center"/>
          </w:tcPr>
          <w:p>
            <w:pPr>
              <w:pStyle w:val="16"/>
            </w:pPr>
            <w:r>
              <w:t>本年支出合计</w:t>
            </w:r>
          </w:p>
        </w:tc>
        <w:tc>
          <w:tcPr>
            <w:tcW w:w="2126" w:type="dxa"/>
            <w:vAlign w:val="center"/>
          </w:tcPr>
          <w:p>
            <w:pPr>
              <w:pStyle w:val="17"/>
            </w:pPr>
            <w:r>
              <w:t>440.81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440.81</w:t>
            </w:r>
          </w:p>
        </w:tc>
        <w:tc>
          <w:tcPr>
            <w:tcW w:w="4535" w:type="dxa"/>
            <w:vAlign w:val="center"/>
          </w:tcPr>
          <w:p>
            <w:pPr>
              <w:pStyle w:val="16"/>
            </w:pPr>
            <w:r>
              <w:t>支出总计</w:t>
            </w:r>
          </w:p>
        </w:tc>
        <w:tc>
          <w:tcPr>
            <w:tcW w:w="2126" w:type="dxa"/>
            <w:vAlign w:val="center"/>
          </w:tcPr>
          <w:p>
            <w:pPr>
              <w:pStyle w:val="17"/>
            </w:pPr>
            <w:r>
              <w:t>440.81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440.81</w:t>
            </w:r>
          </w:p>
        </w:tc>
        <w:tc>
          <w:tcPr>
            <w:tcW w:w="1134" w:type="dxa"/>
            <w:vAlign w:val="center"/>
          </w:tcPr>
          <w:p>
            <w:pPr>
              <w:pStyle w:val="17"/>
            </w:pPr>
            <w:r>
              <w:t>440.81</w:t>
            </w:r>
          </w:p>
        </w:tc>
        <w:tc>
          <w:tcPr>
            <w:tcW w:w="1134" w:type="dxa"/>
            <w:vAlign w:val="center"/>
          </w:tcPr>
          <w:p>
            <w:pPr>
              <w:pStyle w:val="17"/>
            </w:pPr>
            <w:r>
              <w:t>440.79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0.02</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2013850</w:t>
            </w:r>
          </w:p>
        </w:tc>
        <w:tc>
          <w:tcPr>
            <w:tcW w:w="1559" w:type="dxa"/>
            <w:vAlign w:val="center"/>
          </w:tcPr>
          <w:p>
            <w:pPr>
              <w:pStyle w:val="14"/>
            </w:pPr>
            <w:r>
              <w:t>事业运行</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14.22</w:t>
            </w:r>
          </w:p>
        </w:tc>
        <w:tc>
          <w:tcPr>
            <w:tcW w:w="1134" w:type="dxa"/>
            <w:vAlign w:val="center"/>
          </w:tcPr>
          <w:p>
            <w:pPr>
              <w:pStyle w:val="13"/>
            </w:pPr>
            <w:r>
              <w:t>14.22</w:t>
            </w:r>
          </w:p>
        </w:tc>
        <w:tc>
          <w:tcPr>
            <w:tcW w:w="1134" w:type="dxa"/>
            <w:vAlign w:val="center"/>
          </w:tcPr>
          <w:p>
            <w:pPr>
              <w:pStyle w:val="13"/>
            </w:pPr>
            <w:r>
              <w:t>14.22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35.74</w:t>
            </w:r>
          </w:p>
        </w:tc>
        <w:tc>
          <w:tcPr>
            <w:tcW w:w="1134" w:type="dxa"/>
            <w:vAlign w:val="center"/>
          </w:tcPr>
          <w:p>
            <w:pPr>
              <w:pStyle w:val="13"/>
            </w:pPr>
            <w:r>
              <w:t>35.74</w:t>
            </w:r>
          </w:p>
        </w:tc>
        <w:tc>
          <w:tcPr>
            <w:tcW w:w="1134" w:type="dxa"/>
            <w:vAlign w:val="center"/>
          </w:tcPr>
          <w:p>
            <w:pPr>
              <w:pStyle w:val="13"/>
            </w:pPr>
            <w:r>
              <w:t>35.74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17.87</w:t>
            </w:r>
          </w:p>
        </w:tc>
        <w:tc>
          <w:tcPr>
            <w:tcW w:w="1134" w:type="dxa"/>
            <w:vAlign w:val="center"/>
          </w:tcPr>
          <w:p>
            <w:pPr>
              <w:pStyle w:val="13"/>
            </w:pPr>
            <w:r>
              <w:t>17.87</w:t>
            </w:r>
          </w:p>
        </w:tc>
        <w:tc>
          <w:tcPr>
            <w:tcW w:w="1134" w:type="dxa"/>
            <w:vAlign w:val="center"/>
          </w:tcPr>
          <w:p>
            <w:pPr>
              <w:pStyle w:val="13"/>
            </w:pPr>
            <w:r>
              <w:t>17.87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440.81</w:t>
            </w:r>
          </w:p>
        </w:tc>
        <w:tc>
          <w:tcPr>
            <w:tcW w:w="1361" w:type="dxa"/>
            <w:vAlign w:val="center"/>
          </w:tcPr>
          <w:p>
            <w:pPr>
              <w:pStyle w:val="17"/>
            </w:pPr>
            <w:r>
              <w:t>440.79</w:t>
            </w:r>
          </w:p>
        </w:tc>
        <w:tc>
          <w:tcPr>
            <w:tcW w:w="1361" w:type="dxa"/>
            <w:vAlign w:val="center"/>
          </w:tcPr>
          <w:p>
            <w:pPr>
              <w:pStyle w:val="17"/>
            </w:pPr>
            <w:r>
              <w:t>0.02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2013850</w:t>
            </w:r>
          </w:p>
        </w:tc>
        <w:tc>
          <w:tcPr>
            <w:tcW w:w="4535" w:type="dxa"/>
            <w:vAlign w:val="center"/>
          </w:tcPr>
          <w:p>
            <w:pPr>
              <w:pStyle w:val="14"/>
            </w:pPr>
            <w:r>
              <w:t>事业运行</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67.83</w:t>
            </w:r>
          </w:p>
        </w:tc>
        <w:tc>
          <w:tcPr>
            <w:tcW w:w="1361" w:type="dxa"/>
            <w:vAlign w:val="center"/>
          </w:tcPr>
          <w:p>
            <w:pPr>
              <w:pStyle w:val="13"/>
            </w:pPr>
            <w:r>
              <w:t>67.83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67.83</w:t>
            </w:r>
          </w:p>
        </w:tc>
        <w:tc>
          <w:tcPr>
            <w:tcW w:w="1361" w:type="dxa"/>
            <w:vAlign w:val="center"/>
          </w:tcPr>
          <w:p>
            <w:pPr>
              <w:pStyle w:val="13"/>
            </w:pPr>
            <w:r>
              <w:t>67.83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14.22</w:t>
            </w:r>
          </w:p>
        </w:tc>
        <w:tc>
          <w:tcPr>
            <w:tcW w:w="1361" w:type="dxa"/>
            <w:vAlign w:val="center"/>
          </w:tcPr>
          <w:p>
            <w:pPr>
              <w:pStyle w:val="13"/>
            </w:pPr>
            <w:r>
              <w:t>14.22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35.74</w:t>
            </w:r>
          </w:p>
        </w:tc>
        <w:tc>
          <w:tcPr>
            <w:tcW w:w="1361" w:type="dxa"/>
            <w:vAlign w:val="center"/>
          </w:tcPr>
          <w:p>
            <w:pPr>
              <w:pStyle w:val="13"/>
            </w:pPr>
            <w:r>
              <w:t>35.74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17.87</w:t>
            </w:r>
          </w:p>
        </w:tc>
        <w:tc>
          <w:tcPr>
            <w:tcW w:w="1361" w:type="dxa"/>
            <w:vAlign w:val="center"/>
          </w:tcPr>
          <w:p>
            <w:pPr>
              <w:pStyle w:val="13"/>
            </w:pPr>
            <w:r>
              <w:t>17.87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440.79</w:t>
            </w:r>
          </w:p>
        </w:tc>
        <w:tc>
          <w:tcPr>
            <w:tcW w:w="3402" w:type="dxa"/>
            <w:vAlign w:val="center"/>
          </w:tcPr>
          <w:p>
            <w:pPr>
              <w:pStyle w:val="14"/>
            </w:pPr>
            <w:r>
              <w:t>一、一般公共服务支出</w:t>
            </w:r>
          </w:p>
        </w:tc>
        <w:tc>
          <w:tcPr>
            <w:tcW w:w="1474" w:type="dxa"/>
            <w:vAlign w:val="center"/>
          </w:tcPr>
          <w:p>
            <w:pPr>
              <w:pStyle w:val="13"/>
            </w:pPr>
            <w:r>
              <w:t>330.72</w:t>
            </w:r>
          </w:p>
        </w:tc>
        <w:tc>
          <w:tcPr>
            <w:tcW w:w="1474" w:type="dxa"/>
            <w:vAlign w:val="center"/>
          </w:tcPr>
          <w:p>
            <w:pPr>
              <w:pStyle w:val="13"/>
            </w:pPr>
            <w:r>
              <w:t>330.72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67.83</w:t>
            </w:r>
          </w:p>
        </w:tc>
        <w:tc>
          <w:tcPr>
            <w:tcW w:w="1474" w:type="dxa"/>
            <w:vAlign w:val="center"/>
          </w:tcPr>
          <w:p>
            <w:pPr>
              <w:pStyle w:val="13"/>
            </w:pPr>
            <w:r>
              <w:t>67.83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12.78</w:t>
            </w:r>
          </w:p>
        </w:tc>
        <w:tc>
          <w:tcPr>
            <w:tcW w:w="1474" w:type="dxa"/>
            <w:vAlign w:val="center"/>
          </w:tcPr>
          <w:p>
            <w:pPr>
              <w:pStyle w:val="13"/>
            </w:pPr>
            <w:r>
              <w:t>12.78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29.46</w:t>
            </w:r>
          </w:p>
        </w:tc>
        <w:tc>
          <w:tcPr>
            <w:tcW w:w="1474" w:type="dxa"/>
            <w:vAlign w:val="center"/>
          </w:tcPr>
          <w:p>
            <w:pPr>
              <w:pStyle w:val="13"/>
            </w:pPr>
            <w:r>
              <w:t>29.46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440.79</w:t>
            </w:r>
          </w:p>
        </w:tc>
        <w:tc>
          <w:tcPr>
            <w:tcW w:w="3402" w:type="dxa"/>
            <w:vAlign w:val="center"/>
          </w:tcPr>
          <w:p>
            <w:pPr>
              <w:pStyle w:val="16"/>
            </w:pPr>
            <w:r>
              <w:t>本年支出合计</w:t>
            </w:r>
          </w:p>
        </w:tc>
        <w:tc>
          <w:tcPr>
            <w:tcW w:w="1474" w:type="dxa"/>
            <w:vAlign w:val="center"/>
          </w:tcPr>
          <w:p>
            <w:pPr>
              <w:pStyle w:val="17"/>
            </w:pPr>
            <w:r>
              <w:t>440.79</w:t>
            </w:r>
          </w:p>
        </w:tc>
        <w:tc>
          <w:tcPr>
            <w:tcW w:w="1474" w:type="dxa"/>
            <w:vAlign w:val="center"/>
          </w:tcPr>
          <w:p>
            <w:pPr>
              <w:pStyle w:val="17"/>
            </w:pPr>
            <w:r>
              <w:t>440.79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440.79</w:t>
            </w:r>
          </w:p>
        </w:tc>
        <w:tc>
          <w:tcPr>
            <w:tcW w:w="3402" w:type="dxa"/>
            <w:vAlign w:val="center"/>
          </w:tcPr>
          <w:p>
            <w:pPr>
              <w:pStyle w:val="16"/>
            </w:pPr>
            <w:r>
              <w:t>支出总计</w:t>
            </w:r>
          </w:p>
        </w:tc>
        <w:tc>
          <w:tcPr>
            <w:tcW w:w="1474" w:type="dxa"/>
            <w:vAlign w:val="center"/>
          </w:tcPr>
          <w:p>
            <w:pPr>
              <w:pStyle w:val="17"/>
            </w:pPr>
            <w:r>
              <w:t>440.79</w:t>
            </w:r>
          </w:p>
        </w:tc>
        <w:tc>
          <w:tcPr>
            <w:tcW w:w="1474" w:type="dxa"/>
            <w:vAlign w:val="center"/>
          </w:tcPr>
          <w:p>
            <w:pPr>
              <w:pStyle w:val="17"/>
            </w:pPr>
            <w:r>
              <w:t>440.79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440.79</w:t>
            </w:r>
          </w:p>
        </w:tc>
        <w:tc>
          <w:tcPr>
            <w:tcW w:w="2551" w:type="dxa"/>
            <w:vAlign w:val="center"/>
          </w:tcPr>
          <w:p>
            <w:pPr>
              <w:pStyle w:val="17"/>
            </w:pPr>
            <w:r>
              <w:t>440.79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2013850</w:t>
            </w:r>
          </w:p>
        </w:tc>
        <w:tc>
          <w:tcPr>
            <w:tcW w:w="4535" w:type="dxa"/>
            <w:vAlign w:val="center"/>
          </w:tcPr>
          <w:p>
            <w:pPr>
              <w:pStyle w:val="14"/>
            </w:pPr>
            <w:r>
              <w:t>事业运行</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67.83</w:t>
            </w:r>
          </w:p>
        </w:tc>
        <w:tc>
          <w:tcPr>
            <w:tcW w:w="2551" w:type="dxa"/>
            <w:vAlign w:val="center"/>
          </w:tcPr>
          <w:p>
            <w:pPr>
              <w:pStyle w:val="13"/>
            </w:pPr>
            <w:r>
              <w:t>67.83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67.83</w:t>
            </w:r>
          </w:p>
        </w:tc>
        <w:tc>
          <w:tcPr>
            <w:tcW w:w="2551" w:type="dxa"/>
            <w:vAlign w:val="center"/>
          </w:tcPr>
          <w:p>
            <w:pPr>
              <w:pStyle w:val="13"/>
            </w:pPr>
            <w:r>
              <w:t>67.83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14.22</w:t>
            </w:r>
          </w:p>
        </w:tc>
        <w:tc>
          <w:tcPr>
            <w:tcW w:w="2551" w:type="dxa"/>
            <w:vAlign w:val="center"/>
          </w:tcPr>
          <w:p>
            <w:pPr>
              <w:pStyle w:val="13"/>
            </w:pPr>
            <w:r>
              <w:t>14.22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35.74</w:t>
            </w:r>
          </w:p>
        </w:tc>
        <w:tc>
          <w:tcPr>
            <w:tcW w:w="2551" w:type="dxa"/>
            <w:vAlign w:val="center"/>
          </w:tcPr>
          <w:p>
            <w:pPr>
              <w:pStyle w:val="13"/>
            </w:pPr>
            <w:r>
              <w:t>35.74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17.87</w:t>
            </w:r>
          </w:p>
        </w:tc>
        <w:tc>
          <w:tcPr>
            <w:tcW w:w="2551" w:type="dxa"/>
            <w:vAlign w:val="center"/>
          </w:tcPr>
          <w:p>
            <w:pPr>
              <w:pStyle w:val="13"/>
            </w:pPr>
            <w:r>
              <w:t>17.87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440.79</w:t>
            </w:r>
          </w:p>
        </w:tc>
        <w:tc>
          <w:tcPr>
            <w:tcW w:w="2551" w:type="dxa"/>
            <w:vAlign w:val="center"/>
          </w:tcPr>
          <w:p>
            <w:pPr>
              <w:pStyle w:val="17"/>
            </w:pPr>
            <w:r>
              <w:t>422.01</w:t>
            </w:r>
          </w:p>
        </w:tc>
        <w:tc>
          <w:tcPr>
            <w:tcW w:w="2551" w:type="dxa"/>
            <w:vAlign w:val="center"/>
          </w:tcPr>
          <w:p>
            <w:pPr>
              <w:pStyle w:val="17"/>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406.61</w:t>
            </w:r>
          </w:p>
        </w:tc>
        <w:tc>
          <w:tcPr>
            <w:tcW w:w="2551" w:type="dxa"/>
            <w:vAlign w:val="center"/>
          </w:tcPr>
          <w:p>
            <w:pPr>
              <w:pStyle w:val="13"/>
            </w:pPr>
            <w:r>
              <w:t>406.61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100.95</w:t>
            </w:r>
          </w:p>
        </w:tc>
        <w:tc>
          <w:tcPr>
            <w:tcW w:w="2551" w:type="dxa"/>
            <w:vAlign w:val="center"/>
          </w:tcPr>
          <w:p>
            <w:pPr>
              <w:pStyle w:val="13"/>
            </w:pPr>
            <w:r>
              <w:t>100.95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20.43</w:t>
            </w:r>
          </w:p>
        </w:tc>
        <w:tc>
          <w:tcPr>
            <w:tcW w:w="2551" w:type="dxa"/>
            <w:vAlign w:val="center"/>
          </w:tcPr>
          <w:p>
            <w:pPr>
              <w:pStyle w:val="13"/>
            </w:pPr>
            <w:r>
              <w:t>20.43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79.61</w:t>
            </w:r>
          </w:p>
        </w:tc>
        <w:tc>
          <w:tcPr>
            <w:tcW w:w="2551" w:type="dxa"/>
            <w:vAlign w:val="center"/>
          </w:tcPr>
          <w:p>
            <w:pPr>
              <w:pStyle w:val="13"/>
            </w:pPr>
            <w:r>
              <w:t>79.61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35.74</w:t>
            </w:r>
          </w:p>
        </w:tc>
        <w:tc>
          <w:tcPr>
            <w:tcW w:w="2551" w:type="dxa"/>
            <w:vAlign w:val="center"/>
          </w:tcPr>
          <w:p>
            <w:pPr>
              <w:pStyle w:val="13"/>
            </w:pPr>
            <w:r>
              <w:t>35.74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17.87</w:t>
            </w:r>
          </w:p>
        </w:tc>
        <w:tc>
          <w:tcPr>
            <w:tcW w:w="2551" w:type="dxa"/>
            <w:vAlign w:val="center"/>
          </w:tcPr>
          <w:p>
            <w:pPr>
              <w:pStyle w:val="13"/>
            </w:pPr>
            <w:r>
              <w:t>17.87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12.61</w:t>
            </w:r>
          </w:p>
        </w:tc>
        <w:tc>
          <w:tcPr>
            <w:tcW w:w="2551" w:type="dxa"/>
            <w:vAlign w:val="center"/>
          </w:tcPr>
          <w:p>
            <w:pPr>
              <w:pStyle w:val="13"/>
            </w:pPr>
            <w:r>
              <w:t>12.61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2.34</w:t>
            </w:r>
          </w:p>
        </w:tc>
        <w:tc>
          <w:tcPr>
            <w:tcW w:w="2551" w:type="dxa"/>
            <w:vAlign w:val="center"/>
          </w:tcPr>
          <w:p>
            <w:pPr>
              <w:pStyle w:val="13"/>
            </w:pPr>
            <w:r>
              <w:t>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64.77</w:t>
            </w:r>
          </w:p>
        </w:tc>
        <w:tc>
          <w:tcPr>
            <w:tcW w:w="2551" w:type="dxa"/>
            <w:vAlign w:val="center"/>
          </w:tcPr>
          <w:p>
            <w:pPr>
              <w:pStyle w:val="13"/>
            </w:pPr>
            <w:r>
              <w:t>64.77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18.78</w:t>
            </w:r>
          </w:p>
        </w:tc>
        <w:tc>
          <w:tcPr>
            <w:tcW w:w="2551" w:type="dxa"/>
            <w:vAlign w:val="center"/>
          </w:tcPr>
          <w:p>
            <w:pPr>
              <w:pStyle w:val="13"/>
            </w:pPr>
          </w:p>
        </w:tc>
        <w:tc>
          <w:tcPr>
            <w:tcW w:w="2551" w:type="dxa"/>
            <w:vAlign w:val="center"/>
          </w:tcPr>
          <w:p>
            <w:pPr>
              <w:pStyle w:val="13"/>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8.10</w:t>
            </w:r>
          </w:p>
        </w:tc>
        <w:tc>
          <w:tcPr>
            <w:tcW w:w="2551" w:type="dxa"/>
            <w:vAlign w:val="center"/>
          </w:tcPr>
          <w:p>
            <w:pPr>
              <w:pStyle w:val="13"/>
            </w:pPr>
          </w:p>
        </w:tc>
        <w:tc>
          <w:tcPr>
            <w:tcW w:w="2551"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1.01</w:t>
            </w:r>
          </w:p>
        </w:tc>
        <w:tc>
          <w:tcPr>
            <w:tcW w:w="2551" w:type="dxa"/>
            <w:vAlign w:val="center"/>
          </w:tcPr>
          <w:p>
            <w:pPr>
              <w:pStyle w:val="13"/>
            </w:pPr>
          </w:p>
        </w:tc>
        <w:tc>
          <w:tcPr>
            <w:tcW w:w="2551"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3.61</w:t>
            </w:r>
          </w:p>
        </w:tc>
        <w:tc>
          <w:tcPr>
            <w:tcW w:w="2551" w:type="dxa"/>
            <w:vAlign w:val="center"/>
          </w:tcPr>
          <w:p>
            <w:pPr>
              <w:pStyle w:val="13"/>
            </w:pPr>
          </w:p>
        </w:tc>
        <w:tc>
          <w:tcPr>
            <w:tcW w:w="2551" w:type="dxa"/>
            <w:vAlign w:val="center"/>
          </w:tcPr>
          <w:p>
            <w:pPr>
              <w:pStyle w:val="13"/>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2.52</w:t>
            </w:r>
          </w:p>
        </w:tc>
        <w:tc>
          <w:tcPr>
            <w:tcW w:w="2551" w:type="dxa"/>
            <w:vAlign w:val="center"/>
          </w:tcPr>
          <w:p>
            <w:pPr>
              <w:pStyle w:val="13"/>
            </w:pPr>
          </w:p>
        </w:tc>
        <w:tc>
          <w:tcPr>
            <w:tcW w:w="2551"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15.40</w:t>
            </w:r>
          </w:p>
        </w:tc>
        <w:tc>
          <w:tcPr>
            <w:tcW w:w="2551" w:type="dxa"/>
            <w:vAlign w:val="center"/>
          </w:tcPr>
          <w:p>
            <w:pPr>
              <w:pStyle w:val="13"/>
            </w:pPr>
            <w:r>
              <w:t>15.40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1.45</w:t>
            </w:r>
          </w:p>
        </w:tc>
        <w:tc>
          <w:tcPr>
            <w:tcW w:w="2551" w:type="dxa"/>
            <w:vAlign w:val="center"/>
          </w:tcPr>
          <w:p>
            <w:pPr>
              <w:pStyle w:val="13"/>
            </w:pPr>
            <w:r>
              <w:t>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2356" w:type="dxa"/>
            <w:tcBorders>
              <w:top w:val="single" w:color="FFFFFF" w:sz="6" w:space="0"/>
              <w:left w:val="single" w:color="FFFFFF" w:sz="6" w:space="0"/>
              <w:right w:val="single" w:color="FFFFFF" w:sz="6" w:space="0"/>
            </w:tcBorders>
            <w:vAlign w:val="center"/>
          </w:tcPr>
          <w:p>
            <w:pPr>
              <w:pStyle w:val="10"/>
            </w:pPr>
            <w:r>
              <w:t>预算年度：2023</w:t>
            </w:r>
          </w:p>
        </w:tc>
        <w:tc>
          <w:tcPr>
            <w:tcW w:w="471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56" w:type="dxa"/>
            <w:vMerge w:val="restart"/>
            <w:vAlign w:val="center"/>
          </w:tcPr>
          <w:p>
            <w:pPr>
              <w:pStyle w:val="12"/>
            </w:pPr>
            <w:r>
              <w:t>序号</w:t>
            </w:r>
          </w:p>
        </w:tc>
        <w:tc>
          <w:tcPr>
            <w:tcW w:w="4714" w:type="dxa"/>
            <w:gridSpan w:val="2"/>
            <w:vAlign w:val="center"/>
          </w:tcPr>
          <w:p>
            <w:pPr>
              <w:pStyle w:val="12"/>
            </w:pPr>
            <w:r>
              <w:t>功能分类科目</w:t>
            </w:r>
          </w:p>
        </w:tc>
        <w:tc>
          <w:tcPr>
            <w:tcW w:w="2356" w:type="dxa"/>
            <w:vMerge w:val="restart"/>
            <w:vAlign w:val="center"/>
          </w:tcPr>
          <w:p>
            <w:pPr>
              <w:pStyle w:val="12"/>
            </w:pPr>
            <w:r>
              <w:t>合计</w:t>
            </w:r>
          </w:p>
        </w:tc>
        <w:tc>
          <w:tcPr>
            <w:tcW w:w="2356" w:type="dxa"/>
            <w:vMerge w:val="restart"/>
            <w:vAlign w:val="center"/>
          </w:tcPr>
          <w:p>
            <w:pPr>
              <w:pStyle w:val="12"/>
            </w:pPr>
            <w:r>
              <w:t>基本支出</w:t>
            </w:r>
          </w:p>
        </w:tc>
        <w:tc>
          <w:tcPr>
            <w:tcW w:w="235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56" w:type="dxa"/>
            <w:vMerge w:val="continue"/>
          </w:tcPr>
          <w:p/>
        </w:tc>
        <w:tc>
          <w:tcPr>
            <w:tcW w:w="2356" w:type="dxa"/>
            <w:vAlign w:val="center"/>
          </w:tcPr>
          <w:p>
            <w:pPr>
              <w:pStyle w:val="12"/>
            </w:pPr>
            <w:r>
              <w:t>科目编码</w:t>
            </w:r>
          </w:p>
        </w:tc>
        <w:tc>
          <w:tcPr>
            <w:tcW w:w="2358" w:type="dxa"/>
            <w:vAlign w:val="center"/>
          </w:tcPr>
          <w:p>
            <w:pPr>
              <w:pStyle w:val="12"/>
            </w:pPr>
            <w:r>
              <w:t>科目名称</w:t>
            </w:r>
          </w:p>
        </w:tc>
        <w:tc>
          <w:tcPr>
            <w:tcW w:w="2356" w:type="dxa"/>
            <w:vMerge w:val="continue"/>
          </w:tcPr>
          <w:p/>
        </w:tc>
        <w:tc>
          <w:tcPr>
            <w:tcW w:w="2356" w:type="dxa"/>
            <w:vMerge w:val="continue"/>
          </w:tcPr>
          <w:p/>
        </w:tc>
        <w:tc>
          <w:tcPr>
            <w:tcW w:w="2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56" w:type="dxa"/>
            <w:vAlign w:val="center"/>
          </w:tcPr>
          <w:p>
            <w:pPr>
              <w:pStyle w:val="12"/>
            </w:pPr>
            <w:r>
              <w:t>栏次</w:t>
            </w:r>
          </w:p>
        </w:tc>
        <w:tc>
          <w:tcPr>
            <w:tcW w:w="2356" w:type="dxa"/>
            <w:vAlign w:val="center"/>
          </w:tcPr>
          <w:p>
            <w:pPr>
              <w:pStyle w:val="12"/>
            </w:pPr>
            <w:r>
              <w:t>1</w:t>
            </w:r>
          </w:p>
        </w:tc>
        <w:tc>
          <w:tcPr>
            <w:tcW w:w="2358" w:type="dxa"/>
            <w:vAlign w:val="center"/>
          </w:tcPr>
          <w:p>
            <w:pPr>
              <w:pStyle w:val="12"/>
            </w:pPr>
            <w:r>
              <w:t>2</w:t>
            </w:r>
          </w:p>
        </w:tc>
        <w:tc>
          <w:tcPr>
            <w:tcW w:w="2356" w:type="dxa"/>
            <w:vAlign w:val="center"/>
          </w:tcPr>
          <w:p>
            <w:pPr>
              <w:pStyle w:val="12"/>
            </w:pPr>
            <w:r>
              <w:t>3</w:t>
            </w:r>
          </w:p>
        </w:tc>
        <w:tc>
          <w:tcPr>
            <w:tcW w:w="2356" w:type="dxa"/>
            <w:vAlign w:val="center"/>
          </w:tcPr>
          <w:p>
            <w:pPr>
              <w:pStyle w:val="12"/>
            </w:pPr>
            <w:r>
              <w:t>4</w:t>
            </w:r>
          </w:p>
        </w:tc>
        <w:tc>
          <w:tcPr>
            <w:tcW w:w="235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356" w:type="dxa"/>
            <w:vAlign w:val="center"/>
          </w:tcPr>
          <w:p>
            <w:pPr>
              <w:pStyle w:val="15"/>
            </w:pPr>
          </w:p>
        </w:tc>
        <w:tc>
          <w:tcPr>
            <w:tcW w:w="2356" w:type="dxa"/>
            <w:vAlign w:val="center"/>
          </w:tcPr>
          <w:p>
            <w:pPr>
              <w:pStyle w:val="14"/>
            </w:pPr>
          </w:p>
        </w:tc>
        <w:tc>
          <w:tcPr>
            <w:tcW w:w="2358" w:type="dxa"/>
            <w:vAlign w:val="center"/>
          </w:tcPr>
          <w:p>
            <w:pPr>
              <w:pStyle w:val="14"/>
            </w:pPr>
          </w:p>
        </w:tc>
        <w:tc>
          <w:tcPr>
            <w:tcW w:w="2356" w:type="dxa"/>
            <w:vAlign w:val="center"/>
          </w:tcPr>
          <w:p>
            <w:pPr>
              <w:pStyle w:val="13"/>
            </w:pPr>
          </w:p>
        </w:tc>
        <w:tc>
          <w:tcPr>
            <w:tcW w:w="2356" w:type="dxa"/>
            <w:vAlign w:val="center"/>
          </w:tcPr>
          <w:p>
            <w:pPr>
              <w:pStyle w:val="13"/>
            </w:pPr>
          </w:p>
        </w:tc>
        <w:tc>
          <w:tcPr>
            <w:tcW w:w="235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2"/>
        <w:gridCol w:w="2442"/>
        <w:gridCol w:w="2446"/>
        <w:gridCol w:w="2442"/>
        <w:gridCol w:w="2442"/>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11"/>
            </w:pPr>
            <w:bookmarkStart w:id="0" w:name="_GoBack"/>
            <w:r>
              <w:t>521001保定市徐水区市场建设服务中心本级</w:t>
            </w:r>
          </w:p>
        </w:tc>
        <w:tc>
          <w:tcPr>
            <w:tcW w:w="2442" w:type="dxa"/>
            <w:tcBorders>
              <w:top w:val="single" w:color="FFFFFF" w:sz="6" w:space="0"/>
              <w:left w:val="single" w:color="FFFFFF" w:sz="6" w:space="0"/>
              <w:right w:val="single" w:color="FFFFFF" w:sz="6" w:space="0"/>
            </w:tcBorders>
            <w:vAlign w:val="center"/>
          </w:tcPr>
          <w:p>
            <w:pPr>
              <w:pStyle w:val="10"/>
            </w:pPr>
            <w:r>
              <w:t>预算年度：2023</w:t>
            </w:r>
          </w:p>
        </w:tc>
        <w:tc>
          <w:tcPr>
            <w:tcW w:w="48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442" w:type="dxa"/>
            <w:vMerge w:val="restart"/>
            <w:vAlign w:val="center"/>
          </w:tcPr>
          <w:p>
            <w:pPr>
              <w:pStyle w:val="12"/>
            </w:pPr>
            <w:r>
              <w:t>序号</w:t>
            </w:r>
          </w:p>
        </w:tc>
        <w:tc>
          <w:tcPr>
            <w:tcW w:w="4888" w:type="dxa"/>
            <w:gridSpan w:val="2"/>
            <w:vAlign w:val="center"/>
          </w:tcPr>
          <w:p>
            <w:pPr>
              <w:pStyle w:val="12"/>
            </w:pPr>
            <w:r>
              <w:t>功能分类科目</w:t>
            </w:r>
          </w:p>
        </w:tc>
        <w:tc>
          <w:tcPr>
            <w:tcW w:w="2442" w:type="dxa"/>
            <w:vMerge w:val="restart"/>
            <w:vAlign w:val="center"/>
          </w:tcPr>
          <w:p>
            <w:pPr>
              <w:pStyle w:val="12"/>
            </w:pPr>
            <w:r>
              <w:t>合计</w:t>
            </w:r>
          </w:p>
        </w:tc>
        <w:tc>
          <w:tcPr>
            <w:tcW w:w="2442" w:type="dxa"/>
            <w:vMerge w:val="restart"/>
            <w:vAlign w:val="center"/>
          </w:tcPr>
          <w:p>
            <w:pPr>
              <w:pStyle w:val="12"/>
            </w:pPr>
            <w:r>
              <w:t>基本支出</w:t>
            </w:r>
          </w:p>
        </w:tc>
        <w:tc>
          <w:tcPr>
            <w:tcW w:w="244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442" w:type="dxa"/>
            <w:vMerge w:val="continue"/>
          </w:tcPr>
          <w:p/>
        </w:tc>
        <w:tc>
          <w:tcPr>
            <w:tcW w:w="2442" w:type="dxa"/>
            <w:vAlign w:val="center"/>
          </w:tcPr>
          <w:p>
            <w:pPr>
              <w:pStyle w:val="12"/>
            </w:pPr>
            <w:r>
              <w:t>科目编码</w:t>
            </w:r>
          </w:p>
        </w:tc>
        <w:tc>
          <w:tcPr>
            <w:tcW w:w="2446" w:type="dxa"/>
            <w:vAlign w:val="center"/>
          </w:tcPr>
          <w:p>
            <w:pPr>
              <w:pStyle w:val="12"/>
            </w:pPr>
            <w:r>
              <w:t>科目名称</w:t>
            </w:r>
          </w:p>
        </w:tc>
        <w:tc>
          <w:tcPr>
            <w:tcW w:w="2442" w:type="dxa"/>
            <w:vMerge w:val="continue"/>
          </w:tcPr>
          <w:p/>
        </w:tc>
        <w:tc>
          <w:tcPr>
            <w:tcW w:w="2442" w:type="dxa"/>
            <w:vMerge w:val="continue"/>
          </w:tcPr>
          <w:p/>
        </w:tc>
        <w:tc>
          <w:tcPr>
            <w:tcW w:w="24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442" w:type="dxa"/>
            <w:vAlign w:val="center"/>
          </w:tcPr>
          <w:p>
            <w:pPr>
              <w:pStyle w:val="12"/>
            </w:pPr>
            <w:r>
              <w:t>栏次</w:t>
            </w:r>
          </w:p>
        </w:tc>
        <w:tc>
          <w:tcPr>
            <w:tcW w:w="2442" w:type="dxa"/>
            <w:vAlign w:val="center"/>
          </w:tcPr>
          <w:p>
            <w:pPr>
              <w:pStyle w:val="12"/>
            </w:pPr>
            <w:r>
              <w:t>1</w:t>
            </w:r>
          </w:p>
        </w:tc>
        <w:tc>
          <w:tcPr>
            <w:tcW w:w="2446" w:type="dxa"/>
            <w:vAlign w:val="center"/>
          </w:tcPr>
          <w:p>
            <w:pPr>
              <w:pStyle w:val="12"/>
            </w:pPr>
            <w:r>
              <w:t>2</w:t>
            </w:r>
          </w:p>
        </w:tc>
        <w:tc>
          <w:tcPr>
            <w:tcW w:w="2442" w:type="dxa"/>
            <w:vAlign w:val="center"/>
          </w:tcPr>
          <w:p>
            <w:pPr>
              <w:pStyle w:val="12"/>
            </w:pPr>
            <w:r>
              <w:t>3</w:t>
            </w:r>
          </w:p>
        </w:tc>
        <w:tc>
          <w:tcPr>
            <w:tcW w:w="2442" w:type="dxa"/>
            <w:vAlign w:val="center"/>
          </w:tcPr>
          <w:p>
            <w:pPr>
              <w:pStyle w:val="12"/>
            </w:pPr>
            <w:r>
              <w:t>4</w:t>
            </w:r>
          </w:p>
        </w:tc>
        <w:tc>
          <w:tcPr>
            <w:tcW w:w="244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2442" w:type="dxa"/>
            <w:vAlign w:val="center"/>
          </w:tcPr>
          <w:p>
            <w:pPr>
              <w:pStyle w:val="15"/>
            </w:pPr>
          </w:p>
        </w:tc>
        <w:tc>
          <w:tcPr>
            <w:tcW w:w="2442" w:type="dxa"/>
            <w:vAlign w:val="center"/>
          </w:tcPr>
          <w:p>
            <w:pPr>
              <w:pStyle w:val="14"/>
            </w:pPr>
          </w:p>
        </w:tc>
        <w:tc>
          <w:tcPr>
            <w:tcW w:w="2446" w:type="dxa"/>
            <w:vAlign w:val="center"/>
          </w:tcPr>
          <w:p>
            <w:pPr>
              <w:pStyle w:val="14"/>
            </w:pPr>
          </w:p>
        </w:tc>
        <w:tc>
          <w:tcPr>
            <w:tcW w:w="2442" w:type="dxa"/>
            <w:vAlign w:val="center"/>
          </w:tcPr>
          <w:p>
            <w:pPr>
              <w:pStyle w:val="13"/>
            </w:pPr>
          </w:p>
        </w:tc>
        <w:tc>
          <w:tcPr>
            <w:tcW w:w="2442" w:type="dxa"/>
            <w:vAlign w:val="center"/>
          </w:tcPr>
          <w:p>
            <w:pPr>
              <w:pStyle w:val="13"/>
            </w:pPr>
          </w:p>
        </w:tc>
        <w:tc>
          <w:tcPr>
            <w:tcW w:w="2444" w:type="dxa"/>
            <w:vAlign w:val="center"/>
          </w:tcPr>
          <w:p>
            <w:pPr>
              <w:pStyle w:val="13"/>
            </w:pPr>
          </w:p>
        </w:tc>
      </w:tr>
      <w:bookmarkEnd w:id="0"/>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2.43</w:t>
            </w:r>
          </w:p>
        </w:tc>
        <w:tc>
          <w:tcPr>
            <w:tcW w:w="1643" w:type="dxa"/>
            <w:vAlign w:val="center"/>
          </w:tcPr>
          <w:p>
            <w:pPr>
              <w:pStyle w:val="17"/>
            </w:pPr>
            <w:r>
              <w:t>2.43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保定市徐水区市场建设服务中心本级2023年单位预算信息公开情况说明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预算法》、《地方预决算公开操作规程》和《关于进一步推进预算公开工作的实施意见》规定，现将保定市徐水区市场建设服务中心本级2023年单位预算公开如下：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（一）负责制定全县市场布局的规划、市场建设、组织市场论证，负责市场登记工作。</w:t>
      </w:r>
    </w:p>
    <w:p>
      <w:pPr>
        <w:pStyle w:val="27"/>
      </w:pPr>
      <w:r>
        <w:t>（二）负责对所辖市场的纠纷，物业管理，提供有偿服务，收取设施租赁费。</w:t>
      </w:r>
    </w:p>
    <w:p>
      <w:pPr>
        <w:pStyle w:val="27"/>
      </w:pPr>
      <w:r>
        <w:t>（三）配合有关执法</w:t>
      </w:r>
      <w:r>
        <w:rPr>
          <w:rFonts w:hint="eastAsia"/>
          <w:lang w:eastAsia="zh-CN"/>
        </w:rPr>
        <w:t>单位</w:t>
      </w:r>
      <w:r>
        <w:t>或受有关执法</w:t>
      </w:r>
      <w:r>
        <w:rPr>
          <w:rFonts w:hint="eastAsia"/>
          <w:lang w:eastAsia="zh-CN"/>
        </w:rPr>
        <w:t>单位</w:t>
      </w:r>
      <w:r>
        <w:t>委托，对市场经营者违法违章问题进行查处。</w:t>
      </w:r>
    </w:p>
    <w:p>
      <w:pPr>
        <w:pStyle w:val="27"/>
      </w:pPr>
      <w:r>
        <w:t>（四）配合公安、消防等</w:t>
      </w:r>
      <w:r>
        <w:rPr>
          <w:rFonts w:hint="eastAsia"/>
          <w:lang w:eastAsia="zh-CN"/>
        </w:rPr>
        <w:t>单位</w:t>
      </w:r>
      <w:r>
        <w:t>，对市场的日常安全和消防设施管理使用达标情况进行规范和检查。</w:t>
      </w:r>
    </w:p>
    <w:p>
      <w:pPr>
        <w:pStyle w:val="27"/>
      </w:pPr>
      <w:r>
        <w:t>（五）负责市场的培育开发、引进现代化商业业态，推动市场上档升级。</w:t>
      </w:r>
    </w:p>
    <w:p>
      <w:pPr>
        <w:pStyle w:val="27"/>
      </w:pPr>
      <w:r>
        <w:t>（六）组织各类庙会、商品交易会。</w:t>
      </w:r>
    </w:p>
    <w:p>
      <w:pPr>
        <w:pStyle w:val="27"/>
      </w:pPr>
      <w:r>
        <w:t>（七）负责市场统计与分析。</w:t>
      </w:r>
    </w:p>
    <w:p>
      <w:pPr>
        <w:pStyle w:val="27"/>
      </w:pPr>
      <w:r>
        <w:t>（八）组织市场检查评比、验收。</w:t>
      </w:r>
    </w:p>
    <w:p>
      <w:pPr>
        <w:pStyle w:val="27"/>
      </w:pPr>
      <w:r>
        <w:t>(九）承办区委、区政府交办的其它事项。1.主要职能。</w:t>
      </w:r>
    </w:p>
    <w:p>
      <w:pPr>
        <w:pStyle w:val="27"/>
      </w:pPr>
      <w:r>
        <w:t>（一）负责制定全县市场布局的规划、市场建设、组织市场论证，负责市场登记工作。</w:t>
      </w:r>
    </w:p>
    <w:p>
      <w:pPr>
        <w:pStyle w:val="27"/>
      </w:pPr>
      <w:r>
        <w:t>（二）负责对所辖市场的纠纷，物业管理，提供有偿服务，收取设施租赁费。</w:t>
      </w:r>
    </w:p>
    <w:p>
      <w:pPr>
        <w:pStyle w:val="27"/>
      </w:pPr>
      <w:r>
        <w:t>（三）配合有关执法</w:t>
      </w:r>
      <w:r>
        <w:rPr>
          <w:rFonts w:hint="eastAsia"/>
          <w:lang w:eastAsia="zh-CN"/>
        </w:rPr>
        <w:t>单位</w:t>
      </w:r>
      <w:r>
        <w:t>或受有关执法</w:t>
      </w:r>
      <w:r>
        <w:rPr>
          <w:rFonts w:hint="eastAsia"/>
          <w:lang w:eastAsia="zh-CN"/>
        </w:rPr>
        <w:t>单位</w:t>
      </w:r>
      <w:r>
        <w:t>委托，对市场经营者违法违章问题进行查处。</w:t>
      </w:r>
    </w:p>
    <w:p>
      <w:pPr>
        <w:pStyle w:val="27"/>
      </w:pPr>
      <w:r>
        <w:t>（四）配合公安、消防等</w:t>
      </w:r>
      <w:r>
        <w:rPr>
          <w:rFonts w:hint="eastAsia"/>
          <w:lang w:eastAsia="zh-CN"/>
        </w:rPr>
        <w:t>单位</w:t>
      </w:r>
      <w:r>
        <w:t>，对市场的日常安全和消防设施管理使用达标情况进行规范和检查。</w:t>
      </w:r>
    </w:p>
    <w:p>
      <w:pPr>
        <w:pStyle w:val="27"/>
      </w:pPr>
      <w:r>
        <w:t>（五）负责市场的培育开发、引进现代化商业业态，推动市场上档升级。</w:t>
      </w:r>
    </w:p>
    <w:p>
      <w:pPr>
        <w:pStyle w:val="27"/>
      </w:pPr>
      <w:r>
        <w:t>（六）组织各类庙会、商品交易会。</w:t>
      </w:r>
    </w:p>
    <w:p>
      <w:pPr>
        <w:pStyle w:val="27"/>
      </w:pPr>
      <w:r>
        <w:t>（七）负责市场统计与分析。</w:t>
      </w:r>
    </w:p>
    <w:p>
      <w:pPr>
        <w:pStyle w:val="27"/>
      </w:pPr>
      <w:r>
        <w:t>（八）组织市场检查评比、验收。</w:t>
      </w:r>
    </w:p>
    <w:p>
      <w:pPr>
        <w:pStyle w:val="27"/>
      </w:pPr>
      <w:r>
        <w:t>(九）承办区委、区政府交办的其它事项。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保定市徐水区市场建设服务中心本级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反映本</w:t>
      </w:r>
      <w:r>
        <w:rPr>
          <w:rFonts w:hint="eastAsia"/>
          <w:lang w:eastAsia="zh-CN"/>
        </w:rPr>
        <w:t>单位</w:t>
      </w:r>
      <w:r>
        <w:t>当年全部收入。2023年预算收入</w:t>
      </w:r>
      <w:r>
        <w:rPr>
          <w:rFonts w:hint="eastAsia"/>
          <w:lang w:val="en-US" w:eastAsia="zh-CN"/>
        </w:rPr>
        <w:t>440.81</w:t>
      </w:r>
      <w:r>
        <w:t>万元，其中：一般公共预算收入</w:t>
      </w:r>
      <w:r>
        <w:rPr>
          <w:rFonts w:hint="eastAsia"/>
          <w:lang w:val="en-US" w:eastAsia="zh-CN"/>
        </w:rPr>
        <w:t>440.79</w:t>
      </w:r>
      <w:r>
        <w:t>万元，基金预算收入0万元，国有资本经营预算收入0万元，财政专户核拨收入0万元，单位资金收入0.02万元，上年结转结余0万元。</w:t>
      </w:r>
    </w:p>
    <w:p>
      <w:pPr>
        <w:pStyle w:val="28"/>
      </w:pPr>
      <w:r>
        <w:t>二、支出说明</w:t>
      </w:r>
    </w:p>
    <w:p>
      <w:pPr>
        <w:pStyle w:val="28"/>
      </w:pPr>
      <w:r>
        <w:t>收支预算总表支出栏、基本支出表、项目支出表按经济分类和支出功能分类科目编制，反映市场建设服务中心年度</w:t>
      </w:r>
      <w:r>
        <w:rPr>
          <w:rFonts w:hint="eastAsia"/>
          <w:lang w:eastAsia="zh-CN"/>
        </w:rPr>
        <w:t>单位</w:t>
      </w:r>
      <w:r>
        <w:t>预算中支出预算的总体情况。2023年支出预算</w:t>
      </w:r>
      <w:r>
        <w:rPr>
          <w:rFonts w:hint="eastAsia"/>
          <w:lang w:val="en-US" w:eastAsia="zh-CN"/>
        </w:rPr>
        <w:t>440.81</w:t>
      </w:r>
      <w:r>
        <w:t>万元，其中基本支出</w:t>
      </w:r>
      <w:r>
        <w:rPr>
          <w:rFonts w:hint="eastAsia"/>
          <w:lang w:val="en-US" w:eastAsia="zh-CN"/>
        </w:rPr>
        <w:t>440.79</w:t>
      </w:r>
      <w:r>
        <w:t>万元，包括人员经费</w:t>
      </w:r>
      <w:r>
        <w:rPr>
          <w:rFonts w:hint="eastAsia"/>
          <w:lang w:val="en-US" w:eastAsia="zh-CN"/>
        </w:rPr>
        <w:t>422.01</w:t>
      </w:r>
      <w:r>
        <w:t>万元和日常公用经费18.78万元；项目支出0.02万元，主要为日常办公费用支出。</w:t>
      </w:r>
    </w:p>
    <w:p>
      <w:pPr>
        <w:pStyle w:val="28"/>
      </w:pPr>
      <w:r>
        <w:t>三、比上年增减情况</w:t>
      </w:r>
    </w:p>
    <w:p>
      <w:pPr>
        <w:pStyle w:val="28"/>
      </w:pPr>
      <w:r>
        <w:t>本年度预算收支安排</w:t>
      </w:r>
      <w:r>
        <w:rPr>
          <w:rFonts w:hint="eastAsia"/>
          <w:lang w:val="en-US" w:eastAsia="zh-CN"/>
        </w:rPr>
        <w:t>440.81</w:t>
      </w:r>
      <w:r>
        <w:t>万元，较上年增加</w:t>
      </w:r>
      <w:r>
        <w:rPr>
          <w:rFonts w:hint="eastAsia"/>
          <w:lang w:val="en-US" w:eastAsia="zh-CN"/>
        </w:rPr>
        <w:t>10.2</w:t>
      </w:r>
      <w:r>
        <w:t>万元。其中:基本支出增加</w:t>
      </w:r>
      <w:r>
        <w:rPr>
          <w:rFonts w:hint="eastAsia"/>
          <w:lang w:val="en-US" w:eastAsia="zh-CN"/>
        </w:rPr>
        <w:t>10.21</w:t>
      </w:r>
      <w:r>
        <w:t>万元，主要原因是补充性绩效工资及保险缴费基数增加；项目支出减少0.01万元，主要原因是利息减少。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w:t>
      </w:r>
      <w:r>
        <w:rPr>
          <w:rFonts w:hint="eastAsia"/>
          <w:lang w:eastAsia="zh-CN"/>
        </w:rPr>
        <w:t>单位</w:t>
      </w:r>
      <w:r>
        <w:t>机关运行经费安排18.78万元，其中办公费8.1万元，邮电费1万元，工会经费、福利费5.9</w:t>
      </w:r>
      <w:r>
        <w:rPr>
          <w:rFonts w:hint="eastAsia"/>
          <w:lang w:val="en-US" w:eastAsia="zh-CN"/>
        </w:rPr>
        <w:t>3</w:t>
      </w:r>
      <w:r>
        <w:t>万元，公务用车运行维护费2.43万元，其他支出1.3</w:t>
      </w:r>
      <w:r>
        <w:rPr>
          <w:rFonts w:hint="eastAsia"/>
          <w:lang w:val="en-US" w:eastAsia="zh-CN"/>
        </w:rPr>
        <w:t>2</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w:t>
      </w:r>
      <w:r>
        <w:rPr>
          <w:rFonts w:hint="eastAsia"/>
          <w:lang w:eastAsia="zh-CN"/>
        </w:rPr>
        <w:t>单位</w:t>
      </w:r>
      <w:r>
        <w:t>财政拨款“三公”经费预算安排2.43万元，其中因公出国（境）费0万元；公务用车购置及运维费0万元（其中：公务用车购置费为0万元，公务用车运维费2.43万元)；公务接待费0万元。与2022年相比增加0万元，增加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1.确保我单位日常行政管理方面工作的运行。，保障我单位设备设施的正常运转，确保我单位活动的正常开展。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绩效评价次数</w:t>
            </w:r>
          </w:p>
        </w:tc>
        <w:tc>
          <w:tcPr>
            <w:tcW w:w="2835" w:type="dxa"/>
            <w:vAlign w:val="center"/>
          </w:tcPr>
          <w:p>
            <w:pPr>
              <w:pStyle w:val="14"/>
            </w:pPr>
            <w:r>
              <w:t>按季度评价资金使用程度</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保证工作正常开展</w:t>
            </w:r>
          </w:p>
        </w:tc>
        <w:tc>
          <w:tcPr>
            <w:tcW w:w="2835" w:type="dxa"/>
            <w:vAlign w:val="center"/>
          </w:tcPr>
          <w:p>
            <w:pPr>
              <w:pStyle w:val="14"/>
            </w:pPr>
            <w:r>
              <w:t>保证工作正常开展</w:t>
            </w:r>
          </w:p>
        </w:tc>
        <w:tc>
          <w:tcPr>
            <w:tcW w:w="2551" w:type="dxa"/>
            <w:vAlign w:val="center"/>
          </w:tcPr>
          <w:p>
            <w:pPr>
              <w:pStyle w:val="14"/>
            </w:pPr>
            <w:r>
              <w:t>≥95%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控制资金支出数</w:t>
            </w:r>
          </w:p>
        </w:tc>
        <w:tc>
          <w:tcPr>
            <w:tcW w:w="2835" w:type="dxa"/>
            <w:vAlign w:val="center"/>
          </w:tcPr>
          <w:p>
            <w:pPr>
              <w:pStyle w:val="14"/>
            </w:pPr>
            <w:r>
              <w:t>资金支出进度占预算金额的比例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按照支出进度要求预算执行比例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有利于提高工作效率</w:t>
            </w:r>
          </w:p>
        </w:tc>
        <w:tc>
          <w:tcPr>
            <w:tcW w:w="2551" w:type="dxa"/>
            <w:vAlign w:val="center"/>
          </w:tcPr>
          <w:p>
            <w:pPr>
              <w:pStyle w:val="14"/>
            </w:pPr>
            <w:r>
              <w:t>≥95%</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2023年，保定市徐水区市场建设服务中心本级安排政府采购预算0.00万元。具体内容见下表。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保定市徐水区市场建设服务中心本级上年末固定资产金额为13.29万元（详见下表）。本年度拟购置固定资产总额为0.00万元，已按要求列入政府采购预算，详见政府采购预算表。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521001保定市徐水区市场建设服务中心本级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755.80</w:t>
            </w:r>
          </w:p>
        </w:tc>
        <w:tc>
          <w:tcPr>
            <w:tcW w:w="2835" w:type="dxa"/>
            <w:vAlign w:val="center"/>
          </w:tcPr>
          <w:p>
            <w:pPr>
              <w:pStyle w:val="13"/>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755.80</w:t>
            </w:r>
          </w:p>
        </w:tc>
        <w:tc>
          <w:tcPr>
            <w:tcW w:w="2835" w:type="dxa"/>
            <w:vAlign w:val="center"/>
          </w:tcPr>
          <w:p>
            <w:pPr>
              <w:pStyle w:val="13"/>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jMwZGU5ZWRlYTIwZTYwMDY5Mjk0Yjk2NDM0ZmQifQ=="/>
  </w:docVars>
  <w:rsids>
    <w:rsidRoot w:val="00000000"/>
    <w:rsid w:val="00742322"/>
    <w:rsid w:val="09FE3223"/>
    <w:rsid w:val="200F36FC"/>
    <w:rsid w:val="299C254E"/>
    <w:rsid w:val="31CD05AA"/>
    <w:rsid w:val="340319E3"/>
    <w:rsid w:val="35C57ABF"/>
    <w:rsid w:val="4E1617D0"/>
    <w:rsid w:val="69C33F7E"/>
    <w:rsid w:val="6B8D75DB"/>
    <w:rsid w:val="78841DF1"/>
    <w:rsid w:val="78AE0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2023-02-26T15:32:30Z</dcterms:created>
  <dcterms:modified xsi:type="dcterms:W3CDTF">2023-02-26T07:32:30Z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2023-02-26T15:32:32Z</dcterms:created>
  <dcterms:modified xsi:type="dcterms:W3CDTF">2023-02-26T07:32:32Z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2023-02-26T15:32:31Z</dcterms:created>
  <dcterms:modified xsi:type="dcterms:W3CDTF">2023-02-26T07:32:31Z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2023-02-26T15:32:24Z</dcterms:created>
  <dcterms:modified xsi:type="dcterms:W3CDTF">2023-02-26T07:32:24Z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2023-02-26T15:32:27Z</dcterms:created>
  <dcterms:modified xsi:type="dcterms:W3CDTF">2023-02-26T07:32:27Z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2023-02-26T15:32:26Z</dcterms:created>
  <dcterms:modified xsi:type="dcterms:W3CDTF">2023-02-26T07:32:26Z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2023-02-26T15:32:26Z</dcterms:created>
  <dcterms:modified xsi:type="dcterms:W3CDTF">2023-02-26T07:32:26Z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10d1d9-b784-4bf1-bd18-4e914a9cc3bb}">
  <ds:schemaRefs/>
</ds:datastoreItem>
</file>

<file path=customXml/itemProps10.xml><?xml version="1.0" encoding="utf-8"?>
<ds:datastoreItem xmlns:ds="http://schemas.openxmlformats.org/officeDocument/2006/customXml" ds:itemID="{77df129c-cab1-47a5-be6e-f3a129e42ed3}">
  <ds:schemaRefs/>
</ds:datastoreItem>
</file>

<file path=customXml/itemProps11.xml><?xml version="1.0" encoding="utf-8"?>
<ds:datastoreItem xmlns:ds="http://schemas.openxmlformats.org/officeDocument/2006/customXml" ds:itemID="{1825494e-8dd0-4254-a875-d428bc01e9e1}">
  <ds:schemaRefs/>
</ds:datastoreItem>
</file>

<file path=customXml/itemProps12.xml><?xml version="1.0" encoding="utf-8"?>
<ds:datastoreItem xmlns:ds="http://schemas.openxmlformats.org/officeDocument/2006/customXml" ds:itemID="{ff258005-c012-4c3a-85af-9ae92ca6bcf0}">
  <ds:schemaRefs/>
</ds:datastoreItem>
</file>

<file path=customXml/itemProps13.xml><?xml version="1.0" encoding="utf-8"?>
<ds:datastoreItem xmlns:ds="http://schemas.openxmlformats.org/officeDocument/2006/customXml" ds:itemID="{a1cc45b0-dd71-4b37-aa60-05b80812ed31}">
  <ds:schemaRefs/>
</ds:datastoreItem>
</file>

<file path=customXml/itemProps14.xml><?xml version="1.0" encoding="utf-8"?>
<ds:datastoreItem xmlns:ds="http://schemas.openxmlformats.org/officeDocument/2006/customXml" ds:itemID="{e03f72dc-8bab-4bc2-82fe-d75f3c10ba86}">
  <ds:schemaRefs/>
</ds:datastoreItem>
</file>

<file path=customXml/itemProps2.xml><?xml version="1.0" encoding="utf-8"?>
<ds:datastoreItem xmlns:ds="http://schemas.openxmlformats.org/officeDocument/2006/customXml" ds:itemID="{054b0688-39d0-4661-a820-5b0f0e8a06fb}">
  <ds:schemaRefs/>
</ds:datastoreItem>
</file>

<file path=customXml/itemProps3.xml><?xml version="1.0" encoding="utf-8"?>
<ds:datastoreItem xmlns:ds="http://schemas.openxmlformats.org/officeDocument/2006/customXml" ds:itemID="{4d684667-dacd-4b88-b60d-8406525c996b}">
  <ds:schemaRefs/>
</ds:datastoreItem>
</file>

<file path=customXml/itemProps4.xml><?xml version="1.0" encoding="utf-8"?>
<ds:datastoreItem xmlns:ds="http://schemas.openxmlformats.org/officeDocument/2006/customXml" ds:itemID="{3441e2ae-4d18-40c5-921b-79a87668c9d4}">
  <ds:schemaRefs/>
</ds:datastoreItem>
</file>

<file path=customXml/itemProps5.xml><?xml version="1.0" encoding="utf-8"?>
<ds:datastoreItem xmlns:ds="http://schemas.openxmlformats.org/officeDocument/2006/customXml" ds:itemID="{c3223a65-10b4-4edb-b611-31eb42d6d04f}">
  <ds:schemaRefs/>
</ds:datastoreItem>
</file>

<file path=customXml/itemProps6.xml><?xml version="1.0" encoding="utf-8"?>
<ds:datastoreItem xmlns:ds="http://schemas.openxmlformats.org/officeDocument/2006/customXml" ds:itemID="{f6b44076-998c-40a4-9b2b-9e29f362a7d9}">
  <ds:schemaRefs/>
</ds:datastoreItem>
</file>

<file path=customXml/itemProps7.xml><?xml version="1.0" encoding="utf-8"?>
<ds:datastoreItem xmlns:ds="http://schemas.openxmlformats.org/officeDocument/2006/customXml" ds:itemID="{2fcc8ca3-acb4-4db1-897c-7b3adc872e34}">
  <ds:schemaRefs/>
</ds:datastoreItem>
</file>

<file path=customXml/itemProps8.xml><?xml version="1.0" encoding="utf-8"?>
<ds:datastoreItem xmlns:ds="http://schemas.openxmlformats.org/officeDocument/2006/customXml" ds:itemID="{28a8bcf1-69b1-4f02-8206-dbcc6a4eee48}">
  <ds:schemaRefs/>
</ds:datastoreItem>
</file>

<file path=customXml/itemProps9.xml><?xml version="1.0" encoding="utf-8"?>
<ds:datastoreItem xmlns:ds="http://schemas.openxmlformats.org/officeDocument/2006/customXml" ds:itemID="{2316a331-da36-42a4-9cbc-0d65a3e88bde}">
  <ds:schemaRefs/>
</ds:datastoreItem>
</file>

<file path=docProps/app.xml><?xml version="1.0" encoding="utf-8"?>
<Properties xmlns="http://schemas.openxmlformats.org/officeDocument/2006/extended-properties" xmlns:vt="http://schemas.openxmlformats.org/officeDocument/2006/docPropsVTypes">
  <Pages>34</Pages>
  <Words>5600</Words>
  <Characters>7013</Characters>
  <TotalTime>29</TotalTime>
  <ScaleCrop>false</ScaleCrop>
  <LinksUpToDate>false</LinksUpToDate>
  <CharactersWithSpaces>7244</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2023-02-26T15:32:00Z</dcterms:created>
  <dc:creator>lenovo</dc:creator>
  <cp:lastModifiedBy>Administrator</cp:lastModifiedBy>
  <dcterms:modified xsi:type="dcterms:W3CDTF">2024-08-13T03:05:53Z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1BC256B2DDD84D8384A653AD01D2296F</vt:lpwstr>
  </property>
</Properties>
</file>