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188.06</w:t>
            </w:r>
          </w:p>
        </w:tc>
        <w:tc>
          <w:tcPr>
            <w:tcW w:w="4535" w:type="dxa"/>
            <w:vAlign w:val="center"/>
          </w:tcPr>
          <w:p>
            <w:pPr>
              <w:pStyle w:val="13"/>
            </w:pPr>
            <w:r>
              <w:t>一、一般公共服务支出</w:t>
            </w:r>
          </w:p>
        </w:tc>
        <w:tc>
          <w:tcPr>
            <w:tcW w:w="2126" w:type="dxa"/>
            <w:vAlign w:val="center"/>
          </w:tcPr>
          <w:p>
            <w:pPr>
              <w:pStyle w:val="12"/>
            </w:pPr>
            <w:r>
              <w:t>136.73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188.06</w:t>
            </w:r>
          </w:p>
        </w:tc>
        <w:tc>
          <w:tcPr>
            <w:tcW w:w="4535" w:type="dxa"/>
            <w:vAlign w:val="center"/>
          </w:tcPr>
          <w:p>
            <w:pPr>
              <w:pStyle w:val="15"/>
            </w:pPr>
            <w:r>
              <w:t>本年支出合计</w:t>
            </w:r>
          </w:p>
        </w:tc>
        <w:tc>
          <w:tcPr>
            <w:tcW w:w="2126" w:type="dxa"/>
            <w:vAlign w:val="center"/>
          </w:tcPr>
          <w:p>
            <w:pPr>
              <w:pStyle w:val="16"/>
            </w:pPr>
            <w:r>
              <w:t>188.06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188.06</w:t>
            </w:r>
          </w:p>
        </w:tc>
        <w:tc>
          <w:tcPr>
            <w:tcW w:w="4535" w:type="dxa"/>
            <w:vAlign w:val="center"/>
          </w:tcPr>
          <w:p>
            <w:pPr>
              <w:pStyle w:val="15"/>
            </w:pPr>
            <w:r>
              <w:t>支出总计</w:t>
            </w:r>
          </w:p>
        </w:tc>
        <w:tc>
          <w:tcPr>
            <w:tcW w:w="2126" w:type="dxa"/>
            <w:vAlign w:val="center"/>
          </w:tcPr>
          <w:p>
            <w:pPr>
              <w:pStyle w:val="16"/>
            </w:pPr>
            <w:r>
              <w:t>188.06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188.06</w:t>
            </w:r>
          </w:p>
        </w:tc>
        <w:tc>
          <w:tcPr>
            <w:tcW w:w="1134" w:type="dxa"/>
            <w:vAlign w:val="center"/>
          </w:tcPr>
          <w:p>
            <w:pPr>
              <w:pStyle w:val="16"/>
            </w:pPr>
            <w:r>
              <w:t>188.06</w:t>
            </w:r>
          </w:p>
        </w:tc>
        <w:tc>
          <w:tcPr>
            <w:tcW w:w="1134" w:type="dxa"/>
            <w:vAlign w:val="center"/>
          </w:tcPr>
          <w:p>
            <w:pPr>
              <w:pStyle w:val="16"/>
            </w:pPr>
            <w:r>
              <w:t>188.06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136.73</w:t>
            </w:r>
          </w:p>
        </w:tc>
        <w:tc>
          <w:tcPr>
            <w:tcW w:w="1134" w:type="dxa"/>
            <w:vAlign w:val="center"/>
          </w:tcPr>
          <w:p>
            <w:pPr>
              <w:pStyle w:val="12"/>
            </w:pPr>
            <w:r>
              <w:t>136.73</w:t>
            </w:r>
          </w:p>
        </w:tc>
        <w:tc>
          <w:tcPr>
            <w:tcW w:w="1134" w:type="dxa"/>
            <w:vAlign w:val="center"/>
          </w:tcPr>
          <w:p>
            <w:pPr>
              <w:pStyle w:val="12"/>
            </w:pPr>
            <w:r>
              <w:t>136.73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20123</w:t>
            </w:r>
          </w:p>
        </w:tc>
        <w:tc>
          <w:tcPr>
            <w:tcW w:w="1559" w:type="dxa"/>
            <w:vAlign w:val="center"/>
          </w:tcPr>
          <w:p>
            <w:pPr>
              <w:pStyle w:val="13"/>
            </w:pPr>
            <w:r>
              <w:t>民族事务</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2012304</w:t>
            </w:r>
          </w:p>
        </w:tc>
        <w:tc>
          <w:tcPr>
            <w:tcW w:w="1559" w:type="dxa"/>
            <w:vAlign w:val="center"/>
          </w:tcPr>
          <w:p>
            <w:pPr>
              <w:pStyle w:val="13"/>
            </w:pPr>
            <w:r>
              <w:t>民族工作专项</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r>
              <w:t>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123.73</w:t>
            </w:r>
          </w:p>
        </w:tc>
        <w:tc>
          <w:tcPr>
            <w:tcW w:w="1134" w:type="dxa"/>
            <w:vAlign w:val="center"/>
          </w:tcPr>
          <w:p>
            <w:pPr>
              <w:pStyle w:val="12"/>
            </w:pPr>
            <w:r>
              <w:t>123.73</w:t>
            </w:r>
          </w:p>
        </w:tc>
        <w:tc>
          <w:tcPr>
            <w:tcW w:w="1134" w:type="dxa"/>
            <w:vAlign w:val="center"/>
          </w:tcPr>
          <w:p>
            <w:pPr>
              <w:pStyle w:val="12"/>
            </w:pPr>
            <w:r>
              <w:t>123.73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2013404</w:t>
            </w:r>
          </w:p>
        </w:tc>
        <w:tc>
          <w:tcPr>
            <w:tcW w:w="1559" w:type="dxa"/>
            <w:vAlign w:val="center"/>
          </w:tcPr>
          <w:p>
            <w:pPr>
              <w:pStyle w:val="13"/>
            </w:pPr>
            <w:r>
              <w:t>宗教事务</w:t>
            </w:r>
          </w:p>
        </w:tc>
        <w:tc>
          <w:tcPr>
            <w:tcW w:w="1134" w:type="dxa"/>
            <w:vAlign w:val="center"/>
          </w:tcPr>
          <w:p>
            <w:pPr>
              <w:pStyle w:val="12"/>
            </w:pPr>
            <w:r>
              <w:t>123.73</w:t>
            </w:r>
          </w:p>
        </w:tc>
        <w:tc>
          <w:tcPr>
            <w:tcW w:w="1134" w:type="dxa"/>
            <w:vAlign w:val="center"/>
          </w:tcPr>
          <w:p>
            <w:pPr>
              <w:pStyle w:val="12"/>
            </w:pPr>
            <w:r>
              <w:t>123.73</w:t>
            </w:r>
          </w:p>
        </w:tc>
        <w:tc>
          <w:tcPr>
            <w:tcW w:w="1134" w:type="dxa"/>
            <w:vAlign w:val="center"/>
          </w:tcPr>
          <w:p>
            <w:pPr>
              <w:pStyle w:val="12"/>
            </w:pPr>
            <w:r>
              <w:t>123.73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37.01</w:t>
            </w:r>
          </w:p>
        </w:tc>
        <w:tc>
          <w:tcPr>
            <w:tcW w:w="1134" w:type="dxa"/>
            <w:vAlign w:val="center"/>
          </w:tcPr>
          <w:p>
            <w:pPr>
              <w:pStyle w:val="12"/>
            </w:pPr>
            <w:r>
              <w:t>37.01</w:t>
            </w:r>
          </w:p>
        </w:tc>
        <w:tc>
          <w:tcPr>
            <w:tcW w:w="1134" w:type="dxa"/>
            <w:vAlign w:val="center"/>
          </w:tcPr>
          <w:p>
            <w:pPr>
              <w:pStyle w:val="12"/>
            </w:pPr>
            <w:r>
              <w:t>37.01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37.01</w:t>
            </w:r>
          </w:p>
        </w:tc>
        <w:tc>
          <w:tcPr>
            <w:tcW w:w="1134" w:type="dxa"/>
            <w:vAlign w:val="center"/>
          </w:tcPr>
          <w:p>
            <w:pPr>
              <w:pStyle w:val="12"/>
            </w:pPr>
            <w:r>
              <w:t>37.01</w:t>
            </w:r>
          </w:p>
        </w:tc>
        <w:tc>
          <w:tcPr>
            <w:tcW w:w="1134" w:type="dxa"/>
            <w:vAlign w:val="center"/>
          </w:tcPr>
          <w:p>
            <w:pPr>
              <w:pStyle w:val="12"/>
            </w:pPr>
            <w:r>
              <w:t>37.01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r>
              <w:t>24.51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r>
              <w:t>12.50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r>
              <w:t>4.19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188.06</w:t>
            </w:r>
          </w:p>
        </w:tc>
        <w:tc>
          <w:tcPr>
            <w:tcW w:w="1361" w:type="dxa"/>
            <w:vAlign w:val="center"/>
          </w:tcPr>
          <w:p>
            <w:pPr>
              <w:pStyle w:val="16"/>
            </w:pPr>
            <w:r>
              <w:t>171.19</w:t>
            </w:r>
          </w:p>
        </w:tc>
        <w:tc>
          <w:tcPr>
            <w:tcW w:w="1361" w:type="dxa"/>
            <w:vAlign w:val="center"/>
          </w:tcPr>
          <w:p>
            <w:pPr>
              <w:pStyle w:val="16"/>
            </w:pPr>
            <w:r>
              <w:t>16.87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136.73</w:t>
            </w:r>
          </w:p>
        </w:tc>
        <w:tc>
          <w:tcPr>
            <w:tcW w:w="1361" w:type="dxa"/>
            <w:vAlign w:val="center"/>
          </w:tcPr>
          <w:p>
            <w:pPr>
              <w:pStyle w:val="12"/>
            </w:pPr>
            <w:r>
              <w:t>119.86</w:t>
            </w:r>
          </w:p>
        </w:tc>
        <w:tc>
          <w:tcPr>
            <w:tcW w:w="1361" w:type="dxa"/>
            <w:vAlign w:val="center"/>
          </w:tcPr>
          <w:p>
            <w:pPr>
              <w:pStyle w:val="12"/>
            </w:pPr>
            <w:r>
              <w:t>16.87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20123</w:t>
            </w:r>
          </w:p>
        </w:tc>
        <w:tc>
          <w:tcPr>
            <w:tcW w:w="4535" w:type="dxa"/>
            <w:vAlign w:val="center"/>
          </w:tcPr>
          <w:p>
            <w:pPr>
              <w:pStyle w:val="13"/>
            </w:pPr>
            <w:r>
              <w:t>民族事务</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2012304</w:t>
            </w:r>
          </w:p>
        </w:tc>
        <w:tc>
          <w:tcPr>
            <w:tcW w:w="4535" w:type="dxa"/>
            <w:vAlign w:val="center"/>
          </w:tcPr>
          <w:p>
            <w:pPr>
              <w:pStyle w:val="13"/>
            </w:pPr>
            <w:r>
              <w:t>民族工作专项</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123.73</w:t>
            </w:r>
          </w:p>
        </w:tc>
        <w:tc>
          <w:tcPr>
            <w:tcW w:w="1361" w:type="dxa"/>
            <w:vAlign w:val="center"/>
          </w:tcPr>
          <w:p>
            <w:pPr>
              <w:pStyle w:val="12"/>
            </w:pPr>
            <w:r>
              <w:t>119.86</w:t>
            </w:r>
          </w:p>
        </w:tc>
        <w:tc>
          <w:tcPr>
            <w:tcW w:w="1361" w:type="dxa"/>
            <w:vAlign w:val="center"/>
          </w:tcPr>
          <w:p>
            <w:pPr>
              <w:pStyle w:val="12"/>
            </w:pPr>
            <w:r>
              <w:t>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2013404</w:t>
            </w:r>
          </w:p>
        </w:tc>
        <w:tc>
          <w:tcPr>
            <w:tcW w:w="4535" w:type="dxa"/>
            <w:vAlign w:val="center"/>
          </w:tcPr>
          <w:p>
            <w:pPr>
              <w:pStyle w:val="13"/>
            </w:pPr>
            <w:r>
              <w:t>宗教事务</w:t>
            </w:r>
          </w:p>
        </w:tc>
        <w:tc>
          <w:tcPr>
            <w:tcW w:w="1361" w:type="dxa"/>
            <w:vAlign w:val="center"/>
          </w:tcPr>
          <w:p>
            <w:pPr>
              <w:pStyle w:val="12"/>
            </w:pPr>
            <w:r>
              <w:t>123.73</w:t>
            </w:r>
          </w:p>
        </w:tc>
        <w:tc>
          <w:tcPr>
            <w:tcW w:w="1361" w:type="dxa"/>
            <w:vAlign w:val="center"/>
          </w:tcPr>
          <w:p>
            <w:pPr>
              <w:pStyle w:val="12"/>
            </w:pPr>
            <w:r>
              <w:t>119.86</w:t>
            </w:r>
          </w:p>
        </w:tc>
        <w:tc>
          <w:tcPr>
            <w:tcW w:w="1361" w:type="dxa"/>
            <w:vAlign w:val="center"/>
          </w:tcPr>
          <w:p>
            <w:pPr>
              <w:pStyle w:val="12"/>
            </w:pPr>
            <w:r>
              <w:t>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37.01</w:t>
            </w:r>
          </w:p>
        </w:tc>
        <w:tc>
          <w:tcPr>
            <w:tcW w:w="1361" w:type="dxa"/>
            <w:vAlign w:val="center"/>
          </w:tcPr>
          <w:p>
            <w:pPr>
              <w:pStyle w:val="12"/>
            </w:pPr>
            <w:r>
              <w:t>37.01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37.01</w:t>
            </w:r>
          </w:p>
        </w:tc>
        <w:tc>
          <w:tcPr>
            <w:tcW w:w="1361" w:type="dxa"/>
            <w:vAlign w:val="center"/>
          </w:tcPr>
          <w:p>
            <w:pPr>
              <w:pStyle w:val="12"/>
            </w:pPr>
            <w:r>
              <w:t>37.01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24.51</w:t>
            </w:r>
          </w:p>
        </w:tc>
        <w:tc>
          <w:tcPr>
            <w:tcW w:w="1361" w:type="dxa"/>
            <w:vAlign w:val="center"/>
          </w:tcPr>
          <w:p>
            <w:pPr>
              <w:pStyle w:val="12"/>
            </w:pPr>
            <w:r>
              <w:t>24.51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12.50</w:t>
            </w:r>
          </w:p>
        </w:tc>
        <w:tc>
          <w:tcPr>
            <w:tcW w:w="1361" w:type="dxa"/>
            <w:vAlign w:val="center"/>
          </w:tcPr>
          <w:p>
            <w:pPr>
              <w:pStyle w:val="12"/>
            </w:pPr>
            <w:r>
              <w:t>12.50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4.19</w:t>
            </w:r>
          </w:p>
        </w:tc>
        <w:tc>
          <w:tcPr>
            <w:tcW w:w="1361" w:type="dxa"/>
            <w:vAlign w:val="center"/>
          </w:tcPr>
          <w:p>
            <w:pPr>
              <w:pStyle w:val="12"/>
            </w:pPr>
            <w:r>
              <w:t>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4.19</w:t>
            </w:r>
          </w:p>
        </w:tc>
        <w:tc>
          <w:tcPr>
            <w:tcW w:w="1361" w:type="dxa"/>
            <w:vAlign w:val="center"/>
          </w:tcPr>
          <w:p>
            <w:pPr>
              <w:pStyle w:val="12"/>
            </w:pPr>
            <w:r>
              <w:t>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4.19</w:t>
            </w:r>
          </w:p>
        </w:tc>
        <w:tc>
          <w:tcPr>
            <w:tcW w:w="1361" w:type="dxa"/>
            <w:vAlign w:val="center"/>
          </w:tcPr>
          <w:p>
            <w:pPr>
              <w:pStyle w:val="12"/>
            </w:pPr>
            <w:r>
              <w:t>4.19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10.12</w:t>
            </w:r>
          </w:p>
        </w:tc>
        <w:tc>
          <w:tcPr>
            <w:tcW w:w="1361" w:type="dxa"/>
            <w:vAlign w:val="center"/>
          </w:tcPr>
          <w:p>
            <w:pPr>
              <w:pStyle w:val="12"/>
            </w:pPr>
            <w:r>
              <w:t>10.12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10.12</w:t>
            </w:r>
          </w:p>
        </w:tc>
        <w:tc>
          <w:tcPr>
            <w:tcW w:w="1361" w:type="dxa"/>
            <w:vAlign w:val="center"/>
          </w:tcPr>
          <w:p>
            <w:pPr>
              <w:pStyle w:val="12"/>
            </w:pPr>
            <w:r>
              <w:t>10.12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10.12</w:t>
            </w:r>
          </w:p>
        </w:tc>
        <w:tc>
          <w:tcPr>
            <w:tcW w:w="1361" w:type="dxa"/>
            <w:vAlign w:val="center"/>
          </w:tcPr>
          <w:p>
            <w:pPr>
              <w:pStyle w:val="12"/>
            </w:pPr>
            <w:r>
              <w:t>10.12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188.06</w:t>
            </w:r>
          </w:p>
        </w:tc>
        <w:tc>
          <w:tcPr>
            <w:tcW w:w="3402" w:type="dxa"/>
            <w:vAlign w:val="center"/>
          </w:tcPr>
          <w:p>
            <w:pPr>
              <w:pStyle w:val="13"/>
            </w:pPr>
            <w:r>
              <w:t>一、一般公共服务支出</w:t>
            </w:r>
          </w:p>
        </w:tc>
        <w:tc>
          <w:tcPr>
            <w:tcW w:w="1474" w:type="dxa"/>
            <w:vAlign w:val="center"/>
          </w:tcPr>
          <w:p>
            <w:pPr>
              <w:pStyle w:val="12"/>
            </w:pPr>
            <w:r>
              <w:t>136.73</w:t>
            </w:r>
          </w:p>
        </w:tc>
        <w:tc>
          <w:tcPr>
            <w:tcW w:w="1474" w:type="dxa"/>
            <w:vAlign w:val="center"/>
          </w:tcPr>
          <w:p>
            <w:pPr>
              <w:pStyle w:val="12"/>
            </w:pPr>
            <w:r>
              <w:t>136.73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37.01</w:t>
            </w:r>
          </w:p>
        </w:tc>
        <w:tc>
          <w:tcPr>
            <w:tcW w:w="1474" w:type="dxa"/>
            <w:vAlign w:val="center"/>
          </w:tcPr>
          <w:p>
            <w:pPr>
              <w:pStyle w:val="12"/>
            </w:pPr>
            <w:r>
              <w:t>37.01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4.19</w:t>
            </w:r>
          </w:p>
        </w:tc>
        <w:tc>
          <w:tcPr>
            <w:tcW w:w="1474" w:type="dxa"/>
            <w:vAlign w:val="center"/>
          </w:tcPr>
          <w:p>
            <w:pPr>
              <w:pStyle w:val="12"/>
            </w:pPr>
            <w:r>
              <w:t>4.19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10.12</w:t>
            </w:r>
          </w:p>
        </w:tc>
        <w:tc>
          <w:tcPr>
            <w:tcW w:w="1474" w:type="dxa"/>
            <w:vAlign w:val="center"/>
          </w:tcPr>
          <w:p>
            <w:pPr>
              <w:pStyle w:val="12"/>
            </w:pPr>
            <w:r>
              <w:t>10.12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188.06</w:t>
            </w:r>
          </w:p>
        </w:tc>
        <w:tc>
          <w:tcPr>
            <w:tcW w:w="3402" w:type="dxa"/>
            <w:vAlign w:val="center"/>
          </w:tcPr>
          <w:p>
            <w:pPr>
              <w:pStyle w:val="15"/>
            </w:pPr>
            <w:r>
              <w:t>本年支出合计</w:t>
            </w:r>
          </w:p>
        </w:tc>
        <w:tc>
          <w:tcPr>
            <w:tcW w:w="1474" w:type="dxa"/>
            <w:vAlign w:val="center"/>
          </w:tcPr>
          <w:p>
            <w:pPr>
              <w:pStyle w:val="16"/>
            </w:pPr>
            <w:r>
              <w:t>188.06</w:t>
            </w:r>
          </w:p>
        </w:tc>
        <w:tc>
          <w:tcPr>
            <w:tcW w:w="1474" w:type="dxa"/>
            <w:vAlign w:val="center"/>
          </w:tcPr>
          <w:p>
            <w:pPr>
              <w:pStyle w:val="16"/>
            </w:pPr>
            <w:r>
              <w:t>188.06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188.06</w:t>
            </w:r>
          </w:p>
        </w:tc>
        <w:tc>
          <w:tcPr>
            <w:tcW w:w="3402" w:type="dxa"/>
            <w:vAlign w:val="center"/>
          </w:tcPr>
          <w:p>
            <w:pPr>
              <w:pStyle w:val="15"/>
            </w:pPr>
            <w:r>
              <w:t>支出总计</w:t>
            </w:r>
          </w:p>
        </w:tc>
        <w:tc>
          <w:tcPr>
            <w:tcW w:w="1474" w:type="dxa"/>
            <w:vAlign w:val="center"/>
          </w:tcPr>
          <w:p>
            <w:pPr>
              <w:pStyle w:val="16"/>
            </w:pPr>
            <w:r>
              <w:t>188.06</w:t>
            </w:r>
          </w:p>
        </w:tc>
        <w:tc>
          <w:tcPr>
            <w:tcW w:w="1474" w:type="dxa"/>
            <w:vAlign w:val="center"/>
          </w:tcPr>
          <w:p>
            <w:pPr>
              <w:pStyle w:val="16"/>
            </w:pPr>
            <w:r>
              <w:t>188.06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188.06</w:t>
            </w:r>
          </w:p>
        </w:tc>
        <w:tc>
          <w:tcPr>
            <w:tcW w:w="2551" w:type="dxa"/>
            <w:vAlign w:val="center"/>
          </w:tcPr>
          <w:p>
            <w:pPr>
              <w:pStyle w:val="16"/>
            </w:pPr>
            <w:r>
              <w:t>171.19</w:t>
            </w:r>
          </w:p>
        </w:tc>
        <w:tc>
          <w:tcPr>
            <w:tcW w:w="2551" w:type="dxa"/>
            <w:vAlign w:val="center"/>
          </w:tcPr>
          <w:p>
            <w:pPr>
              <w:pStyle w:val="16"/>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136.73</w:t>
            </w:r>
          </w:p>
        </w:tc>
        <w:tc>
          <w:tcPr>
            <w:tcW w:w="2551" w:type="dxa"/>
            <w:vAlign w:val="center"/>
          </w:tcPr>
          <w:p>
            <w:pPr>
              <w:pStyle w:val="12"/>
            </w:pPr>
            <w:r>
              <w:t>119.86</w:t>
            </w:r>
          </w:p>
        </w:tc>
        <w:tc>
          <w:tcPr>
            <w:tcW w:w="2551" w:type="dxa"/>
            <w:vAlign w:val="center"/>
          </w:tcPr>
          <w:p>
            <w:pPr>
              <w:pStyle w:val="12"/>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20123</w:t>
            </w:r>
          </w:p>
        </w:tc>
        <w:tc>
          <w:tcPr>
            <w:tcW w:w="4535" w:type="dxa"/>
            <w:vAlign w:val="center"/>
          </w:tcPr>
          <w:p>
            <w:pPr>
              <w:pStyle w:val="13"/>
            </w:pPr>
            <w:r>
              <w:t>民族事务</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2012304</w:t>
            </w:r>
          </w:p>
        </w:tc>
        <w:tc>
          <w:tcPr>
            <w:tcW w:w="4535" w:type="dxa"/>
            <w:vAlign w:val="center"/>
          </w:tcPr>
          <w:p>
            <w:pPr>
              <w:pStyle w:val="13"/>
            </w:pPr>
            <w:r>
              <w:t>民族工作专项</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123.73</w:t>
            </w:r>
          </w:p>
        </w:tc>
        <w:tc>
          <w:tcPr>
            <w:tcW w:w="2551" w:type="dxa"/>
            <w:vAlign w:val="center"/>
          </w:tcPr>
          <w:p>
            <w:pPr>
              <w:pStyle w:val="12"/>
            </w:pPr>
            <w:r>
              <w:t>119.86</w:t>
            </w:r>
          </w:p>
        </w:tc>
        <w:tc>
          <w:tcPr>
            <w:tcW w:w="2551" w:type="dxa"/>
            <w:vAlign w:val="center"/>
          </w:tcPr>
          <w:p>
            <w:pPr>
              <w:pStyle w:val="12"/>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2013404</w:t>
            </w:r>
          </w:p>
        </w:tc>
        <w:tc>
          <w:tcPr>
            <w:tcW w:w="4535" w:type="dxa"/>
            <w:vAlign w:val="center"/>
          </w:tcPr>
          <w:p>
            <w:pPr>
              <w:pStyle w:val="13"/>
            </w:pPr>
            <w:r>
              <w:t>宗教事务</w:t>
            </w:r>
          </w:p>
        </w:tc>
        <w:tc>
          <w:tcPr>
            <w:tcW w:w="2551" w:type="dxa"/>
            <w:vAlign w:val="center"/>
          </w:tcPr>
          <w:p>
            <w:pPr>
              <w:pStyle w:val="12"/>
            </w:pPr>
            <w:r>
              <w:t>123.73</w:t>
            </w:r>
          </w:p>
        </w:tc>
        <w:tc>
          <w:tcPr>
            <w:tcW w:w="2551" w:type="dxa"/>
            <w:vAlign w:val="center"/>
          </w:tcPr>
          <w:p>
            <w:pPr>
              <w:pStyle w:val="12"/>
            </w:pPr>
            <w:r>
              <w:t>119.86</w:t>
            </w:r>
          </w:p>
        </w:tc>
        <w:tc>
          <w:tcPr>
            <w:tcW w:w="2551" w:type="dxa"/>
            <w:vAlign w:val="center"/>
          </w:tcPr>
          <w:p>
            <w:pPr>
              <w:pStyle w:val="12"/>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37.01</w:t>
            </w:r>
          </w:p>
        </w:tc>
        <w:tc>
          <w:tcPr>
            <w:tcW w:w="2551" w:type="dxa"/>
            <w:vAlign w:val="center"/>
          </w:tcPr>
          <w:p>
            <w:pPr>
              <w:pStyle w:val="12"/>
            </w:pPr>
            <w:r>
              <w:t>37.01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37.01</w:t>
            </w:r>
          </w:p>
        </w:tc>
        <w:tc>
          <w:tcPr>
            <w:tcW w:w="2551" w:type="dxa"/>
            <w:vAlign w:val="center"/>
          </w:tcPr>
          <w:p>
            <w:pPr>
              <w:pStyle w:val="12"/>
            </w:pPr>
            <w:r>
              <w:t>37.01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24.51</w:t>
            </w:r>
          </w:p>
        </w:tc>
        <w:tc>
          <w:tcPr>
            <w:tcW w:w="2551" w:type="dxa"/>
            <w:vAlign w:val="center"/>
          </w:tcPr>
          <w:p>
            <w:pPr>
              <w:pStyle w:val="12"/>
            </w:pPr>
            <w:r>
              <w:t>24.51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12.50</w:t>
            </w:r>
          </w:p>
        </w:tc>
        <w:tc>
          <w:tcPr>
            <w:tcW w:w="2551" w:type="dxa"/>
            <w:vAlign w:val="center"/>
          </w:tcPr>
          <w:p>
            <w:pPr>
              <w:pStyle w:val="12"/>
            </w:pPr>
            <w:r>
              <w:t>12.50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171.19</w:t>
            </w:r>
          </w:p>
        </w:tc>
        <w:tc>
          <w:tcPr>
            <w:tcW w:w="2551" w:type="dxa"/>
            <w:vAlign w:val="center"/>
          </w:tcPr>
          <w:p>
            <w:pPr>
              <w:pStyle w:val="16"/>
            </w:pPr>
            <w:r>
              <w:t>154.70</w:t>
            </w:r>
          </w:p>
        </w:tc>
        <w:tc>
          <w:tcPr>
            <w:tcW w:w="2551" w:type="dxa"/>
            <w:vAlign w:val="center"/>
          </w:tcPr>
          <w:p>
            <w:pPr>
              <w:pStyle w:val="16"/>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127.91</w:t>
            </w:r>
          </w:p>
        </w:tc>
        <w:tc>
          <w:tcPr>
            <w:tcW w:w="2551" w:type="dxa"/>
            <w:vAlign w:val="center"/>
          </w:tcPr>
          <w:p>
            <w:pPr>
              <w:pStyle w:val="12"/>
            </w:pPr>
            <w:r>
              <w:t>127.91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38.69</w:t>
            </w:r>
          </w:p>
        </w:tc>
        <w:tc>
          <w:tcPr>
            <w:tcW w:w="2551" w:type="dxa"/>
            <w:vAlign w:val="center"/>
          </w:tcPr>
          <w:p>
            <w:pPr>
              <w:pStyle w:val="12"/>
            </w:pPr>
            <w:r>
              <w:t>38.69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29.03</w:t>
            </w:r>
          </w:p>
        </w:tc>
        <w:tc>
          <w:tcPr>
            <w:tcW w:w="2551" w:type="dxa"/>
            <w:vAlign w:val="center"/>
          </w:tcPr>
          <w:p>
            <w:pPr>
              <w:pStyle w:val="12"/>
            </w:pPr>
            <w:r>
              <w:t>29.03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23.38</w:t>
            </w:r>
          </w:p>
        </w:tc>
        <w:tc>
          <w:tcPr>
            <w:tcW w:w="2551" w:type="dxa"/>
            <w:vAlign w:val="center"/>
          </w:tcPr>
          <w:p>
            <w:pPr>
              <w:pStyle w:val="12"/>
            </w:pPr>
            <w:r>
              <w:t>23.38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12.50</w:t>
            </w:r>
          </w:p>
        </w:tc>
        <w:tc>
          <w:tcPr>
            <w:tcW w:w="2551" w:type="dxa"/>
            <w:vAlign w:val="center"/>
          </w:tcPr>
          <w:p>
            <w:pPr>
              <w:pStyle w:val="12"/>
            </w:pPr>
            <w:r>
              <w:t>12.50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4.19</w:t>
            </w:r>
          </w:p>
        </w:tc>
        <w:tc>
          <w:tcPr>
            <w:tcW w:w="2551" w:type="dxa"/>
            <w:vAlign w:val="center"/>
          </w:tcPr>
          <w:p>
            <w:pPr>
              <w:pStyle w:val="12"/>
            </w:pPr>
            <w:r>
              <w:t>4.19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0.32</w:t>
            </w:r>
          </w:p>
        </w:tc>
        <w:tc>
          <w:tcPr>
            <w:tcW w:w="2551" w:type="dxa"/>
            <w:vAlign w:val="center"/>
          </w:tcPr>
          <w:p>
            <w:pPr>
              <w:pStyle w:val="12"/>
            </w:pPr>
            <w:r>
              <w:t>0.32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9.68</w:t>
            </w:r>
          </w:p>
        </w:tc>
        <w:tc>
          <w:tcPr>
            <w:tcW w:w="2551" w:type="dxa"/>
            <w:vAlign w:val="center"/>
          </w:tcPr>
          <w:p>
            <w:pPr>
              <w:pStyle w:val="12"/>
            </w:pPr>
            <w:r>
              <w:t>9.68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16.49</w:t>
            </w:r>
          </w:p>
        </w:tc>
        <w:tc>
          <w:tcPr>
            <w:tcW w:w="2551" w:type="dxa"/>
            <w:vAlign w:val="center"/>
          </w:tcPr>
          <w:p>
            <w:pPr>
              <w:pStyle w:val="12"/>
            </w:pPr>
          </w:p>
        </w:tc>
        <w:tc>
          <w:tcPr>
            <w:tcW w:w="2551" w:type="dxa"/>
            <w:vAlign w:val="center"/>
          </w:tcPr>
          <w:p>
            <w:pPr>
              <w:pStyle w:val="12"/>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1.89</w:t>
            </w:r>
          </w:p>
        </w:tc>
        <w:tc>
          <w:tcPr>
            <w:tcW w:w="2551" w:type="dxa"/>
            <w:vAlign w:val="center"/>
          </w:tcPr>
          <w:p>
            <w:pPr>
              <w:pStyle w:val="12"/>
            </w:pPr>
          </w:p>
        </w:tc>
        <w:tc>
          <w:tcPr>
            <w:tcW w:w="2551" w:type="dxa"/>
            <w:vAlign w:val="center"/>
          </w:tcPr>
          <w:p>
            <w:pPr>
              <w:pStyle w:val="12"/>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3.58</w:t>
            </w:r>
          </w:p>
        </w:tc>
        <w:tc>
          <w:tcPr>
            <w:tcW w:w="2551" w:type="dxa"/>
            <w:vAlign w:val="center"/>
          </w:tcPr>
          <w:p>
            <w:pPr>
              <w:pStyle w:val="12"/>
            </w:pPr>
          </w:p>
        </w:tc>
        <w:tc>
          <w:tcPr>
            <w:tcW w:w="2551" w:type="dxa"/>
            <w:vAlign w:val="center"/>
          </w:tcPr>
          <w:p>
            <w:pPr>
              <w:pStyle w:val="12"/>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1.33</w:t>
            </w:r>
          </w:p>
        </w:tc>
        <w:tc>
          <w:tcPr>
            <w:tcW w:w="2551" w:type="dxa"/>
            <w:vAlign w:val="center"/>
          </w:tcPr>
          <w:p>
            <w:pPr>
              <w:pStyle w:val="12"/>
            </w:pPr>
          </w:p>
        </w:tc>
        <w:tc>
          <w:tcPr>
            <w:tcW w:w="2551" w:type="dxa"/>
            <w:vAlign w:val="center"/>
          </w:tcPr>
          <w:p>
            <w:pPr>
              <w:pStyle w:val="12"/>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5.28</w:t>
            </w:r>
          </w:p>
        </w:tc>
        <w:tc>
          <w:tcPr>
            <w:tcW w:w="2551" w:type="dxa"/>
            <w:vAlign w:val="center"/>
          </w:tcPr>
          <w:p>
            <w:pPr>
              <w:pStyle w:val="12"/>
            </w:pPr>
          </w:p>
        </w:tc>
        <w:tc>
          <w:tcPr>
            <w:tcW w:w="2551" w:type="dxa"/>
            <w:vAlign w:val="center"/>
          </w:tcPr>
          <w:p>
            <w:pPr>
              <w:pStyle w:val="12"/>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0.70</w:t>
            </w:r>
          </w:p>
        </w:tc>
        <w:tc>
          <w:tcPr>
            <w:tcW w:w="2551" w:type="dxa"/>
            <w:vAlign w:val="center"/>
          </w:tcPr>
          <w:p>
            <w:pPr>
              <w:pStyle w:val="12"/>
            </w:pPr>
          </w:p>
        </w:tc>
        <w:tc>
          <w:tcPr>
            <w:tcW w:w="2551"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26.79</w:t>
            </w:r>
          </w:p>
        </w:tc>
        <w:tc>
          <w:tcPr>
            <w:tcW w:w="2551" w:type="dxa"/>
            <w:vAlign w:val="center"/>
          </w:tcPr>
          <w:p>
            <w:pPr>
              <w:pStyle w:val="12"/>
            </w:pPr>
            <w:r>
              <w:t>26.79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23.88</w:t>
            </w:r>
          </w:p>
        </w:tc>
        <w:tc>
          <w:tcPr>
            <w:tcW w:w="2551" w:type="dxa"/>
            <w:vAlign w:val="center"/>
          </w:tcPr>
          <w:p>
            <w:pPr>
              <w:pStyle w:val="12"/>
            </w:pPr>
            <w:r>
              <w:t>23.88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保定市徐水区民族宗教事务局2024年部门预算信息公开情况说明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保定市徐水区民族宗教事务局2024年部门预算信息公开情况说明</w:t>
      </w:r>
    </w:p>
    <w:p>
      <w:pPr>
        <w:spacing w:before="0" w:after="0"/>
        <w:ind w:firstLine="0"/>
        <w:jc w:val="center"/>
        <w:outlineLvl w:val="1"/>
      </w:pPr>
      <w:r>
        <w:rPr>
          <w:rFonts w:ascii="方正小标宋_GBK" w:hAnsi="方正小标宋_GBK" w:eastAsia="方正小标宋_GBK" w:cs="方正小标宋_GBK"/>
          <w:color w:val="000000"/>
          <w:sz w:val="36"/>
        </w:rPr>
        <w:t>部 门 职 责</w:t>
      </w:r>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根据《保定市徐水区民族宗教事务局职能配置、内设机构和人员编制规定》，保定市徐水区民族宗教事务局的主要职责是：</w:t>
      </w:r>
    </w:p>
    <w:p>
      <w:pPr>
        <w:pStyle w:val="26"/>
      </w:pPr>
      <w:r>
        <w:t>根据《保定市徐水区民族宗教事务局职能配置、内设机构和人员编制规定》，保定市徐水区民族宗教事务局的主要职责是：</w:t>
      </w:r>
    </w:p>
    <w:p>
      <w:pPr>
        <w:pStyle w:val="26"/>
      </w:pPr>
      <w:r>
        <w:t>徐办字〔2019〕13号</w:t>
      </w:r>
    </w:p>
    <w:p>
      <w:pPr>
        <w:pStyle w:val="26"/>
      </w:pPr>
    </w:p>
    <w:p>
      <w:pPr>
        <w:pStyle w:val="26"/>
      </w:pPr>
      <w:r>
        <w:t>中共保定市徐水区委办公室</w:t>
      </w:r>
    </w:p>
    <w:p>
      <w:pPr>
        <w:pStyle w:val="26"/>
      </w:pPr>
      <w:r>
        <w:t>保定市徐水区人民政府办公室</w:t>
      </w:r>
    </w:p>
    <w:p>
      <w:pPr>
        <w:pStyle w:val="26"/>
      </w:pPr>
      <w:r>
        <w:t>关于印发《保定市徐水区民族宗教事务局</w:t>
      </w:r>
    </w:p>
    <w:p>
      <w:pPr>
        <w:pStyle w:val="26"/>
      </w:pPr>
      <w:r>
        <w:t>职能配置、内设机构和人员编制规定》的通知</w:t>
      </w:r>
    </w:p>
    <w:p>
      <w:pPr>
        <w:pStyle w:val="26"/>
      </w:pPr>
    </w:p>
    <w:p>
      <w:pPr>
        <w:pStyle w:val="26"/>
      </w:pPr>
      <w:r>
        <w:t>各乡镇、城区办党委和人民政府，开发区党工委和管委会，区直各部门，各人民团体：</w:t>
      </w:r>
    </w:p>
    <w:p>
      <w:pPr>
        <w:pStyle w:val="26"/>
      </w:pPr>
      <w:r>
        <w:t>《保定市徐水区民族宗教事务局职能配置、内设机构和人员编制规定》经中共保定市徐水区委机构编制委员会办公室审核后，已报区委、区政府批准，现予印发。</w:t>
      </w:r>
    </w:p>
    <w:p>
      <w:pPr>
        <w:pStyle w:val="26"/>
      </w:pPr>
    </w:p>
    <w:p>
      <w:pPr>
        <w:pStyle w:val="26"/>
      </w:pPr>
    </w:p>
    <w:p>
      <w:pPr>
        <w:pStyle w:val="26"/>
      </w:pPr>
      <w:r>
        <w:t>中共保定市徐水区委办公室</w:t>
      </w:r>
    </w:p>
    <w:p>
      <w:pPr>
        <w:pStyle w:val="26"/>
      </w:pPr>
      <w:r>
        <w:t>保定市徐水区人民政府办公室</w:t>
      </w:r>
    </w:p>
    <w:p>
      <w:pPr>
        <w:pStyle w:val="26"/>
      </w:pPr>
      <w:r>
        <w:t>2019年3月6日</w:t>
      </w:r>
    </w:p>
    <w:p>
      <w:pPr>
        <w:pStyle w:val="26"/>
      </w:pPr>
      <w:r>
        <w:t>保定市徐水区民族宗教事务局</w:t>
      </w:r>
    </w:p>
    <w:p>
      <w:pPr>
        <w:pStyle w:val="26"/>
      </w:pPr>
      <w:r>
        <w:t>职能配置、内设机构和人员编制规定</w:t>
      </w:r>
    </w:p>
    <w:p>
      <w:pPr>
        <w:pStyle w:val="26"/>
      </w:pPr>
    </w:p>
    <w:p>
      <w:pPr>
        <w:pStyle w:val="26"/>
      </w:pPr>
      <w:r>
        <w:t>第一条  根据《中共保定市委办公厅保定市人民政府办公厅关于印发〈保定市徐水区机构改革方案〉的通知》（保办字〔2018〕67号），制定本规定。</w:t>
      </w:r>
    </w:p>
    <w:p>
      <w:pPr>
        <w:pStyle w:val="26"/>
      </w:pPr>
      <w:r>
        <w:t>第二条  保定市徐水区民族宗教事务局（区民族宗教事务局）为区政府工作部门，机构规格正科级。</w:t>
      </w:r>
    </w:p>
    <w:p>
      <w:pPr>
        <w:pStyle w:val="26"/>
      </w:pPr>
      <w:r>
        <w:t>第三条  贯彻落实党中央、省委、市委和区委关于民族宗教工作的方针政策和决策部署，在履行职责过程中坚持和加强党对民族宗教工作的集中统一领导。主要职责是：</w:t>
      </w:r>
    </w:p>
    <w:p>
      <w:pPr>
        <w:pStyle w:val="26"/>
      </w:pPr>
      <w:r>
        <w:t>（一）贯彻执行党和国家的民族宗教政策法规，研究有关民族宗教问题的具体举措并组织实施和监督。</w:t>
      </w:r>
    </w:p>
    <w:p>
      <w:pPr>
        <w:pStyle w:val="26"/>
      </w:pPr>
      <w:r>
        <w:t>（二）开展民族宗教政策、民族宗教法律法规和民族宗教基本知识的宣传教育活动。</w:t>
      </w:r>
    </w:p>
    <w:p>
      <w:pPr>
        <w:pStyle w:val="26"/>
      </w:pPr>
      <w:r>
        <w:t>（三）调查研究全区民族宗教情况，提出政策性建议、意见和措施。</w:t>
      </w:r>
    </w:p>
    <w:p>
      <w:pPr>
        <w:pStyle w:val="26"/>
      </w:pPr>
      <w:r>
        <w:t>（四）开展民族团结进步创建活动；指导乡（镇）村民族工作；办理少数民族权益保障事宜，协调处理涉及民族关系的有关事宜，维护民族团结。</w:t>
      </w:r>
    </w:p>
    <w:p>
      <w:pPr>
        <w:pStyle w:val="26"/>
      </w:pPr>
      <w:r>
        <w:t>（五）参与拟订少数民族村的经济发展规划并监督实施，帮助少数民族村和特困户解决特殊问题。</w:t>
      </w:r>
    </w:p>
    <w:p>
      <w:pPr>
        <w:pStyle w:val="26"/>
      </w:pPr>
      <w:r>
        <w:t>（六）联系少数民族干部和人才，协助做好少数民族干部的培养、教育和使用。</w:t>
      </w:r>
    </w:p>
    <w:p>
      <w:pPr>
        <w:pStyle w:val="26"/>
      </w:pPr>
      <w:r>
        <w:t>（七）负责少数民族语言文字和民族识别、民族成份鉴定。</w:t>
      </w:r>
    </w:p>
    <w:p>
      <w:pPr>
        <w:pStyle w:val="26"/>
      </w:pPr>
      <w:r>
        <w:t>（八）依法对宗教事务进行管理，依法保护公民宗教信仰自由和正常的宗教活动，维护宗教界合法权益，促进宗教关系和谐。</w:t>
      </w:r>
    </w:p>
    <w:p>
      <w:pPr>
        <w:pStyle w:val="26"/>
      </w:pPr>
      <w:r>
        <w:t>（九）负责组织协调民族宗教领域对外交流和合作，参与涉及民族宗教事务的对外宣传工作。</w:t>
      </w:r>
    </w:p>
    <w:p>
      <w:pPr>
        <w:pStyle w:val="26"/>
      </w:pPr>
      <w:r>
        <w:t>（十）依法管理宗教活动场所和重大宗教活动；管理、团结、教育教职人员，引导宗教与社会主义社会相适应。</w:t>
      </w:r>
    </w:p>
    <w:p>
      <w:pPr>
        <w:pStyle w:val="26"/>
      </w:pPr>
      <w:r>
        <w:t>（十一）管理民族宗教团体，指导其加强自身建设，抵御境外渗透；推动宗教团体在宗教界开展爱国主义、社会主义、践行社会主义核心价值观教育和中华文化自我教育，引导其拥护中国共产党领导。</w:t>
      </w:r>
    </w:p>
    <w:p>
      <w:pPr>
        <w:pStyle w:val="26"/>
      </w:pPr>
      <w:r>
        <w:t>（十二）负责指导、协调、监督管理宗教界依法开展公益、慈善事业。</w:t>
      </w:r>
    </w:p>
    <w:p>
      <w:pPr>
        <w:pStyle w:val="26"/>
      </w:pPr>
      <w:r>
        <w:t>（十三）协调有关部门、有关领域履行民族宗教工作相关职责，指导乡（镇）政府及时处理民族宗教方面的突发事件和影响社会稳定的问题，加强对互联网民族宗教事务管理。</w:t>
      </w:r>
    </w:p>
    <w:p>
      <w:pPr>
        <w:pStyle w:val="26"/>
      </w:pPr>
      <w:r>
        <w:t>（十四）承办区委、区政府交办的其他事项。</w:t>
      </w:r>
    </w:p>
    <w:p>
      <w:pPr>
        <w:pStyle w:val="26"/>
      </w:pPr>
      <w:r>
        <w:t>第四条  区民族宗教事务局设下列内设机构：</w:t>
      </w:r>
    </w:p>
    <w:p>
      <w:pPr>
        <w:pStyle w:val="26"/>
      </w:pPr>
      <w:r>
        <w:t>（一）办公室。负责机关日常工作协调和督办；负责文秘、信息、档案、机要保密、政务信息公开、信息化建设、信访、保卫、财务、会务、情况综合、建议提案办理和机关政务协调、后勤保障、人事工资、机构编制、老干部工作；负责机关国有资产、政府采购管理工作；承办局领导交办的其他事项。</w:t>
      </w:r>
    </w:p>
    <w:p>
      <w:pPr>
        <w:pStyle w:val="26"/>
      </w:pPr>
      <w:r>
        <w:t>（二）政策法规股。负责民族宗教政策法规的贯彻实施。开展民族宗教政策法规宣传教育，负责民族宗教干部及执法队伍教育培训；指导、协调民族宗教行政执法；排查矛盾纠纷隐患，参与处理突发事件；研究民族宗教领域重大突发事件预警、应急机制并参与有关问题的处置；负责宗教活动场所登记和教职人员备案工作；编写民族宗教工作年鉴；承担宗教事务行政许可事项审核和相关行政处罚工作。</w:t>
      </w:r>
    </w:p>
    <w:p>
      <w:pPr>
        <w:pStyle w:val="26"/>
      </w:pPr>
      <w:r>
        <w:t>负责民族事务、民族经济和伊斯兰教方面的工作。组织对少数民族和民族地方改革与发展中有关问题的调查研究，提出特殊政策措施；参与拟订少数民族经济、文化、教育、体育、卫生等相关领域的有关政策和规划；组织少数民族文化、体育活动；组织开展民族团结进步创建活动；办理有关保障少数民族合法权益、协调民族关系、维护民族团结的事宜；培养、推荐少数民族干部；负责少数民族语言文字和民族识别、民族成份鉴定；挖掘整理民族古籍；负责少数民族经济、社会发展的综合统计和分析；审核上报少数民族经济、文教、卫生等帮扶项目，管理有关专项资金；推进民族地方科技发展、对口支援、经济技术合作；管理清真食品；管理伊斯兰教有关事务，联系伊斯兰教界人士；依法处理互联网涉及的民族和伊斯兰教事务。</w:t>
      </w:r>
    </w:p>
    <w:p>
      <w:pPr>
        <w:pStyle w:val="26"/>
      </w:pPr>
      <w:r>
        <w:t>负责佛教、道教、天主教、基督教方面的工作。对有关重大问题进行调查研究并提出解决措施和办法；指导帮助有关宗教团体搞好自身建设、依法依规开展活动；培养、教育宗教教职人员；规范宗教场所的管理，建立健全各项规章制度；对有关宗教团体内部使用的宗教出版物进行审查；依法处理互联网涉及的宗教事务。</w:t>
      </w:r>
    </w:p>
    <w:p>
      <w:pPr>
        <w:pStyle w:val="26"/>
      </w:pPr>
      <w:r>
        <w:t>承办宗教综合性事务及专项工作。负责宗教工作重要文稿的起草；组织五大宗教团体联席会议及综合培训；负责宗教数据库建设及意识形态领域宗教工作；组织参与宗教情况调查研究并提出政策建议；协调网络宗教事务管理；指导、监督宗教活动场所做好财务管理。</w:t>
      </w:r>
    </w:p>
    <w:p>
      <w:pPr>
        <w:pStyle w:val="26"/>
      </w:pPr>
      <w:r>
        <w:t>承办局领导交办的其他事项。</w:t>
      </w:r>
    </w:p>
    <w:p>
      <w:pPr>
        <w:pStyle w:val="26"/>
      </w:pPr>
      <w:r>
        <w:t>第五条  区民族宗教事务局机关行政编制7名。设局长1名，副局长1名，股级职数2名。</w:t>
      </w:r>
    </w:p>
    <w:p>
      <w:pPr>
        <w:pStyle w:val="26"/>
      </w:pPr>
      <w:r>
        <w:t>第六条  本规定由中共保定市徐水区委机构编制委员会办公室负责解释，其调整由中共保定市徐水区委机构编制委员会办公室按规定程序办理。</w:t>
      </w:r>
    </w:p>
    <w:p>
      <w:pPr>
        <w:pStyle w:val="26"/>
      </w:pPr>
      <w:r>
        <w:t>第七条  本规定自2019年3月6日起施行。</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ind w:firstLine="7641" w:firstLineChars="2729"/>
      </w:pPr>
      <w:r>
        <w:t>中共保定市徐水区委办公室                  2019年3月6日印</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保定市徐水区民族宗教事务局本级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pPr>
        <w:pStyle w:val="19"/>
      </w:pPr>
      <w:r>
        <w:t>一、收入说明</w:t>
      </w:r>
    </w:p>
    <w:p>
      <w:pPr>
        <w:pStyle w:val="19"/>
      </w:pPr>
      <w:r>
        <w:t xml:space="preserve">反映本部门当年全部收入。2023年预算收入185.94万元，其中：一般公共预算收入185.93万元，基金预算收入0万元，国有资本经营预算收入0万元，财政专户核拨收入0万元，单 </w:t>
      </w:r>
    </w:p>
    <w:p>
      <w:pPr>
        <w:pStyle w:val="19"/>
      </w:pPr>
      <w:r>
        <w:t>位资金收入0.01万元，上年结转结余0万元。</w:t>
      </w:r>
    </w:p>
    <w:p>
      <w:pPr>
        <w:pStyle w:val="19"/>
      </w:pPr>
      <w:r>
        <w:t>二、支出说明</w:t>
      </w:r>
    </w:p>
    <w:p>
      <w:pPr>
        <w:pStyle w:val="19"/>
      </w:pPr>
      <w:r>
        <w:t>收支预算总表支出栏、基本支出表、项目支出表按经济分类和支出功能分类科目编制，反映b年度部门预算中支保定市徐水区民族宗教事务局预算的总体情况。2023年支出预算 185.94万元，其中基本支出176.06万元，包括人员经费 159.15万元和日常公用经费16.91万元；项目支出9.88万元，主要为2023年上级专款项目，2023年一般公共预算本级项目等。</w:t>
      </w:r>
    </w:p>
    <w:p>
      <w:pPr>
        <w:pStyle w:val="19"/>
      </w:pPr>
      <w:r>
        <w:t>三、比上年增减情况</w:t>
      </w:r>
    </w:p>
    <w:p>
      <w:pPr>
        <w:pStyle w:val="19"/>
      </w:pPr>
      <w:r>
        <w:t>本年度预算收支安排185.94万元，较上年减少5.74万元。其中:基支出减少15.61万元，主要原因是压减部门开支，厉行节约；项目支出增加9.87万元，主要原因是提前下达上级专款项目，新增2023年一般公共预算本级项目。</w:t>
      </w:r>
    </w:p>
    <w:p>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pPr>
        <w:pStyle w:val="20"/>
      </w:pPr>
      <w:r>
        <w:t>2023年我部门机关运行经费安排10.42万元，其中办公费1.89万元，邮电费3.86万元，工会经费、福利费2.24万元，公务用车运行维护费2.43万元，其他支出0万元。</w:t>
      </w:r>
    </w:p>
    <w:p>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21"/>
      </w:pPr>
      <w:r>
        <w:t>2023年，我部门财政拨款“三公”经费预算安排2.43万元，其中因公出国（境）费0万元；公务用车购置及运维费2.43万元（其中：公务用车购置费为0万元，公务用车运维费2.43万元)；公务接待费0万元。与 2022年相比增加0万元， 与上一年相比无变化。</w:t>
      </w:r>
    </w:p>
    <w:p>
      <w:pPr>
        <w:spacing w:before="10" w:after="10" w:line="360" w:lineRule="auto"/>
        <w:ind w:firstLine="640"/>
        <w:jc w:val="left"/>
        <w:outlineLvl w:val="2"/>
      </w:pPr>
      <w:bookmarkStart w:id="12" w:name="_Toc_3_3_0000000014"/>
      <w:r>
        <w:rPr>
          <w:rFonts w:ascii="黑体" w:hAnsi="黑体" w:eastAsia="黑体" w:cs="黑体"/>
          <w:color w:val="000000"/>
          <w:sz w:val="32"/>
        </w:rPr>
        <w:t>五、部门整体绩效目标</w:t>
      </w:r>
      <w:bookmarkEnd w:id="12"/>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深入贯彻党的十九届四中全会和省委九届九次全会精神，认真落实上级和区委、区政府重大安排部署，贯彻执行国家关于少数民族、宗教工作的方针政策，协调处理涉及民族关系的有关事宜，监督办理少数民族权益保障事宜；监督检查宗教活动场所，创建和谐寺观教堂，培训宗教工作干部，对困难宗教教职人员进行补助；协助处理民族宗教方面的维稳问题，促进民族宗教团结、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（一）全面持久把民族宗教工作引向深入</w:t>
      </w:r>
    </w:p>
    <w:p>
      <w:pPr>
        <w:pStyle w:val="23"/>
      </w:pPr>
      <w:r>
        <w:t>绩效目标：贯彻执行国家关于少数民族、宗教工作的方针政策，重大节日“开斋节”对少数民族村和7个清真寺进行慰问，发放慰问金和慰问品；监督检查宗教活动场所，对困难宗教教职人员进行补助；开展培训教育工作，教育、培训各大宗教教职人员和各大宗教爱国爱教人士，促进社会和谐稳定。</w:t>
      </w:r>
    </w:p>
    <w:p>
      <w:pPr>
        <w:pStyle w:val="23"/>
      </w:pPr>
      <w:r>
        <w:t>绩效指标：民族宗教法律政策宣传普及率达到85%以上；重大节日“开斋节”对少数民族村和7个清真寺进行慰问，发放慰问金和慰问品覆盖率达到80%以上；全年对全区宗教活动场所监督检查达到6次以上；对困难宗教教职人员补助覆盖率达到80%以上；对宗教教职人员和各大宗教爱国爱教人士培训人数达到50人以上。</w:t>
      </w:r>
    </w:p>
    <w:p>
      <w:pPr>
        <w:pStyle w:val="23"/>
      </w:pPr>
      <w:r>
        <w:t>（二）进一步加强民族宗教领域和谐稳定</w:t>
      </w:r>
    </w:p>
    <w:p>
      <w:pPr>
        <w:pStyle w:val="23"/>
      </w:pPr>
      <w:r>
        <w:t>绩效目标：开展综合事务管理工作，不断提高民族、宗教法律政策宣传力度；协助处理民族、宗教方面的维稳问题；进行清真食品检查；处理其他不可预见的民族、宗教问题。</w:t>
      </w:r>
    </w:p>
    <w:p>
      <w:pPr>
        <w:pStyle w:val="23"/>
      </w:pPr>
      <w:r>
        <w:t>绩效指标：民族宗教法律政策宣传普及率达到85%以上；民族宗教维稳率达到90%以上；对全区进行清真食品检查，清真食品认证服务满意度达到80%以上。</w:t>
      </w:r>
    </w:p>
    <w:p>
      <w:pPr>
        <w:pStyle w:val="23"/>
      </w:pPr>
      <w:r>
        <w:t>(三）促进少数民族地区发展</w:t>
      </w:r>
    </w:p>
    <w:p>
      <w:pPr>
        <w:pStyle w:val="23"/>
      </w:pPr>
      <w:r>
        <w:t>绩效目标：建立健全项目库。上级拨款按要求落实，全面用于少数民族地区发展，党委会就资金的分配及时召开会议。</w:t>
      </w:r>
    </w:p>
    <w:p>
      <w:pPr>
        <w:pStyle w:val="23"/>
      </w:pPr>
      <w:r>
        <w:t>2022年下达省级少数民族地区补助费2万元，用于订制《民族团结进步宣传手册》、宣传民族团结法律法规知识条幅。资金支出率达到100%。</w:t>
      </w:r>
    </w:p>
    <w:p>
      <w:pPr>
        <w:pStyle w:val="23"/>
      </w:pPr>
      <w:r>
        <w:t>2022年下达民族专项工作经费10万元，用于宗教场所监控安装、民族宗教工作等。资金支出率达到98.75%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建立健全本单位预算绩效管理制度体系，不断完善工作机制和工作流程，将事前评估、目标管理、运行监控、绩效评价、结果应用等各项措施，有效融入预算管理的全过程、各环节。围绕年度总体绩效目标和分类绩效目标，明确责任主体和实施进度要求，确保如期完成。</w:t>
      </w:r>
    </w:p>
    <w:p>
      <w:pPr>
        <w:pStyle w:val="24"/>
      </w:pPr>
      <w:r>
        <w:t>2、狠抓任务落实。本单位明确预算绩效管理职责，科学制定项目和内容的中期、终期绩效目标和评价指标，开展预算绩效中期评估、终期评价，落实整改措施等。</w:t>
      </w:r>
    </w:p>
    <w:p>
      <w:pPr>
        <w:pStyle w:val="24"/>
      </w:pPr>
      <w:r>
        <w:t>3、加强支出管理。强化财政预算的执行，及时启动项目和支付资金，加快履行政府采购程序，优化部门预算支出结构，创新财政资金支出思路，按照要求的支出方式，做到按照时间节点完成支出任务,确保支出任务达标。规范财政资金使用和管理，强化内部控制制度建设，更好地发挥财政资金的使用效益。</w:t>
      </w:r>
    </w:p>
    <w:p>
      <w:pPr>
        <w:pStyle w:val="24"/>
      </w:pPr>
      <w:r>
        <w:t>4、规范财务资产管理。完善财务管理制度，严格审批程序，加强固定资产登记、使用和报废处置管理，做到支出合理，物尽其用，做到账账、账卡、账实相符。</w:t>
      </w:r>
    </w:p>
    <w:p>
      <w:pPr>
        <w:pStyle w:val="24"/>
      </w:pPr>
      <w:r>
        <w:t>5、加强单位内部监督。加强单位内部制度建设，对绩效运行情况重大支出决策、资产处置及其他重要经济业务事项的决策和执行进行监督，对会计资料进行内部审计并配合做好审计监督等工作，切实提高财政资金使用效益。同时完善预算绩效编制管理、预算执行管理、财政风险防控管理等系统，着力提升技术引领、支撑和保障作用。</w:t>
      </w:r>
    </w:p>
    <w:p>
      <w:pPr>
        <w:pStyle w:val="24"/>
        <w:sectPr>
          <w:pgSz w:w="16840" w:h="11900" w:orient="landscape"/>
          <w:pgMar w:top="1361" w:right="1020" w:bottom="1361" w:left="1020" w:header="720" w:footer="720" w:gutter="0"/>
          <w:cols w:space="720" w:num="1"/>
        </w:sectPr>
      </w:pPr>
      <w:r>
        <w:t>6、加强宣传培训调研等。加强单位人员培训，提高本单位人员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3" w:name="_Toc_3_3_0000000015"/>
      <w:r>
        <w:rPr>
          <w:rFonts w:ascii="黑体" w:hAnsi="黑体" w:eastAsia="黑体" w:cs="黑体"/>
          <w:color w:val="000000"/>
          <w:sz w:val="32"/>
        </w:rPr>
        <w:t>六、部门主管专项资金预算安排情况及绩效目标</w:t>
      </w:r>
      <w:bookmarkEnd w:id="13"/>
      <w:bookmarkStart w:id="19" w:name="_GoBack"/>
      <w:bookmarkEnd w:id="19"/>
    </w:p>
    <w:p>
      <w:p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我部门无主管专项资金预算安排。</w:t>
      </w: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1、民族宗教综合业务绩效目标表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13062524P000015107551</w:t>
            </w:r>
          </w:p>
        </w:tc>
        <w:tc>
          <w:tcPr>
            <w:tcW w:w="2835" w:type="dxa"/>
            <w:vAlign w:val="center"/>
          </w:tcPr>
          <w:p>
            <w:pPr>
              <w:pStyle w:val="11"/>
            </w:pPr>
            <w:r>
              <w:t>项目名称</w:t>
            </w:r>
          </w:p>
        </w:tc>
        <w:tc>
          <w:tcPr>
            <w:tcW w:w="6094" w:type="dxa"/>
            <w:gridSpan w:val="3"/>
            <w:vAlign w:val="center"/>
          </w:tcPr>
          <w:p>
            <w:pPr>
              <w:pStyle w:val="13"/>
            </w:pPr>
            <w:r>
              <w:t>民族宗教综合业务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3.87</w:t>
            </w:r>
          </w:p>
        </w:tc>
        <w:tc>
          <w:tcPr>
            <w:tcW w:w="2835" w:type="dxa"/>
            <w:vAlign w:val="center"/>
          </w:tcPr>
          <w:p>
            <w:pPr>
              <w:pStyle w:val="11"/>
            </w:pPr>
            <w:r>
              <w:t>其中：财政    资金</w:t>
            </w:r>
          </w:p>
        </w:tc>
        <w:tc>
          <w:tcPr>
            <w:tcW w:w="2551" w:type="dxa"/>
            <w:vAlign w:val="center"/>
          </w:tcPr>
          <w:p>
            <w:pPr>
              <w:pStyle w:val="13"/>
            </w:pPr>
            <w:r>
              <w:t>3.87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用于支持民族宗教事务开展，承办民族宗教综合性事务及专项工作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1.用于民族事务、宗教事务相关工作，维护民族团结促进社会和谐稳定。</w:t>
            </w:r>
          </w:p>
          <w:p>
            <w:pPr>
              <w:pStyle w:val="13"/>
            </w:pPr>
            <w:r>
              <w:t>2.民族事务产生的办公用费等，宗教场所节日慰问等支出。</w:t>
            </w:r>
          </w:p>
          <w:p>
            <w:pPr>
              <w:pStyle w:val="13"/>
            </w:pPr>
            <w:r>
              <w:t>3.项目总计3.87万元，预计6月份支出50%，12月底支出完毕。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完成年初计划的工作数</w:t>
            </w:r>
          </w:p>
        </w:tc>
        <w:tc>
          <w:tcPr>
            <w:tcW w:w="5386" w:type="dxa"/>
            <w:vAlign w:val="center"/>
          </w:tcPr>
          <w:p>
            <w:pPr>
              <w:pStyle w:val="13"/>
            </w:pPr>
            <w:r>
              <w:t>根据工作计划和工作数量完成的数量</w:t>
            </w:r>
          </w:p>
        </w:tc>
        <w:tc>
          <w:tcPr>
            <w:tcW w:w="2268" w:type="dxa"/>
            <w:vAlign w:val="center"/>
          </w:tcPr>
          <w:p>
            <w:pPr>
              <w:pStyle w:val="13"/>
            </w:pPr>
            <w:r>
              <w:t>≥6次</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维护单位正常运转</w:t>
            </w:r>
          </w:p>
        </w:tc>
        <w:tc>
          <w:tcPr>
            <w:tcW w:w="5386" w:type="dxa"/>
            <w:vAlign w:val="center"/>
          </w:tcPr>
          <w:p>
            <w:pPr>
              <w:pStyle w:val="13"/>
            </w:pPr>
            <w:r>
              <w:t>各项民族事务的完成情况</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资金全部支出时间</w:t>
            </w:r>
          </w:p>
        </w:tc>
        <w:tc>
          <w:tcPr>
            <w:tcW w:w="5386" w:type="dxa"/>
            <w:vAlign w:val="center"/>
          </w:tcPr>
          <w:p>
            <w:pPr>
              <w:pStyle w:val="13"/>
            </w:pPr>
            <w:r>
              <w:t>资金全部支出时间节点</w:t>
            </w:r>
          </w:p>
        </w:tc>
        <w:tc>
          <w:tcPr>
            <w:tcW w:w="2268" w:type="dxa"/>
            <w:vAlign w:val="center"/>
          </w:tcPr>
          <w:p>
            <w:pPr>
              <w:pStyle w:val="13"/>
            </w:pPr>
            <w:r>
              <w:t>≥90%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项目实际支出成本与预算成本的比率</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构建和谐团结民族关系</w:t>
            </w:r>
          </w:p>
        </w:tc>
        <w:tc>
          <w:tcPr>
            <w:tcW w:w="5386" w:type="dxa"/>
            <w:vAlign w:val="center"/>
          </w:tcPr>
          <w:p>
            <w:pPr>
              <w:pStyle w:val="13"/>
            </w:pPr>
            <w:r>
              <w:t>协调处理涉及民族关系的有关事宜，维护民族团结稳定</w:t>
            </w:r>
          </w:p>
        </w:tc>
        <w:tc>
          <w:tcPr>
            <w:tcW w:w="2268" w:type="dxa"/>
            <w:vAlign w:val="center"/>
          </w:tcPr>
          <w:p>
            <w:pPr>
              <w:pStyle w:val="13"/>
            </w:pPr>
            <w:r>
              <w:t>效果显著</w:t>
            </w:r>
          </w:p>
        </w:tc>
        <w:tc>
          <w:tcPr>
            <w:tcW w:w="1276" w:type="dxa"/>
            <w:vAlign w:val="center"/>
          </w:tcPr>
          <w:p>
            <w:pPr>
              <w:pStyle w:val="13"/>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2、提前下达2024年省级少数民族发展资金绩效目标表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13062524P00001710157U</w:t>
            </w:r>
          </w:p>
        </w:tc>
        <w:tc>
          <w:tcPr>
            <w:tcW w:w="2835" w:type="dxa"/>
            <w:vAlign w:val="center"/>
          </w:tcPr>
          <w:p>
            <w:pPr>
              <w:pStyle w:val="11"/>
            </w:pPr>
            <w:r>
              <w:t>项目名称</w:t>
            </w:r>
          </w:p>
        </w:tc>
        <w:tc>
          <w:tcPr>
            <w:tcW w:w="6094" w:type="dxa"/>
            <w:gridSpan w:val="3"/>
            <w:vAlign w:val="center"/>
          </w:tcPr>
          <w:p>
            <w:pPr>
              <w:pStyle w:val="13"/>
            </w:pPr>
            <w:r>
              <w:t>提前下达2024年省级少数民族发展资金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用于民族事务、宗教事务相关工作，以铸牢中华民族共同体意识，完善民族乡村基础设施，发展特色产业，改善民族乡村人居环境，助力民族乡村高质量发展。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80%</w:t>
            </w:r>
          </w:p>
        </w:tc>
        <w:tc>
          <w:tcPr>
            <w:tcW w:w="2551" w:type="dxa"/>
            <w:vAlign w:val="center"/>
          </w:tcPr>
          <w:p>
            <w:pPr>
              <w:pStyle w:val="14"/>
            </w:pPr>
            <w:r>
              <w:t>95%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1.用于民族事务、宗教事务相关工作，以铸牢中华民族共同体意识，完善民族乡村基础设施，发展特色产业，改善民族乡村人居环境，助力民族乡村高质量发展。</w:t>
            </w:r>
          </w:p>
          <w:p>
            <w:pPr>
              <w:pStyle w:val="13"/>
            </w:pPr>
            <w:r>
              <w:t>2.项目总计13万元整，预计12月份支出完毕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支持项目个数</w:t>
            </w:r>
          </w:p>
        </w:tc>
        <w:tc>
          <w:tcPr>
            <w:tcW w:w="5386" w:type="dxa"/>
            <w:vAlign w:val="center"/>
          </w:tcPr>
          <w:p>
            <w:pPr>
              <w:pStyle w:val="13"/>
            </w:pPr>
            <w:r>
              <w:t>支持项目大于1个</w:t>
            </w:r>
          </w:p>
        </w:tc>
        <w:tc>
          <w:tcPr>
            <w:tcW w:w="2268" w:type="dxa"/>
            <w:vAlign w:val="center"/>
          </w:tcPr>
          <w:p>
            <w:pPr>
              <w:pStyle w:val="13"/>
            </w:pPr>
            <w:r>
              <w:t>≥2个</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资金使用效益</w:t>
            </w:r>
          </w:p>
        </w:tc>
        <w:tc>
          <w:tcPr>
            <w:tcW w:w="5386" w:type="dxa"/>
            <w:vAlign w:val="center"/>
          </w:tcPr>
          <w:p>
            <w:pPr>
              <w:pStyle w:val="13"/>
            </w:pPr>
            <w:r>
              <w:t>加大资金管理和检查力度，进一步提高资金效益</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资金拨付和项目完工率</w:t>
            </w:r>
          </w:p>
        </w:tc>
        <w:tc>
          <w:tcPr>
            <w:tcW w:w="5386" w:type="dxa"/>
            <w:vAlign w:val="center"/>
          </w:tcPr>
          <w:p>
            <w:pPr>
              <w:pStyle w:val="13"/>
            </w:pPr>
            <w:r>
              <w:t>资金拨付和项目完工占总量的比率100%</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支持民族村的平均成本</w:t>
            </w:r>
          </w:p>
        </w:tc>
        <w:tc>
          <w:tcPr>
            <w:tcW w:w="5386" w:type="dxa"/>
            <w:vAlign w:val="center"/>
          </w:tcPr>
          <w:p>
            <w:pPr>
              <w:pStyle w:val="13"/>
            </w:pPr>
            <w:r>
              <w:t>支持民族村平均资金小于13万元</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受益群众数</w:t>
            </w:r>
          </w:p>
        </w:tc>
        <w:tc>
          <w:tcPr>
            <w:tcW w:w="5386" w:type="dxa"/>
            <w:vAlign w:val="center"/>
          </w:tcPr>
          <w:p>
            <w:pPr>
              <w:pStyle w:val="13"/>
            </w:pPr>
            <w:r>
              <w:t>项目受益群众大于1000人</w:t>
            </w:r>
          </w:p>
        </w:tc>
        <w:tc>
          <w:tcPr>
            <w:tcW w:w="2268" w:type="dxa"/>
            <w:vAlign w:val="center"/>
          </w:tcPr>
          <w:p>
            <w:pPr>
              <w:pStyle w:val="13"/>
            </w:pPr>
            <w:r>
              <w:t>效果显著</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民族乡村生态环境提升</w:t>
            </w:r>
          </w:p>
        </w:tc>
        <w:tc>
          <w:tcPr>
            <w:tcW w:w="5386" w:type="dxa"/>
            <w:vAlign w:val="center"/>
          </w:tcPr>
          <w:p>
            <w:pPr>
              <w:pStyle w:val="13"/>
            </w:pPr>
            <w:r>
              <w:t>完善民族乡村基础设施，发展特色产业，改善民族乡村人居环境，助力民族乡村高质量发展</w:t>
            </w:r>
          </w:p>
        </w:tc>
        <w:tc>
          <w:tcPr>
            <w:tcW w:w="2268" w:type="dxa"/>
            <w:vAlign w:val="center"/>
          </w:tcPr>
          <w:p>
            <w:pPr>
              <w:pStyle w:val="13"/>
            </w:pPr>
            <w:r>
              <w:t>效果显著</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资金的使用率</w:t>
            </w:r>
          </w:p>
        </w:tc>
        <w:tc>
          <w:tcPr>
            <w:tcW w:w="5386" w:type="dxa"/>
            <w:vAlign w:val="center"/>
          </w:tcPr>
          <w:p>
            <w:pPr>
              <w:pStyle w:val="13"/>
            </w:pPr>
            <w:r>
              <w:t>支持民族村数量不少于1个</w:t>
            </w:r>
          </w:p>
        </w:tc>
        <w:tc>
          <w:tcPr>
            <w:tcW w:w="2268" w:type="dxa"/>
            <w:vAlign w:val="center"/>
          </w:tcPr>
          <w:p>
            <w:pPr>
              <w:pStyle w:val="13"/>
            </w:pPr>
            <w:r>
              <w:t>≥90%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群众满意度大于90%</w:t>
            </w:r>
          </w:p>
        </w:tc>
        <w:tc>
          <w:tcPr>
            <w:tcW w:w="2268" w:type="dxa"/>
            <w:vAlign w:val="center"/>
          </w:tcPr>
          <w:p>
            <w:pPr>
              <w:pStyle w:val="13"/>
            </w:pPr>
            <w:r>
              <w:t>≥90%</w:t>
            </w:r>
          </w:p>
        </w:tc>
        <w:tc>
          <w:tcPr>
            <w:tcW w:w="1276" w:type="dxa"/>
            <w:vAlign w:val="center"/>
          </w:tcPr>
          <w:p>
            <w:pPr>
              <w:pStyle w:val="13"/>
            </w:pPr>
            <w:r>
              <w:t>上级文件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保定市徐水区民族宗教事务局（含所属单位）上年末固定资产金额为217884.28万元（详见下表）。本年度拟购置固定资产总额为0.00万元，已按要求列入政府采购预算，详见政府采购预算表。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308保定市徐水区民族宗教事务局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217884.28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54</w:t>
            </w:r>
          </w:p>
        </w:tc>
        <w:tc>
          <w:tcPr>
            <w:tcW w:w="2835" w:type="dxa"/>
            <w:vAlign w:val="center"/>
          </w:tcPr>
          <w:p>
            <w:pPr>
              <w:pStyle w:val="12"/>
            </w:pPr>
            <w:r>
              <w:t>217878.00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E21D51"/>
    <w:rsid w:val="502F1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2024-02-26T17:23:50Z</dcterms:created>
  <dcterms:modified xsi:type="dcterms:W3CDTF">2024-02-26T09:23:50Z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2024-02-26T17:23:49Z</dcterms:created>
  <dcterms:modified xsi:type="dcterms:W3CDTF">2024-02-26T09:23:49Z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2024-02-26T17:23:50Z</dcterms:created>
  <dcterms:modified xsi:type="dcterms:W3CDTF">2024-02-26T09:23:50Z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2024-02-26T17:23:49Z</dcterms:created>
  <dcterms:modified xsi:type="dcterms:W3CDTF">2024-02-26T09:23:49Z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2024-02-26T17:23:50Z</dcterms:created>
  <dcterms:modified xsi:type="dcterms:W3CDTF">2024-02-26T09:23:50Z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2024-02-26T17:23:49Z</dcterms:created>
  <dcterms:modified xsi:type="dcterms:W3CDTF">2024-02-26T09:23:49Z</dcterms:modified>
</cp:coreProperties>
</file>

<file path=customXml/itemProps1.xml><?xml version="1.0" encoding="utf-8"?>
<ds:datastoreItem xmlns:ds="http://schemas.openxmlformats.org/officeDocument/2006/customXml" ds:itemID="{4da95c92-599d-41d4-9207-94eb043ee342}">
  <ds:schemaRefs/>
</ds:datastoreItem>
</file>

<file path=customXml/itemProps10.xml><?xml version="1.0" encoding="utf-8"?>
<ds:datastoreItem xmlns:ds="http://schemas.openxmlformats.org/officeDocument/2006/customXml" ds:itemID="{0ced3585-e5d0-429f-be14-c40c3975197c}">
  <ds:schemaRefs/>
</ds:datastoreItem>
</file>

<file path=customXml/itemProps11.xml><?xml version="1.0" encoding="utf-8"?>
<ds:datastoreItem xmlns:ds="http://schemas.openxmlformats.org/officeDocument/2006/customXml" ds:itemID="{01ad6f06-1841-4147-983b-f790c7a5edd6}">
  <ds:schemaRefs/>
</ds:datastoreItem>
</file>

<file path=customXml/itemProps12.xml><?xml version="1.0" encoding="utf-8"?>
<ds:datastoreItem xmlns:ds="http://schemas.openxmlformats.org/officeDocument/2006/customXml" ds:itemID="{ae549e55-e7ca-49de-a0cf-e36e5f40ce96}">
  <ds:schemaRefs/>
</ds:datastoreItem>
</file>

<file path=customXml/itemProps2.xml><?xml version="1.0" encoding="utf-8"?>
<ds:datastoreItem xmlns:ds="http://schemas.openxmlformats.org/officeDocument/2006/customXml" ds:itemID="{e57b1b19-0461-48b9-aec7-5c67bf513621}">
  <ds:schemaRefs/>
</ds:datastoreItem>
</file>

<file path=customXml/itemProps3.xml><?xml version="1.0" encoding="utf-8"?>
<ds:datastoreItem xmlns:ds="http://schemas.openxmlformats.org/officeDocument/2006/customXml" ds:itemID="{febc9f08-75e7-4ed6-9aa2-f0d483764c6b}">
  <ds:schemaRefs/>
</ds:datastoreItem>
</file>

<file path=customXml/itemProps4.xml><?xml version="1.0" encoding="utf-8"?>
<ds:datastoreItem xmlns:ds="http://schemas.openxmlformats.org/officeDocument/2006/customXml" ds:itemID="{37452e3d-ec0b-4ec1-bebe-be9ab9f40a82}">
  <ds:schemaRefs/>
</ds:datastoreItem>
</file>

<file path=customXml/itemProps5.xml><?xml version="1.0" encoding="utf-8"?>
<ds:datastoreItem xmlns:ds="http://schemas.openxmlformats.org/officeDocument/2006/customXml" ds:itemID="{d4adb25f-d9bb-4266-aa40-32f8133bdb2c}">
  <ds:schemaRefs/>
</ds:datastoreItem>
</file>

<file path=customXml/itemProps6.xml><?xml version="1.0" encoding="utf-8"?>
<ds:datastoreItem xmlns:ds="http://schemas.openxmlformats.org/officeDocument/2006/customXml" ds:itemID="{4127489c-a88b-408c-93d8-e05d24245ab0}">
  <ds:schemaRefs/>
</ds:datastoreItem>
</file>

<file path=customXml/itemProps7.xml><?xml version="1.0" encoding="utf-8"?>
<ds:datastoreItem xmlns:ds="http://schemas.openxmlformats.org/officeDocument/2006/customXml" ds:itemID="{a7580576-9944-4b8c-8722-965bef3c7cf7}">
  <ds:schemaRefs/>
</ds:datastoreItem>
</file>

<file path=customXml/itemProps8.xml><?xml version="1.0" encoding="utf-8"?>
<ds:datastoreItem xmlns:ds="http://schemas.openxmlformats.org/officeDocument/2006/customXml" ds:itemID="{2d21e449-99ec-4642-a0bd-2cb4aed092ff}">
  <ds:schemaRefs/>
</ds:datastoreItem>
</file>

<file path=customXml/itemProps9.xml><?xml version="1.0" encoding="utf-8"?>
<ds:datastoreItem xmlns:ds="http://schemas.openxmlformats.org/officeDocument/2006/customXml" ds:itemID="{c5bdf0ee-ba53-4e1e-966a-24f084357fe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2024-02-26T17:23:00Z</dcterms:created>
  <dc:creator>Administrator</dc:creator>
  <cp:lastModifiedBy>Administrator</cp:lastModifiedBy>
  <dcterms:modified xsi:type="dcterms:W3CDTF">2024-08-12T13:32:09Z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6DD7AA89D49C49ED88771A2C165E6C61</vt:lpwstr>
  </property>
</Properties>
</file>