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保定市徐水区行政</w:t>
      </w:r>
      <w:r>
        <w:rPr>
          <w:rFonts w:ascii="宋体" w:hAnsi="宋体" w:eastAsia="宋体"/>
          <w:b/>
          <w:sz w:val="44"/>
          <w:szCs w:val="44"/>
        </w:rPr>
        <w:t>审批局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）贯彻执行国家、省、保定市有关行政审批、公共服务</w:t>
      </w:r>
      <w:r>
        <w:rPr>
          <w:rFonts w:hint="eastAsia" w:ascii="仿宋" w:hAnsi="仿宋" w:eastAsia="仿宋"/>
          <w:sz w:val="32"/>
          <w:szCs w:val="32"/>
        </w:rPr>
        <w:t>、</w:t>
      </w:r>
      <w:r>
        <w:rPr>
          <w:rFonts w:ascii="仿宋" w:hAnsi="仿宋" w:eastAsia="仿宋"/>
          <w:sz w:val="32"/>
          <w:szCs w:val="32"/>
        </w:rPr>
        <w:t>中介服务和公共资源交易等方面的方针政策、法律法规。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二）负责投资项目、企业清册、市场服务、公共事务、文教体卫、社会事务、住建交通、城市管理、农林</w:t>
      </w:r>
      <w:r>
        <w:rPr>
          <w:rFonts w:hint="eastAsia" w:ascii="仿宋" w:hAnsi="仿宋" w:eastAsia="仿宋"/>
          <w:sz w:val="32"/>
          <w:szCs w:val="32"/>
          <w:lang w:eastAsia="zh-CN"/>
        </w:rPr>
        <w:t>蓄</w:t>
      </w:r>
      <w:r>
        <w:rPr>
          <w:rFonts w:ascii="仿宋" w:hAnsi="仿宋" w:eastAsia="仿宋"/>
          <w:sz w:val="32"/>
          <w:szCs w:val="32"/>
        </w:rPr>
        <w:t>水、经贸商务等方面行政审批事项的办理及相关行政性收费，并承担相应</w:t>
      </w:r>
      <w:r>
        <w:rPr>
          <w:rFonts w:hint="eastAsia" w:ascii="仿宋" w:hAnsi="仿宋" w:eastAsia="仿宋"/>
          <w:sz w:val="32"/>
          <w:szCs w:val="32"/>
        </w:rPr>
        <w:t>的</w:t>
      </w:r>
      <w:r>
        <w:rPr>
          <w:rFonts w:ascii="仿宋" w:hAnsi="仿宋" w:eastAsia="仿宋"/>
          <w:sz w:val="32"/>
          <w:szCs w:val="32"/>
        </w:rPr>
        <w:t>法律责任。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三）</w:t>
      </w:r>
      <w:r>
        <w:rPr>
          <w:rFonts w:hint="eastAsia" w:ascii="仿宋" w:hAnsi="仿宋" w:eastAsia="仿宋"/>
          <w:sz w:val="32"/>
          <w:szCs w:val="32"/>
        </w:rPr>
        <w:t>负责</w:t>
      </w:r>
      <w:r>
        <w:rPr>
          <w:rFonts w:ascii="仿宋" w:hAnsi="仿宋" w:eastAsia="仿宋"/>
          <w:sz w:val="32"/>
          <w:szCs w:val="32"/>
        </w:rPr>
        <w:t>对划入的行政审批事项进行流程再造、环节优化。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四）负责与监管部门的联系沟通，探索建立审批与监管的有效衔接机制。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五）负责依法组织和实施对</w:t>
      </w:r>
      <w:r>
        <w:rPr>
          <w:rFonts w:hint="eastAsia" w:ascii="仿宋" w:hAnsi="仿宋" w:eastAsia="仿宋"/>
          <w:sz w:val="32"/>
          <w:szCs w:val="32"/>
        </w:rPr>
        <w:t>全区</w:t>
      </w:r>
      <w:r>
        <w:rPr>
          <w:rFonts w:ascii="仿宋" w:hAnsi="仿宋" w:eastAsia="仿宋"/>
          <w:sz w:val="32"/>
          <w:szCs w:val="32"/>
        </w:rPr>
        <w:t>国家机关、事业单位和社会团体委托的货物、工程、服务等项目的政府采购工作。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六）负责行政审批大厅的建设和管理，负责对入驻行政审批大厅的行政审批行为进行规范</w:t>
      </w:r>
      <w:r>
        <w:rPr>
          <w:rFonts w:hint="eastAsia" w:ascii="仿宋" w:hAnsi="仿宋" w:eastAsia="仿宋"/>
          <w:sz w:val="32"/>
          <w:szCs w:val="32"/>
        </w:rPr>
        <w:t>、</w:t>
      </w:r>
      <w:r>
        <w:rPr>
          <w:rFonts w:ascii="仿宋" w:hAnsi="仿宋" w:eastAsia="仿宋"/>
          <w:sz w:val="32"/>
          <w:szCs w:val="32"/>
        </w:rPr>
        <w:t>监督和管理，对行政审批窗口工作人员进行教育、培训、管理和绩效考核。</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七）负责对公共服务、便民服务、公共资源交易和中介服务进行规范和管理。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八）负责推进行政审批、公共服务、中介服务和公共资源交易</w:t>
      </w:r>
      <w:r>
        <w:rPr>
          <w:rFonts w:hint="eastAsia" w:ascii="仿宋" w:hAnsi="仿宋" w:eastAsia="仿宋"/>
          <w:sz w:val="32"/>
          <w:szCs w:val="32"/>
        </w:rPr>
        <w:t>信息</w:t>
      </w:r>
      <w:r>
        <w:rPr>
          <w:rFonts w:ascii="仿宋" w:hAnsi="仿宋" w:eastAsia="仿宋"/>
          <w:sz w:val="32"/>
          <w:szCs w:val="32"/>
        </w:rPr>
        <w:t>化建设。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九）负责对进入行政审批大厅的行政审批、公共资源交易</w:t>
      </w:r>
      <w:r>
        <w:rPr>
          <w:rFonts w:hint="eastAsia" w:ascii="仿宋" w:hAnsi="仿宋" w:eastAsia="仿宋"/>
          <w:sz w:val="32"/>
          <w:szCs w:val="32"/>
        </w:rPr>
        <w:t>活动</w:t>
      </w:r>
      <w:r>
        <w:rPr>
          <w:rFonts w:ascii="仿宋" w:hAnsi="仿宋" w:eastAsia="仿宋"/>
          <w:sz w:val="32"/>
          <w:szCs w:val="32"/>
        </w:rPr>
        <w:t>及其他政务服务等事项的</w:t>
      </w:r>
      <w:r>
        <w:rPr>
          <w:rFonts w:hint="eastAsia" w:ascii="仿宋" w:hAnsi="仿宋" w:eastAsia="仿宋"/>
          <w:sz w:val="32"/>
          <w:szCs w:val="32"/>
        </w:rPr>
        <w:t>投诉</w:t>
      </w:r>
      <w:r>
        <w:rPr>
          <w:rFonts w:ascii="仿宋" w:hAnsi="仿宋" w:eastAsia="仿宋"/>
          <w:sz w:val="32"/>
          <w:szCs w:val="32"/>
        </w:rPr>
        <w:t>举报的承办、转办和督办工作。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十）承办区政府交</w:t>
      </w:r>
      <w:r>
        <w:rPr>
          <w:rFonts w:hint="eastAsia" w:ascii="仿宋" w:hAnsi="仿宋" w:eastAsia="仿宋"/>
          <w:sz w:val="32"/>
          <w:szCs w:val="32"/>
        </w:rPr>
        <w:t>办</w:t>
      </w:r>
      <w:r>
        <w:rPr>
          <w:rFonts w:ascii="仿宋" w:hAnsi="仿宋" w:eastAsia="仿宋"/>
          <w:sz w:val="32"/>
          <w:szCs w:val="32"/>
        </w:rPr>
        <w:t>的其他工作。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3119"/>
        <w:gridCol w:w="1562"/>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6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119" w:type="dxa"/>
            <w:tcBorders>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徐水区行政审批局</w:t>
            </w: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119" w:type="dxa"/>
            <w:tcBorders>
              <w:top w:val="single" w:color="auto" w:sz="4" w:space="0"/>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市徐水区政务</w:t>
            </w:r>
            <w:r>
              <w:rPr>
                <w:rFonts w:hint="eastAsia" w:ascii="仿宋_GB2312" w:hAnsi="仿宋" w:eastAsia="仿宋_GB2312"/>
                <w:bCs/>
                <w:sz w:val="24"/>
                <w:szCs w:val="24"/>
              </w:rPr>
              <w:t>服务</w:t>
            </w:r>
            <w:r>
              <w:rPr>
                <w:rFonts w:ascii="仿宋_GB2312" w:hAnsi="仿宋" w:eastAsia="仿宋_GB2312"/>
                <w:bCs/>
                <w:sz w:val="24"/>
                <w:szCs w:val="24"/>
              </w:rPr>
              <w:t>中心</w:t>
            </w: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119"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119"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119" w:type="dxa"/>
            <w:tcBorders>
              <w:top w:val="single" w:color="auto" w:sz="4" w:space="0"/>
            </w:tcBorders>
            <w:vAlign w:val="center"/>
          </w:tcPr>
          <w:p>
            <w:pPr>
              <w:jc w:val="center"/>
              <w:rPr>
                <w:rFonts w:ascii="仿宋_GB2312" w:hAnsi="仿宋" w:eastAsia="仿宋_GB2312"/>
                <w:bCs/>
                <w:sz w:val="24"/>
                <w:szCs w:val="24"/>
              </w:rPr>
            </w:pP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财政性资金零补助</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2019年预算收入为252.26万元,其中：一般公共预算收入252.26万元，基金预算收入0万元，财政专户收入0万元，其他来源收入0万元。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2019年部门支出预算：252.26万元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4.24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其中：人员经费65万元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日常公用经费29.24万元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158.02万元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其中：本级支出158.02万元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52.26</w:t>
      </w:r>
      <w:r>
        <w:rPr>
          <w:rFonts w:hint="eastAsia" w:ascii="仿宋" w:hAnsi="仿宋" w:eastAsia="仿宋"/>
          <w:sz w:val="32"/>
          <w:szCs w:val="32"/>
        </w:rPr>
        <w:t>万元，较上年增加</w:t>
      </w:r>
      <w:r>
        <w:rPr>
          <w:rFonts w:ascii="仿宋" w:hAnsi="仿宋" w:eastAsia="仿宋"/>
          <w:sz w:val="32"/>
          <w:szCs w:val="32"/>
        </w:rPr>
        <w:t>252.26万元。其中:基本支出增加94.24万元</w:t>
      </w:r>
      <w:r>
        <w:rPr>
          <w:rFonts w:hint="eastAsia" w:ascii="仿宋" w:hAnsi="仿宋" w:eastAsia="仿宋"/>
          <w:sz w:val="32"/>
          <w:szCs w:val="32"/>
        </w:rPr>
        <w:t>,</w:t>
      </w:r>
      <w:r>
        <w:rPr>
          <w:rFonts w:ascii="仿宋" w:hAnsi="仿宋" w:eastAsia="仿宋"/>
          <w:sz w:val="32"/>
          <w:szCs w:val="32"/>
        </w:rPr>
        <w:t>项目支出增加158.02万元</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我</w:t>
      </w:r>
      <w:r>
        <w:rPr>
          <w:rFonts w:ascii="仿宋" w:hAnsi="仿宋" w:eastAsia="仿宋"/>
          <w:sz w:val="32"/>
          <w:szCs w:val="32"/>
        </w:rPr>
        <w:t>单位为新</w:t>
      </w:r>
      <w:r>
        <w:rPr>
          <w:rFonts w:hint="eastAsia" w:ascii="仿宋" w:hAnsi="仿宋" w:eastAsia="仿宋"/>
          <w:sz w:val="32"/>
          <w:szCs w:val="32"/>
        </w:rPr>
        <w:t>成</w:t>
      </w:r>
      <w:r>
        <w:rPr>
          <w:rFonts w:ascii="仿宋" w:hAnsi="仿宋" w:eastAsia="仿宋"/>
          <w:sz w:val="32"/>
          <w:szCs w:val="32"/>
        </w:rPr>
        <w:t>立单位，</w:t>
      </w:r>
      <w:r>
        <w:rPr>
          <w:rFonts w:hint="eastAsia" w:ascii="仿宋" w:hAnsi="仿宋" w:eastAsia="仿宋"/>
          <w:sz w:val="32"/>
          <w:szCs w:val="32"/>
        </w:rPr>
        <w:t>2018年</w:t>
      </w:r>
      <w:r>
        <w:rPr>
          <w:rFonts w:ascii="仿宋" w:hAnsi="仿宋" w:eastAsia="仿宋"/>
          <w:sz w:val="32"/>
          <w:szCs w:val="32"/>
        </w:rPr>
        <w:t>无年初预算，</w:t>
      </w:r>
      <w:r>
        <w:rPr>
          <w:rFonts w:hint="eastAsia" w:ascii="仿宋" w:hAnsi="仿宋" w:eastAsia="仿宋"/>
          <w:sz w:val="32"/>
          <w:szCs w:val="32"/>
        </w:rPr>
        <w:t>从2019年</w:t>
      </w:r>
      <w:r>
        <w:rPr>
          <w:rFonts w:ascii="仿宋" w:hAnsi="仿宋" w:eastAsia="仿宋"/>
          <w:sz w:val="32"/>
          <w:szCs w:val="32"/>
        </w:rPr>
        <w:t>开始编</w:t>
      </w:r>
      <w:r>
        <w:rPr>
          <w:rFonts w:hint="eastAsia" w:ascii="仿宋" w:hAnsi="仿宋" w:eastAsia="仿宋"/>
          <w:sz w:val="32"/>
          <w:szCs w:val="32"/>
        </w:rPr>
        <w:t>制</w:t>
      </w:r>
      <w:r>
        <w:rPr>
          <w:rFonts w:ascii="仿宋" w:hAnsi="仿宋" w:eastAsia="仿宋"/>
          <w:sz w:val="32"/>
          <w:szCs w:val="32"/>
        </w:rPr>
        <w:t>年初预算。</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2019年我部门机关运行经费安排28.4万元，其中办公费16.17万元，邮电费3.12万元，工会经费、福利费6.47万元，公务用车运行维护费0万元</w:t>
      </w:r>
      <w:r>
        <w:rPr>
          <w:rFonts w:hint="eastAsia" w:ascii="仿宋" w:hAnsi="仿宋" w:eastAsia="仿宋"/>
          <w:sz w:val="32"/>
          <w:szCs w:val="32"/>
        </w:rPr>
        <w:t>，</w:t>
      </w:r>
      <w:r>
        <w:rPr>
          <w:rFonts w:ascii="仿宋" w:hAnsi="仿宋" w:eastAsia="仿宋"/>
          <w:sz w:val="32"/>
          <w:szCs w:val="32"/>
        </w:rPr>
        <w:t>其他支出2.64万元。</w:t>
      </w:r>
      <w:r>
        <w:rPr>
          <w:rFonts w:hint="eastAsia" w:ascii="仿宋" w:hAnsi="仿宋" w:eastAsia="仿宋"/>
          <w:sz w:val="32"/>
          <w:szCs w:val="32"/>
        </w:rPr>
        <w:t>（按照本部门</w:t>
      </w:r>
      <w:r>
        <w:rPr>
          <w:rFonts w:ascii="仿宋" w:hAnsi="仿宋" w:eastAsia="仿宋"/>
          <w:sz w:val="32"/>
          <w:szCs w:val="32"/>
        </w:rPr>
        <w:t>机关运行经费</w:t>
      </w:r>
      <w:r>
        <w:rPr>
          <w:rFonts w:hint="eastAsia" w:ascii="仿宋" w:hAnsi="仿宋" w:eastAsia="仿宋"/>
          <w:sz w:val="32"/>
          <w:szCs w:val="32"/>
        </w:rPr>
        <w:t>明细的实际</w:t>
      </w:r>
      <w:r>
        <w:rPr>
          <w:rFonts w:ascii="仿宋" w:hAnsi="仿宋" w:eastAsia="仿宋"/>
          <w:sz w:val="32"/>
          <w:szCs w:val="32"/>
        </w:rPr>
        <w:t>情况填报</w:t>
      </w:r>
      <w:r>
        <w:rPr>
          <w:rFonts w:hint="eastAsia"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8522"/>
      </w:tblGrid>
      <w:tr>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w:t>
                  </w:r>
                  <w:r>
                    <w:rPr>
                      <w:rFonts w:ascii="仿宋_GB2312" w:hAnsi="宋体" w:eastAsia="仿宋_GB2312" w:cs="宋体"/>
                      <w:kern w:val="0"/>
                      <w:sz w:val="24"/>
                      <w:szCs w:val="24"/>
                    </w:rPr>
                    <w:t>单位为新成立单位，还</w:t>
                  </w:r>
                  <w:r>
                    <w:rPr>
                      <w:rFonts w:hint="eastAsia" w:ascii="仿宋_GB2312" w:hAnsi="宋体" w:eastAsia="仿宋_GB2312" w:cs="宋体"/>
                      <w:kern w:val="0"/>
                      <w:sz w:val="24"/>
                      <w:szCs w:val="24"/>
                    </w:rPr>
                    <w:t>未</w:t>
                  </w:r>
                  <w:r>
                    <w:rPr>
                      <w:rFonts w:ascii="仿宋_GB2312" w:hAnsi="宋体" w:eastAsia="仿宋_GB2312" w:cs="宋体"/>
                      <w:kern w:val="0"/>
                      <w:sz w:val="24"/>
                      <w:szCs w:val="24"/>
                    </w:rPr>
                    <w:t>核定公务用车。</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我单位</w:t>
                  </w:r>
                  <w:r>
                    <w:rPr>
                      <w:rFonts w:ascii="仿宋_GB2312" w:hAnsi="宋体" w:eastAsia="仿宋_GB2312" w:cs="宋体"/>
                      <w:kern w:val="0"/>
                      <w:sz w:val="24"/>
                      <w:szCs w:val="24"/>
                    </w:rPr>
                    <w:t>为新成立单位</w:t>
                  </w:r>
                  <w:r>
                    <w:rPr>
                      <w:rFonts w:hint="eastAsia" w:ascii="仿宋_GB2312" w:hAnsi="宋体" w:eastAsia="仿宋_GB2312" w:cs="宋体"/>
                      <w:kern w:val="0"/>
                      <w:sz w:val="24"/>
                      <w:szCs w:val="24"/>
                    </w:rPr>
                    <w:t>，2019年</w:t>
                  </w:r>
                  <w:r>
                    <w:rPr>
                      <w:rFonts w:ascii="仿宋_GB2312" w:hAnsi="宋体" w:eastAsia="仿宋_GB2312" w:cs="宋体"/>
                      <w:kern w:val="0"/>
                      <w:sz w:val="24"/>
                      <w:szCs w:val="24"/>
                    </w:rPr>
                    <w:t>开始编制年初预算。</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w:t>
                  </w:r>
                  <w:bookmarkStart w:id="1" w:name="_GoBack"/>
                  <w:bookmarkEnd w:id="1"/>
                  <w:r>
                    <w:rPr>
                      <w:rFonts w:hint="eastAsia" w:ascii="仿宋_GB2312" w:hAnsi="宋体" w:eastAsia="仿宋_GB2312" w:cs="宋体"/>
                      <w:kern w:val="0"/>
                      <w:sz w:val="24"/>
                      <w:szCs w:val="24"/>
                    </w:rPr>
                    <w:t>，厉行节约，杜绝浪费。由于我</w:t>
                  </w:r>
                  <w:r>
                    <w:rPr>
                      <w:rFonts w:ascii="仿宋_GB2312" w:hAnsi="宋体" w:eastAsia="仿宋_GB2312" w:cs="宋体"/>
                      <w:kern w:val="0"/>
                      <w:sz w:val="24"/>
                      <w:szCs w:val="24"/>
                    </w:rPr>
                    <w:t>单位是新成立单位，从</w:t>
                  </w:r>
                  <w:r>
                    <w:rPr>
                      <w:rFonts w:hint="eastAsia" w:ascii="仿宋_GB2312" w:hAnsi="宋体" w:eastAsia="仿宋_GB2312" w:cs="宋体"/>
                      <w:kern w:val="0"/>
                      <w:sz w:val="24"/>
                      <w:szCs w:val="24"/>
                    </w:rPr>
                    <w:t>2019年</w:t>
                  </w:r>
                  <w:r>
                    <w:rPr>
                      <w:rFonts w:ascii="仿宋_GB2312" w:hAnsi="宋体" w:eastAsia="仿宋_GB2312" w:cs="宋体"/>
                      <w:kern w:val="0"/>
                      <w:sz w:val="24"/>
                      <w:szCs w:val="24"/>
                    </w:rPr>
                    <w:t>开始编制年初预算，且未核定公</w:t>
                  </w:r>
                  <w:r>
                    <w:rPr>
                      <w:rFonts w:hint="eastAsia" w:ascii="仿宋_GB2312" w:hAnsi="宋体" w:eastAsia="仿宋_GB2312" w:cs="宋体"/>
                      <w:kern w:val="0"/>
                      <w:sz w:val="24"/>
                      <w:szCs w:val="24"/>
                    </w:rPr>
                    <w:t>务</w:t>
                  </w:r>
                  <w:r>
                    <w:rPr>
                      <w:rFonts w:ascii="仿宋_GB2312" w:hAnsi="宋体" w:eastAsia="仿宋_GB2312" w:cs="宋体"/>
                      <w:kern w:val="0"/>
                      <w:sz w:val="24"/>
                      <w:szCs w:val="24"/>
                    </w:rPr>
                    <w:t>用车，只新增公务接待费</w:t>
                  </w:r>
                  <w:r>
                    <w:rPr>
                      <w:rFonts w:hint="eastAsia" w:ascii="仿宋_GB2312" w:hAnsi="宋体" w:eastAsia="仿宋_GB2312" w:cs="宋体"/>
                      <w:kern w:val="0"/>
                      <w:sz w:val="24"/>
                      <w:szCs w:val="24"/>
                    </w:rPr>
                    <w:t>1万</w:t>
                  </w:r>
                  <w:r>
                    <w:rPr>
                      <w:rFonts w:ascii="仿宋_GB2312" w:hAnsi="宋体" w:eastAsia="仿宋_GB2312" w:cs="宋体"/>
                      <w:kern w:val="0"/>
                      <w:sz w:val="24"/>
                      <w:szCs w:val="24"/>
                    </w:rPr>
                    <w:t>元。</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hint="eastAsia"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中心工作，根据区委、区政府重要部署，依法履行相关行政许可职责，集中行使行政审批权，统一使用行政审批专用章，实现一个机构、一枚印章管审批。办理投资项目、企业注册等方面的行政审批事项及相关行政性收费；对划入的行政审批事项进行流程再造、环节优化，与监管部门联系沟通，探索建设审批与监管的有效衔接机制；依法组织和实施对全区国家机关、事业单位和社会团体委托的货物、工程、服务等项目的政府采购工作；认真做好本辖区内行政审批大厅的建设和管理工作，对入驻行政审批大厅的行政审批行为进行规范、监督和管理；对公共服务、便民服务、公共资源交易和中介服务进行规范和管理；推进行政审批、服务等信息化建设，承办、转办和督办各类投诉举报。贯彻执行国家、省、保定市有关行政审批、公共服务、中介服务和公共资源交易等方面的方针政策、法律法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spacing w:line="360" w:lineRule="auto"/>
        <w:ind w:firstLine="640" w:firstLineChars="200"/>
        <w:rPr>
          <w:rFonts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方正小标宋_GBK" w:hAnsi="等线" w:eastAsia="方正小标宋_GBK" w:cs="Times New Roman"/>
          <w:color w:val="FFFFFF"/>
          <w:sz w:val="32"/>
        </w:rPr>
      </w:pPr>
      <w:bookmarkStart w:id="0" w:name="_Toc2355611"/>
      <w:r>
        <w:rPr>
          <w:rFonts w:hint="eastAsia" w:ascii="方正小标宋_GBK" w:hAnsi="等线" w:eastAsia="方正小标宋_GBK" w:cs="Times New Roman"/>
          <w:sz w:val="32"/>
        </w:rPr>
        <w:t>部门职责</w:t>
      </w:r>
      <w:r>
        <w:rPr>
          <w:rFonts w:ascii="方正小标宋_GBK" w:hAnsi="等线" w:eastAsia="方正小标宋_GBK" w:cs="Times New Roman"/>
          <w:sz w:val="32"/>
        </w:rPr>
        <w:t>-工作活动绩效目标</w:t>
      </w:r>
      <w:r>
        <w:rPr>
          <w:rFonts w:ascii="方正小标宋_GBK" w:hAnsi="等线" w:eastAsia="方正小标宋_GBK" w:cs="Times New Roman"/>
          <w:color w:val="FFFFFF"/>
          <w:sz w:val="32"/>
          <w:vertAlign w:val="superscript"/>
        </w:rPr>
        <w:footnoteReference w:id="0" w:customMarkFollows="1"/>
        <w:sym w:font="Symbol" w:char="F020"/>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202保定市徐水区行政审批局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职责活动</w:t>
            </w:r>
          </w:p>
        </w:tc>
        <w:tc>
          <w:tcPr>
            <w:tcW w:w="1276"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年度预算数</w:t>
            </w:r>
          </w:p>
        </w:tc>
        <w:tc>
          <w:tcPr>
            <w:tcW w:w="2976"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内容描述</w:t>
            </w:r>
          </w:p>
        </w:tc>
        <w:tc>
          <w:tcPr>
            <w:tcW w:w="2976"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141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w:t>
            </w:r>
          </w:p>
        </w:tc>
        <w:tc>
          <w:tcPr>
            <w:tcW w:w="2948" w:type="dxa"/>
            <w:gridSpan w:val="4"/>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等线" w:hAnsi="等线" w:eastAsia="等线" w:cs="Times New Roman"/>
              </w:rPr>
            </w:pPr>
          </w:p>
        </w:tc>
        <w:tc>
          <w:tcPr>
            <w:tcW w:w="1276" w:type="dxa"/>
            <w:vMerge w:val="continue"/>
            <w:shd w:val="clear" w:color="auto" w:fill="auto"/>
            <w:vAlign w:val="center"/>
          </w:tcPr>
          <w:p>
            <w:pPr>
              <w:spacing w:line="300" w:lineRule="exact"/>
              <w:jc w:val="left"/>
              <w:outlineLvl w:val="0"/>
              <w:rPr>
                <w:rFonts w:ascii="等线" w:hAnsi="等线" w:eastAsia="等线" w:cs="Times New Roman"/>
              </w:rPr>
            </w:pPr>
          </w:p>
        </w:tc>
        <w:tc>
          <w:tcPr>
            <w:tcW w:w="2976" w:type="dxa"/>
            <w:vMerge w:val="continue"/>
            <w:shd w:val="clear" w:color="auto" w:fill="auto"/>
            <w:vAlign w:val="center"/>
          </w:tcPr>
          <w:p>
            <w:pPr>
              <w:spacing w:line="300" w:lineRule="exact"/>
              <w:jc w:val="left"/>
              <w:outlineLvl w:val="0"/>
              <w:rPr>
                <w:rFonts w:ascii="等线" w:hAnsi="等线" w:eastAsia="等线" w:cs="Times New Roman"/>
              </w:rPr>
            </w:pPr>
          </w:p>
        </w:tc>
        <w:tc>
          <w:tcPr>
            <w:tcW w:w="2976" w:type="dxa"/>
            <w:vMerge w:val="continue"/>
            <w:shd w:val="clear" w:color="auto" w:fill="auto"/>
            <w:vAlign w:val="center"/>
          </w:tcPr>
          <w:p>
            <w:pPr>
              <w:spacing w:line="300" w:lineRule="exact"/>
              <w:jc w:val="left"/>
              <w:outlineLvl w:val="0"/>
              <w:rPr>
                <w:rFonts w:ascii="等线" w:hAnsi="等线" w:eastAsia="等线" w:cs="Times New Roman"/>
              </w:rPr>
            </w:pPr>
          </w:p>
        </w:tc>
        <w:tc>
          <w:tcPr>
            <w:tcW w:w="1417" w:type="dxa"/>
            <w:vMerge w:val="continue"/>
            <w:shd w:val="clear" w:color="auto" w:fill="auto"/>
            <w:vAlign w:val="center"/>
          </w:tcPr>
          <w:p>
            <w:pPr>
              <w:spacing w:line="300" w:lineRule="exact"/>
              <w:jc w:val="left"/>
              <w:outlineLvl w:val="0"/>
              <w:rPr>
                <w:rFonts w:ascii="等线" w:hAnsi="等线" w:eastAsia="等线" w:cs="Times New Roman"/>
              </w:rPr>
            </w:pPr>
          </w:p>
        </w:tc>
        <w:tc>
          <w:tcPr>
            <w:tcW w:w="73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优</w:t>
            </w:r>
          </w:p>
        </w:tc>
        <w:tc>
          <w:tcPr>
            <w:tcW w:w="73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良</w:t>
            </w:r>
          </w:p>
        </w:tc>
        <w:tc>
          <w:tcPr>
            <w:tcW w:w="73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中</w:t>
            </w:r>
          </w:p>
        </w:tc>
        <w:tc>
          <w:tcPr>
            <w:tcW w:w="73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一、一般行政管理事务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38.63</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拟订全区行政审批管理办法、措施和制度，加强基层队伍建设,开展教育培训及法律服务工作，按照有关要求,做好办公设施的维修、维护工作；协调各股室工作，负责日常事务管理等机关后勤保障等其他工作。</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为了深化行政审批制度改革，创新行政审批管理体制，加快政府转变职能，从源头上预防和遏制腐败的发生，践行党全心全意为人民服务的宗旨。负责日常事务管理、后勤管理以及上级部门交办的其他事项</w:t>
            </w:r>
          </w:p>
        </w:tc>
        <w:tc>
          <w:tcPr>
            <w:tcW w:w="1417" w:type="dxa"/>
            <w:shd w:val="clear" w:color="auto" w:fill="auto"/>
            <w:vAlign w:val="center"/>
          </w:tcPr>
          <w:p>
            <w:pPr>
              <w:spacing w:line="300" w:lineRule="exact"/>
              <w:jc w:val="left"/>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1、综合事务管理</w:t>
            </w:r>
          </w:p>
        </w:tc>
        <w:tc>
          <w:tcPr>
            <w:tcW w:w="12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38.63</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规范中心公务接待管理，保证行政审批局、政务服务中心、公共资源交易中心正常工作顺利开展，软硬件维护及改造，进行信息化系统、服务监管平台建设，负责党务、人事、工青妇等工作，以及其他综合事务管理工作。</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实现全年党务、人事目标</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圆满完成工作</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二、行政审批政务管理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98.10</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贯彻执行国家、省、保定市有关行政审批、公共服务、中介服务和公共资源交易等方面的方针政策、法律法规，对划入的行政审批事项进行流程再造、环节优化，探索审批与监管的有效衔接。同时负责经济审批、建设审批和社会事务审批工作。</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加强行政审批工作的能力，完成各项工作任务。</w:t>
            </w:r>
          </w:p>
        </w:tc>
        <w:tc>
          <w:tcPr>
            <w:tcW w:w="1417" w:type="dxa"/>
            <w:shd w:val="clear" w:color="auto" w:fill="auto"/>
            <w:vAlign w:val="center"/>
          </w:tcPr>
          <w:p>
            <w:pPr>
              <w:spacing w:line="300" w:lineRule="exact"/>
              <w:jc w:val="left"/>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1、行政审批业务管理</w:t>
            </w:r>
          </w:p>
        </w:tc>
        <w:tc>
          <w:tcPr>
            <w:tcW w:w="12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98.10</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规范审批流程、制定办事指南和推动实施；牵头负责现场勘查、技术论证和社会听证等工作，组织相关工作人员，到项目现场，就申办人提交的草料的真实性、合法新进行审核，委托有资质的中介，对申请人提交的节能报告，审核类、核准类等相关材料进行论证和社会听证；负责纪律监察和行政监察工作；对公共资源交易目录内的项目进场情况进行监督检查、交易活动实施监督、受理对公共资源交易的投诉并会同有关部门调查处理；负责公共资源交易中心规范文件的合法性审查和行政监察工作。同时负责经济审批、建设审批和社会事务审批工作。</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优化审批流程，压缩办理实现，积极推进多证合一，降低准入门槛，助推全区经济发展</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保证进场交易透明度</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≥85%</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踏勘率和专家评审率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减少违规发生率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对交易中心相关工作人员的投诉率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进场交易项目手续查验覆盖率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hint="cs" w:ascii="方正书宋_GBK" w:hAnsi="等线"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减少审批环节，推进办理效率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hint="cs" w:ascii="方正书宋_GBK" w:hAnsi="等线" w:eastAsia="方正书宋_GBK" w:cs="Times New Roman"/>
              </w:rPr>
            </w:pPr>
            <w:r>
              <w:rPr>
                <w:rFonts w:ascii="方正书宋_GBK" w:hAnsi="等线"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三、公共资源交易中心业务管理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21.29</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负责推行便民服务事项的统一办理、联合办理、集中办理，便民服务项目按照“一站式、一条龙、一个窗口”的方式运作；负责为公共交易活动提供场地、信息、政策、咨询等具体服务，发布交易信息、中标公告，安排开评标时间、场所；负责公共资源交易网络平台的建设、运行与管理，实时电子监控服务、信息娄据的统计、分析和管理。</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着力建立健全惩治和预防腐败体系；最大限度地发挥市场在资源配置中的基础性作用，促进社会主义市场经济体制不断完善</w:t>
            </w:r>
          </w:p>
        </w:tc>
        <w:tc>
          <w:tcPr>
            <w:tcW w:w="1417" w:type="dxa"/>
            <w:shd w:val="clear" w:color="auto" w:fill="auto"/>
            <w:vAlign w:val="center"/>
          </w:tcPr>
          <w:p>
            <w:pPr>
              <w:spacing w:line="300" w:lineRule="exact"/>
              <w:jc w:val="left"/>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1、落实省、市公共资源交易市场建设有关政策</w:t>
            </w:r>
          </w:p>
        </w:tc>
        <w:tc>
          <w:tcPr>
            <w:tcW w:w="12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21.29</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按照省、市政策要求，积极开展公共资源交易市场建设各项工作</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公共资源交易市场建设进一步完善，运行规范、有序</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交易政策贯彻执行覆盖率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2、根据省、市有关制度，制定公共资源交易规则、制度</w:t>
            </w:r>
          </w:p>
        </w:tc>
        <w:tc>
          <w:tcPr>
            <w:tcW w:w="1276" w:type="dxa"/>
            <w:vMerge w:val="restart"/>
            <w:shd w:val="clear" w:color="auto" w:fill="auto"/>
            <w:vAlign w:val="center"/>
          </w:tcPr>
          <w:p>
            <w:pPr>
              <w:spacing w:line="300" w:lineRule="exact"/>
              <w:jc w:val="left"/>
              <w:rPr>
                <w:rFonts w:ascii="方正书宋_GBK" w:hAnsi="等线" w:eastAsia="方正书宋_GBK" w:cs="Times New Roman"/>
              </w:rPr>
            </w:pP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对照《河北省公共资源交易市场监督管理办法》、《河北省公共资源交易市场运行规则》和《河北省公共资源交易目录》，会同有关部门制订实施适合各类交易项目的管理制度、行为规范和收费标准</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积极稳妥推进公共资源项目进场交易，加强对各类项目交易过程中的管理，确保各类项目在交易活动过程中公开、公平、公正透明</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拟定全区公共资源交易平台监督管理工作规范性文件数量</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协同制定实施适合各类交易项目的管理制度完成率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101%</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规范性文件的合法性审查合格率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101%</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四、网络平台建设业务管理</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推进行政审批审批、公开服务、中介服务和公共资源交易信息化建设</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务服务中心、乡镇便民服务站、村便民服务室，对群众办理的审批服务事项实行全程代理，凡乡、村两级不能办结，需三级代理的事项，统一在全程代办中心受理。充分利用网络平台制订项目推介方案，对交易项目进行采集、分类、整理，并提供咨询服务，承担进场交易项目报名、相关资料的查验，安排进场项目交易的时间、场所</w:t>
            </w:r>
          </w:p>
        </w:tc>
        <w:tc>
          <w:tcPr>
            <w:tcW w:w="1417" w:type="dxa"/>
            <w:shd w:val="clear" w:color="auto" w:fill="auto"/>
            <w:vAlign w:val="center"/>
          </w:tcPr>
          <w:p>
            <w:pPr>
              <w:spacing w:line="300" w:lineRule="exact"/>
              <w:jc w:val="left"/>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c>
          <w:tcPr>
            <w:tcW w:w="737" w:type="dxa"/>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1、政务服务平台建设</w:t>
            </w:r>
          </w:p>
        </w:tc>
        <w:tc>
          <w:tcPr>
            <w:tcW w:w="1276" w:type="dxa"/>
            <w:vMerge w:val="restart"/>
            <w:shd w:val="clear" w:color="auto" w:fill="auto"/>
            <w:vAlign w:val="center"/>
          </w:tcPr>
          <w:p>
            <w:pPr>
              <w:spacing w:line="300" w:lineRule="exact"/>
              <w:jc w:val="left"/>
              <w:rPr>
                <w:rFonts w:ascii="方正书宋_GBK" w:hAnsi="等线" w:eastAsia="方正书宋_GBK" w:cs="Times New Roman"/>
              </w:rPr>
            </w:pP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负责网上办事大厅和实体大厅政务服务平台的建设和管理工作；负责全县县、乡、村三级政务服务体系的信息化建设、网上许可、行政许可中介服务和信息公开工作，建立健全电子监察系统及其管理工作。</w:t>
            </w:r>
          </w:p>
        </w:tc>
        <w:tc>
          <w:tcPr>
            <w:tcW w:w="2976" w:type="dxa"/>
            <w:vMerge w:val="restart"/>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建立、健全政务服务体系的建设。</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办结率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hAnsi="等线" w:eastAsia="方正书宋_GBK" w:cs="Times New Roman"/>
                <w:b/>
              </w:rPr>
            </w:pPr>
          </w:p>
        </w:tc>
        <w:tc>
          <w:tcPr>
            <w:tcW w:w="12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2976" w:type="dxa"/>
            <w:vMerge w:val="continue"/>
            <w:shd w:val="clear" w:color="auto" w:fill="auto"/>
            <w:vAlign w:val="center"/>
          </w:tcPr>
          <w:p>
            <w:pPr>
              <w:spacing w:line="300" w:lineRule="exact"/>
              <w:jc w:val="left"/>
              <w:rPr>
                <w:rFonts w:ascii="方正书宋_GBK" w:hAnsi="等线" w:eastAsia="方正书宋_GBK" w:cs="Times New Roman"/>
              </w:rPr>
            </w:pP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　　2、公共资源交易市场事务性工作管理</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贯彻实施有关法律法规政策，为市场主体提供法规咨询；查验进场交易项目手续，维护交易活动秩序；对交易中心信息网络技术平台进行维护，提供完善的网络竞价系统；做好交易项目的专家评审及公共资源交易信用评价体系建设等有关工作</w:t>
            </w:r>
          </w:p>
        </w:tc>
        <w:tc>
          <w:tcPr>
            <w:tcW w:w="29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充分利用网络平台制订项目推介方案，对交易项目进行采集、分类、整理，并提供咨询服务，承担进场交易项目报名、相关资料的查验，安排进场项目交易的时间、场所</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提供法规咨询次数，保证进场交易透明度，进场交易项目手续查验覆盖率</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c>
          <w:tcPr>
            <w:tcW w:w="737"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p>
        </w:tc>
      </w:tr>
    </w:tbl>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sectPr>
          <w:pgSz w:w="16838" w:h="11906" w:orient="landscape"/>
          <w:pgMar w:top="1800" w:right="1440" w:bottom="1800" w:left="1440"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2019年，我部门安排政府采购预算0.9万元，具体内容见下</w:t>
      </w:r>
      <w:r>
        <w:rPr>
          <w:rFonts w:hint="eastAsia" w:ascii="仿宋" w:hAnsi="仿宋" w:eastAsia="仿宋"/>
          <w:sz w:val="32"/>
          <w:szCs w:val="32"/>
        </w:rPr>
        <w:t>页</w:t>
      </w:r>
      <w:r>
        <w:rPr>
          <w:rFonts w:ascii="仿宋" w:hAnsi="仿宋" w:eastAsia="仿宋"/>
          <w:sz w:val="32"/>
          <w:szCs w:val="32"/>
        </w:rPr>
        <w:t>表</w:t>
      </w:r>
      <w:r>
        <w:rPr>
          <w:rFonts w:hint="eastAsia" w:ascii="仿宋" w:hAnsi="仿宋" w:eastAsia="仿宋"/>
          <w:sz w:val="32"/>
          <w:szCs w:val="32"/>
        </w:rPr>
        <w:t>格</w:t>
      </w:r>
      <w:r>
        <w:rPr>
          <w:rFonts w:ascii="仿宋" w:hAnsi="仿宋" w:eastAsia="仿宋"/>
          <w:sz w:val="32"/>
          <w:szCs w:val="32"/>
        </w:rPr>
        <w:t>：</w:t>
      </w:r>
    </w:p>
    <w:p>
      <w:pPr>
        <w:spacing w:line="700" w:lineRule="exact"/>
        <w:jc w:val="left"/>
        <w:rPr>
          <w:rFonts w:ascii="方正小标宋_GBK" w:eastAsia="方正小标宋_GBK"/>
          <w:sz w:val="24"/>
        </w:rPr>
      </w:pPr>
    </w:p>
    <w:p>
      <w:pPr>
        <w:spacing w:line="700" w:lineRule="exact"/>
        <w:jc w:val="left"/>
        <w:rPr>
          <w:rFonts w:hint="eastAsia"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hint="eastAsia"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hint="eastAsia" w:ascii="方正书宋_GBK" w:eastAsia="方正书宋_GBK"/>
              </w:rPr>
            </w:pPr>
            <w:r>
              <w:rPr>
                <w:rFonts w:hint="eastAsia" w:ascii="方正书宋_GBK" w:eastAsia="方正书宋_GBK"/>
              </w:rPr>
              <w:t>公共</w:t>
            </w:r>
            <w:r>
              <w:rPr>
                <w:rFonts w:ascii="方正书宋_GBK" w:eastAsia="方正书宋_GBK"/>
              </w:rPr>
              <w:t>资源交易中</w:t>
            </w:r>
            <w:r>
              <w:rPr>
                <w:rFonts w:hint="eastAsia" w:ascii="方正书宋_GBK" w:eastAsia="方正书宋_GBK"/>
              </w:rPr>
              <w:t>心</w:t>
            </w:r>
            <w:r>
              <w:rPr>
                <w:rFonts w:ascii="方正书宋_GBK" w:eastAsia="方正书宋_GBK"/>
              </w:rPr>
              <w:t>工作经费</w:t>
            </w:r>
          </w:p>
        </w:tc>
        <w:tc>
          <w:tcPr>
            <w:tcW w:w="764" w:type="dxa"/>
            <w:vAlign w:val="center"/>
          </w:tcPr>
          <w:p>
            <w:pPr>
              <w:spacing w:line="700" w:lineRule="exact"/>
              <w:jc w:val="center"/>
              <w:rPr>
                <w:rFonts w:ascii="方正书宋_GBK" w:eastAsia="方正书宋_GBK"/>
              </w:rPr>
            </w:pPr>
            <w:r>
              <w:rPr>
                <w:rFonts w:hint="eastAsia" w:ascii="方正书宋_GBK" w:eastAsia="方正书宋_GBK"/>
              </w:rPr>
              <w:t>0.9</w:t>
            </w:r>
          </w:p>
        </w:tc>
        <w:tc>
          <w:tcPr>
            <w:tcW w:w="1134" w:type="dxa"/>
            <w:vAlign w:val="center"/>
          </w:tcPr>
          <w:p>
            <w:pPr>
              <w:spacing w:line="700" w:lineRule="exact"/>
              <w:jc w:val="center"/>
              <w:rPr>
                <w:rFonts w:hint="eastAsia" w:ascii="方正书宋_GBK" w:eastAsia="方正书宋_GBK"/>
              </w:rPr>
            </w:pPr>
            <w:r>
              <w:rPr>
                <w:rFonts w:hint="eastAsia" w:ascii="方正书宋_GBK" w:eastAsia="方正书宋_GBK"/>
              </w:rPr>
              <w:t>通用</w:t>
            </w:r>
            <w:r>
              <w:rPr>
                <w:rFonts w:ascii="方正书宋_GBK" w:eastAsia="方正书宋_GBK"/>
              </w:rPr>
              <w:t>设备</w:t>
            </w:r>
          </w:p>
        </w:tc>
        <w:tc>
          <w:tcPr>
            <w:tcW w:w="1134" w:type="dxa"/>
            <w:vAlign w:val="center"/>
          </w:tcPr>
          <w:p>
            <w:pPr>
              <w:spacing w:line="700" w:lineRule="exact"/>
              <w:jc w:val="center"/>
              <w:rPr>
                <w:rFonts w:ascii="方正书宋_GBK" w:eastAsia="方正书宋_GBK"/>
              </w:rPr>
            </w:pPr>
          </w:p>
        </w:tc>
        <w:tc>
          <w:tcPr>
            <w:tcW w:w="992" w:type="dxa"/>
            <w:vAlign w:val="center"/>
          </w:tcPr>
          <w:p>
            <w:pPr>
              <w:spacing w:line="700" w:lineRule="exact"/>
              <w:ind w:firstLine="210" w:firstLineChars="100"/>
              <w:jc w:val="center"/>
              <w:rPr>
                <w:rFonts w:hint="eastAsia" w:ascii="方正书宋_GBK" w:eastAsia="方正书宋_GBK"/>
              </w:rPr>
            </w:pPr>
          </w:p>
        </w:tc>
        <w:tc>
          <w:tcPr>
            <w:tcW w:w="851" w:type="dxa"/>
            <w:vAlign w:val="center"/>
          </w:tcPr>
          <w:p>
            <w:pPr>
              <w:spacing w:line="700" w:lineRule="exact"/>
              <w:ind w:right="210"/>
              <w:jc w:val="center"/>
              <w:rPr>
                <w:rFonts w:ascii="方正书宋_GBK" w:eastAsia="方正书宋_GBK"/>
              </w:rPr>
            </w:pPr>
            <w:r>
              <w:rPr>
                <w:rFonts w:hint="eastAsia" w:ascii="方正书宋_GBK" w:eastAsia="方正书宋_GBK"/>
              </w:rPr>
              <w:t>1</w:t>
            </w:r>
          </w:p>
        </w:tc>
        <w:tc>
          <w:tcPr>
            <w:tcW w:w="834" w:type="dxa"/>
            <w:vAlign w:val="center"/>
          </w:tcPr>
          <w:p>
            <w:pPr>
              <w:spacing w:line="700" w:lineRule="exact"/>
              <w:jc w:val="center"/>
              <w:rPr>
                <w:rFonts w:ascii="方正书宋_GBK" w:eastAsia="方正书宋_GBK"/>
              </w:rPr>
            </w:pPr>
            <w:r>
              <w:rPr>
                <w:rFonts w:hint="eastAsia" w:ascii="方正书宋_GBK" w:eastAsia="方正书宋_GBK"/>
              </w:rPr>
              <w:t>0.9</w:t>
            </w:r>
          </w:p>
        </w:tc>
        <w:tc>
          <w:tcPr>
            <w:tcW w:w="709" w:type="dxa"/>
            <w:vAlign w:val="center"/>
          </w:tcPr>
          <w:p>
            <w:pPr>
              <w:spacing w:line="700" w:lineRule="exact"/>
              <w:jc w:val="center"/>
              <w:rPr>
                <w:rFonts w:ascii="方正书宋_GBK" w:eastAsia="方正书宋_GBK"/>
              </w:rPr>
            </w:pPr>
            <w:r>
              <w:rPr>
                <w:rFonts w:hint="eastAsia" w:ascii="方正书宋_GBK" w:eastAsia="方正书宋_GBK"/>
              </w:rPr>
              <w:t>0.9</w:t>
            </w:r>
          </w:p>
        </w:tc>
        <w:tc>
          <w:tcPr>
            <w:tcW w:w="992" w:type="dxa"/>
            <w:vAlign w:val="center"/>
          </w:tcPr>
          <w:p>
            <w:pPr>
              <w:spacing w:line="700" w:lineRule="exact"/>
              <w:jc w:val="center"/>
              <w:rPr>
                <w:rFonts w:ascii="方正书宋_GBK" w:eastAsia="方正书宋_GBK"/>
              </w:rPr>
            </w:pPr>
            <w:r>
              <w:rPr>
                <w:rFonts w:hint="eastAsia" w:ascii="方正书宋_GBK" w:eastAsia="方正书宋_GBK"/>
              </w:rPr>
              <w:t>0.9</w:t>
            </w:r>
          </w:p>
        </w:tc>
        <w:tc>
          <w:tcPr>
            <w:tcW w:w="1134" w:type="dxa"/>
            <w:vAlign w:val="center"/>
          </w:tcPr>
          <w:p>
            <w:pPr>
              <w:spacing w:line="700" w:lineRule="exact"/>
              <w:jc w:val="center"/>
              <w:rPr>
                <w:rFonts w:ascii="方正书宋_GBK" w:eastAsia="方正书宋_GBK"/>
              </w:rPr>
            </w:pPr>
            <w:r>
              <w:rPr>
                <w:rFonts w:hint="eastAsia" w:ascii="方正书宋_GBK" w:eastAsia="方正书宋_GBK"/>
              </w:rPr>
              <w:t>0.9</w:t>
            </w: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上年末我部门固定资产总金额为0万元（详见下表）。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233.53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.00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229.</w:t>
            </w:r>
            <w:r>
              <w:rPr>
                <w:rFonts w:ascii="仿宋_GB2312" w:hAnsi="仿宋" w:eastAsia="仿宋_GB2312" w:cs="宋体"/>
                <w:kern w:val="0"/>
                <w:sz w:val="24"/>
                <w:szCs w:val="24"/>
              </w:rPr>
              <w:t>53</w:t>
            </w: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hint="eastAsia"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hint="eastAsia"/>
        </w:rPr>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13B8A"/>
    <w:rsid w:val="00044FBC"/>
    <w:rsid w:val="00055F1F"/>
    <w:rsid w:val="00057F18"/>
    <w:rsid w:val="000A445D"/>
    <w:rsid w:val="000F351B"/>
    <w:rsid w:val="00131DEC"/>
    <w:rsid w:val="001462BD"/>
    <w:rsid w:val="00152380"/>
    <w:rsid w:val="001638BE"/>
    <w:rsid w:val="00181777"/>
    <w:rsid w:val="001B4688"/>
    <w:rsid w:val="001F4875"/>
    <w:rsid w:val="00214DE8"/>
    <w:rsid w:val="002918C6"/>
    <w:rsid w:val="00296524"/>
    <w:rsid w:val="002E01F6"/>
    <w:rsid w:val="002F530F"/>
    <w:rsid w:val="00305E97"/>
    <w:rsid w:val="0032782B"/>
    <w:rsid w:val="00340B3D"/>
    <w:rsid w:val="00367A30"/>
    <w:rsid w:val="003A06D2"/>
    <w:rsid w:val="003C2317"/>
    <w:rsid w:val="003C442E"/>
    <w:rsid w:val="003D1092"/>
    <w:rsid w:val="003D37CD"/>
    <w:rsid w:val="003E5531"/>
    <w:rsid w:val="0040243C"/>
    <w:rsid w:val="00406BD1"/>
    <w:rsid w:val="0041779A"/>
    <w:rsid w:val="00426C19"/>
    <w:rsid w:val="00450FD9"/>
    <w:rsid w:val="00453CE0"/>
    <w:rsid w:val="00470BBB"/>
    <w:rsid w:val="0048611E"/>
    <w:rsid w:val="004B6929"/>
    <w:rsid w:val="004F3C52"/>
    <w:rsid w:val="00510A1E"/>
    <w:rsid w:val="00551B20"/>
    <w:rsid w:val="00570142"/>
    <w:rsid w:val="005B1B6F"/>
    <w:rsid w:val="005B6CCB"/>
    <w:rsid w:val="005C54AA"/>
    <w:rsid w:val="005C7B89"/>
    <w:rsid w:val="0062788A"/>
    <w:rsid w:val="00641F8A"/>
    <w:rsid w:val="006B5A83"/>
    <w:rsid w:val="006C62DF"/>
    <w:rsid w:val="006D0B6B"/>
    <w:rsid w:val="006F5104"/>
    <w:rsid w:val="00735B02"/>
    <w:rsid w:val="007657C8"/>
    <w:rsid w:val="00771E49"/>
    <w:rsid w:val="00782208"/>
    <w:rsid w:val="007C7FD7"/>
    <w:rsid w:val="007F3746"/>
    <w:rsid w:val="00833132"/>
    <w:rsid w:val="008672EA"/>
    <w:rsid w:val="00891680"/>
    <w:rsid w:val="008A0B5F"/>
    <w:rsid w:val="008B5402"/>
    <w:rsid w:val="0090527E"/>
    <w:rsid w:val="00905BB7"/>
    <w:rsid w:val="00912DA4"/>
    <w:rsid w:val="009302B8"/>
    <w:rsid w:val="009305C6"/>
    <w:rsid w:val="00937C0C"/>
    <w:rsid w:val="00982F3D"/>
    <w:rsid w:val="00A777B1"/>
    <w:rsid w:val="00A8079E"/>
    <w:rsid w:val="00A92D66"/>
    <w:rsid w:val="00AA0EE5"/>
    <w:rsid w:val="00AA4262"/>
    <w:rsid w:val="00AB5A90"/>
    <w:rsid w:val="00AE4AA5"/>
    <w:rsid w:val="00AE652A"/>
    <w:rsid w:val="00AE7FA9"/>
    <w:rsid w:val="00B147EB"/>
    <w:rsid w:val="00B80FAB"/>
    <w:rsid w:val="00B81C88"/>
    <w:rsid w:val="00BA5C83"/>
    <w:rsid w:val="00BC6A7D"/>
    <w:rsid w:val="00BD719F"/>
    <w:rsid w:val="00C177A5"/>
    <w:rsid w:val="00C6153C"/>
    <w:rsid w:val="00CC7D74"/>
    <w:rsid w:val="00D02F97"/>
    <w:rsid w:val="00D45530"/>
    <w:rsid w:val="00DA5DA7"/>
    <w:rsid w:val="00DE3935"/>
    <w:rsid w:val="00E22CB7"/>
    <w:rsid w:val="00E2325B"/>
    <w:rsid w:val="00E23596"/>
    <w:rsid w:val="00E24075"/>
    <w:rsid w:val="00E35F38"/>
    <w:rsid w:val="00E46F27"/>
    <w:rsid w:val="00E509CC"/>
    <w:rsid w:val="00E71A04"/>
    <w:rsid w:val="00E96342"/>
    <w:rsid w:val="00F000B1"/>
    <w:rsid w:val="00F012D3"/>
    <w:rsid w:val="00F10D04"/>
    <w:rsid w:val="00F572CB"/>
    <w:rsid w:val="00F621AF"/>
    <w:rsid w:val="00F82447"/>
    <w:rsid w:val="00FB2F32"/>
    <w:rsid w:val="00FE0F1F"/>
    <w:rsid w:val="00FF61F3"/>
    <w:rsid w:val="050A3B0A"/>
    <w:rsid w:val="2DBD0EE5"/>
    <w:rsid w:val="788B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uiPriority w:val="99"/>
    <w:pPr>
      <w:snapToGrid w:val="0"/>
      <w:jc w:val="left"/>
    </w:pPr>
    <w:rPr>
      <w:rFonts w:ascii="等线" w:hAnsi="等线" w:eastAsia="等线" w:cs="Times New Roman"/>
      <w:sz w:val="18"/>
      <w:szCs w:val="18"/>
    </w:rPr>
  </w:style>
  <w:style w:type="character" w:styleId="8">
    <w:name w:val="footnote reference"/>
    <w:semiHidden/>
    <w:unhideWhenUsed/>
    <w:uiPriority w:val="99"/>
    <w:rPr>
      <w:vertAlign w:val="superscript"/>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 w:type="character" w:customStyle="1" w:styleId="12">
    <w:name w:val="脚注文本 字符"/>
    <w:basedOn w:val="7"/>
    <w:link w:val="5"/>
    <w:semiHidden/>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A02A-F2D0-47E1-A2EC-DD15E3FC49CC}">
  <ds:schemaRefs/>
</ds:datastoreItem>
</file>

<file path=docProps/app.xml><?xml version="1.0" encoding="utf-8"?>
<Properties xmlns="http://schemas.openxmlformats.org/officeDocument/2006/extended-properties" xmlns:vt="http://schemas.openxmlformats.org/officeDocument/2006/docPropsVTypes">
  <Template>Normal</Template>
  <Pages>15</Pages>
  <Words>4683</Words>
  <Characters>4975</Characters>
  <Lines>39</Lines>
  <Paragraphs>11</Paragraphs>
  <TotalTime>553</TotalTime>
  <ScaleCrop>false</ScaleCrop>
  <LinksUpToDate>false</LinksUpToDate>
  <CharactersWithSpaces>5055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2024-08-08T01:56:38Z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5AD82A65446548F195B27904F4F824E5</vt:lpwstr>
  </property>
</Properties>
</file>