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578" w:lineRule="auto"/>
        <w:ind w:left="0" w:right="0" w:firstLine="0"/>
        <w:jc w:val="left"/>
        <w:rPr>
          <w:rFonts w:ascii="??_GB2312" w:hAnsi="??_GB2312" w:eastAsia="??_GB2312" w:cs="??_GB2312"/>
          <w:color w:val="000000"/>
          <w:spacing w:val="0"/>
          <w:position w:val="0"/>
          <w:sz w:val="32"/>
          <w:shd w:val="clear" w:fill="auto"/>
        </w:rPr>
      </w:pPr>
      <w:r>
        <w:rPr>
          <w:rFonts w:ascii="宋体" w:hAnsi="宋体" w:eastAsia="宋体" w:cs="宋体"/>
          <w:color w:val="000000"/>
          <w:spacing w:val="0"/>
          <w:position w:val="0"/>
          <w:sz w:val="32"/>
          <w:shd w:val="clear" w:fill="auto"/>
        </w:rPr>
        <w:t>附件</w:t>
      </w:r>
      <w:r>
        <w:rPr>
          <w:rFonts w:ascii="??_GB2312" w:hAnsi="??_GB2312" w:eastAsia="??_GB2312" w:cs="??_GB2312"/>
          <w:color w:val="000000"/>
          <w:spacing w:val="0"/>
          <w:position w:val="0"/>
          <w:sz w:val="32"/>
          <w:shd w:val="clear" w:fill="auto"/>
        </w:rPr>
        <w:t>1</w:t>
      </w:r>
    </w:p>
    <w:p>
      <w:pPr>
        <w:spacing w:before="0" w:after="0" w:line="36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保定市徐水区东釜山乡人民政府(事业)</w:t>
      </w:r>
    </w:p>
    <w:p>
      <w:pPr>
        <w:spacing w:before="0" w:after="0" w:line="360" w:lineRule="auto"/>
        <w:ind w:left="0" w:right="0" w:firstLine="0"/>
        <w:jc w:val="center"/>
        <w:rPr>
          <w:rFonts w:ascii="宋体" w:hAnsi="宋体" w:eastAsia="宋体" w:cs="宋体"/>
          <w:b/>
          <w:color w:val="auto"/>
          <w:spacing w:val="0"/>
          <w:position w:val="0"/>
          <w:sz w:val="44"/>
          <w:shd w:val="clear" w:fill="auto"/>
        </w:rPr>
      </w:pPr>
      <w:bookmarkStart w:id="1" w:name="_GoBack"/>
      <w:bookmarkEnd w:id="1"/>
      <w:r>
        <w:rPr>
          <w:rFonts w:ascii="宋体" w:hAnsi="宋体" w:eastAsia="宋体" w:cs="宋体"/>
          <w:b/>
          <w:color w:val="auto"/>
          <w:spacing w:val="0"/>
          <w:position w:val="0"/>
          <w:sz w:val="44"/>
          <w:shd w:val="clear" w:fill="auto"/>
        </w:rPr>
        <w:t>202</w:t>
      </w:r>
      <w:r>
        <w:rPr>
          <w:rFonts w:hint="default" w:ascii="宋体" w:hAnsi="宋体" w:eastAsia="宋体" w:cs="宋体"/>
          <w:b/>
          <w:color w:val="auto"/>
          <w:spacing w:val="0"/>
          <w:position w:val="0"/>
          <w:sz w:val="44"/>
          <w:shd w:val="clear" w:fill="auto"/>
          <w:lang w:val="en-US"/>
        </w:rPr>
        <w:t>1</w:t>
      </w:r>
      <w:r>
        <w:rPr>
          <w:rFonts w:ascii="宋体" w:hAnsi="宋体" w:eastAsia="宋体" w:cs="宋体"/>
          <w:b/>
          <w:color w:val="auto"/>
          <w:spacing w:val="0"/>
          <w:position w:val="0"/>
          <w:sz w:val="44"/>
          <w:shd w:val="clear" w:fill="auto"/>
        </w:rPr>
        <w:t>年单位预算公开说明</w:t>
      </w:r>
    </w:p>
    <w:p>
      <w:pPr>
        <w:tabs>
          <w:tab w:val="left" w:pos="5274"/>
        </w:tabs>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560" w:firstLineChars="200"/>
        <w:jc w:val="left"/>
        <w:rPr>
          <w:rFonts w:ascii="Times New Roman" w:eastAsia="方正仿宋_GBK"/>
          <w:sz w:val="28"/>
        </w:rPr>
      </w:pPr>
      <w:r>
        <w:rPr>
          <w:rFonts w:ascii="Times New Roman" w:eastAsia="方正仿宋_GBK"/>
          <w:sz w:val="28"/>
        </w:rPr>
        <w:t>根据中共保定市徐水区委办公室、保定市徐水区人民政府办公室印发《保定市徐水区东釜山乡乡主要责任、机构设置和人员编制规定》的通知（徐办字[2020]41号），现将我乡</w:t>
      </w:r>
      <w:r>
        <w:rPr>
          <w:rFonts w:hint="eastAsia" w:ascii="Times New Roman" w:eastAsia="方正仿宋_GBK"/>
          <w:sz w:val="28"/>
          <w:lang w:eastAsia="zh-CN"/>
        </w:rPr>
        <w:t>单位</w:t>
      </w:r>
      <w:r>
        <w:rPr>
          <w:rFonts w:hint="eastAsia" w:ascii="Times New Roman" w:eastAsia="方正仿宋_GBK"/>
          <w:sz w:val="28"/>
        </w:rPr>
        <w:t>职责</w:t>
      </w:r>
      <w:r>
        <w:rPr>
          <w:rFonts w:ascii="Times New Roman" w:eastAsia="方正仿宋_GBK"/>
          <w:sz w:val="28"/>
        </w:rPr>
        <w:t>概况说明如下：</w:t>
      </w:r>
    </w:p>
    <w:p>
      <w:pPr>
        <w:spacing w:line="500" w:lineRule="exact"/>
        <w:ind w:firstLine="560" w:firstLineChars="200"/>
        <w:jc w:val="left"/>
        <w:rPr>
          <w:rFonts w:ascii="Times New Roman" w:eastAsia="方正仿宋_GBK"/>
          <w:sz w:val="28"/>
        </w:rPr>
      </w:pPr>
      <w:r>
        <w:rPr>
          <w:rFonts w:ascii="Times New Roman" w:eastAsia="方正仿宋_GBK"/>
          <w:sz w:val="28"/>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spacing w:line="500" w:lineRule="exact"/>
        <w:ind w:firstLine="560" w:firstLineChars="200"/>
        <w:jc w:val="left"/>
        <w:rPr>
          <w:rFonts w:ascii="Times New Roman" w:eastAsia="方正仿宋_GBK"/>
          <w:sz w:val="28"/>
        </w:rPr>
      </w:pPr>
      <w:r>
        <w:rPr>
          <w:rFonts w:ascii="Times New Roman" w:eastAsia="方正仿宋_GBK"/>
          <w:sz w:val="28"/>
        </w:rPr>
        <w:t>(3)、讨论和决定本乡镇经济建设、政治建设、文化建设社会建设、生态文明建设和党的建设以及乡村振兴中的重大问题。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ascii="Times New Roman" w:eastAsia="方正仿宋_GBK"/>
          <w:sz w:val="28"/>
        </w:rPr>
        <w:t>(4)、组织召开本级人民代表大会，充分行使重大事项决定权、监督权和任免权，做好人大代表工作，联系选民、反映群众意见和要求。</w:t>
      </w:r>
    </w:p>
    <w:p>
      <w:pPr>
        <w:spacing w:line="500" w:lineRule="exact"/>
        <w:ind w:firstLine="560" w:firstLineChars="200"/>
        <w:jc w:val="left"/>
        <w:rPr>
          <w:rFonts w:ascii="Times New Roman" w:eastAsia="方正仿宋_GBK"/>
          <w:sz w:val="28"/>
        </w:rPr>
      </w:pPr>
      <w:r>
        <w:rPr>
          <w:rFonts w:ascii="Times New Roman" w:eastAsia="方正仿宋_GBK"/>
          <w:sz w:val="28"/>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ind w:firstLine="560" w:firstLineChars="200"/>
        <w:jc w:val="left"/>
        <w:rPr>
          <w:rFonts w:ascii="Times New Roman" w:eastAsia="方正仿宋_GBK"/>
          <w:sz w:val="28"/>
        </w:rPr>
      </w:pPr>
      <w:r>
        <w:rPr>
          <w:rFonts w:ascii="Times New Roman" w:eastAsia="方正仿宋_GBK"/>
          <w:sz w:val="28"/>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ind w:firstLine="560" w:firstLineChars="200"/>
        <w:jc w:val="left"/>
        <w:rPr>
          <w:rFonts w:ascii="Times New Roman" w:eastAsia="方正仿宋_GBK"/>
          <w:sz w:val="28"/>
        </w:rPr>
      </w:pPr>
      <w:r>
        <w:rPr>
          <w:rFonts w:ascii="Times New Roman" w:eastAsia="方正仿宋_GBK"/>
          <w:sz w:val="28"/>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560" w:firstLineChars="200"/>
        <w:jc w:val="left"/>
        <w:rPr>
          <w:rFonts w:ascii="Times New Roman" w:eastAsia="方正仿宋_GBK"/>
          <w:sz w:val="28"/>
        </w:rPr>
      </w:pPr>
      <w:r>
        <w:rPr>
          <w:rFonts w:ascii="Times New Roman" w:eastAsia="方正仿宋_GBK"/>
          <w:sz w:val="28"/>
        </w:rPr>
        <w:t>(8)、加强乡镇党委自身建设和村党组织建设，以及其他隶属乡镇党委的党组织建设，抓好发展党员工作，加强党员队伍建设。维护和执行党的纪律，监督党员干部和其他任何工作人员严格遵守国家法律法规。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ascii="Times New Roman" w:eastAsia="方正仿宋_GBK"/>
          <w:sz w:val="28"/>
        </w:rPr>
      </w:pPr>
      <w:r>
        <w:rPr>
          <w:rFonts w:ascii="Times New Roman" w:eastAsia="方正仿宋_GBK"/>
          <w:sz w:val="28"/>
        </w:rPr>
        <w:t>(9)、按照干部管理权限，负责对干部的教育、培训、选拔考核和监督工作。协助管理上级有关</w:t>
      </w:r>
      <w:r>
        <w:rPr>
          <w:rFonts w:hint="eastAsia" w:ascii="Times New Roman" w:eastAsia="方正仿宋_GBK"/>
          <w:sz w:val="28"/>
          <w:lang w:eastAsia="zh-CN"/>
        </w:rPr>
        <w:t>单位</w:t>
      </w:r>
      <w:r>
        <w:rPr>
          <w:rFonts w:ascii="Times New Roman" w:eastAsia="方正仿宋_GBK"/>
          <w:sz w:val="28"/>
        </w:rPr>
        <w:t>驻乡镇单位的干部。做好人才服务工作。</w:t>
      </w:r>
    </w:p>
    <w:p>
      <w:pPr>
        <w:spacing w:line="500" w:lineRule="exact"/>
        <w:ind w:firstLine="560" w:firstLineChars="200"/>
        <w:jc w:val="left"/>
        <w:rPr>
          <w:rFonts w:ascii="Times New Roman" w:eastAsia="方正仿宋_GBK"/>
          <w:sz w:val="28"/>
        </w:rPr>
      </w:pPr>
      <w:r>
        <w:rPr>
          <w:rFonts w:ascii="Times New Roman" w:eastAsia="方正仿宋_GBK"/>
          <w:sz w:val="28"/>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560" w:firstLineChars="200"/>
        <w:jc w:val="left"/>
        <w:rPr>
          <w:rFonts w:ascii="Times New Roman" w:eastAsia="方正仿宋_GBK"/>
          <w:sz w:val="28"/>
        </w:rPr>
      </w:pPr>
      <w:r>
        <w:rPr>
          <w:rFonts w:ascii="Times New Roman" w:eastAsia="方正仿宋_GBK"/>
          <w:sz w:val="28"/>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ascii="Times New Roman" w:eastAsia="方正仿宋_GBK"/>
          <w:sz w:val="28"/>
        </w:rPr>
      </w:pPr>
      <w:r>
        <w:rPr>
          <w:rFonts w:ascii="Times New Roman" w:eastAsia="方正仿宋_GBK"/>
          <w:sz w:val="28"/>
        </w:rPr>
        <w:t>(12)、承办上级党委、人大、政府交办的其他事项。</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2"/>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保定市徐水区东釜山乡人民政府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一、收入说明</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2022年预算收入为</w:t>
      </w:r>
      <w:r>
        <w:rPr>
          <w:rFonts w:hint="default" w:ascii="仿宋" w:hAnsi="仿宋" w:eastAsia="仿宋" w:cs="仿宋"/>
          <w:color w:val="auto"/>
          <w:spacing w:val="0"/>
          <w:position w:val="0"/>
          <w:sz w:val="32"/>
          <w:shd w:val="clear" w:fill="auto"/>
          <w:lang w:val="en-US"/>
        </w:rPr>
        <w:t>418.67</w:t>
      </w:r>
      <w:r>
        <w:rPr>
          <w:rFonts w:ascii="仿宋" w:hAnsi="仿宋" w:eastAsia="仿宋" w:cs="仿宋"/>
          <w:color w:val="auto"/>
          <w:spacing w:val="0"/>
          <w:position w:val="0"/>
          <w:sz w:val="32"/>
          <w:shd w:val="clear" w:fill="auto"/>
        </w:rPr>
        <w:t>万元,其中：一般公共预算收入</w:t>
      </w:r>
      <w:r>
        <w:rPr>
          <w:rFonts w:hint="default" w:ascii="仿宋" w:hAnsi="仿宋" w:eastAsia="仿宋" w:cs="仿宋"/>
          <w:color w:val="auto"/>
          <w:spacing w:val="0"/>
          <w:position w:val="0"/>
          <w:sz w:val="32"/>
          <w:shd w:val="clear" w:fill="auto"/>
          <w:lang w:val="en-US"/>
        </w:rPr>
        <w:t>418.67</w:t>
      </w:r>
      <w:r>
        <w:rPr>
          <w:rFonts w:ascii="仿宋" w:hAnsi="仿宋" w:eastAsia="仿宋" w:cs="仿宋"/>
          <w:color w:val="auto"/>
          <w:spacing w:val="0"/>
          <w:position w:val="0"/>
          <w:sz w:val="32"/>
          <w:shd w:val="clear" w:fill="auto"/>
        </w:rPr>
        <w:t>万元，基金预算收入0万元，财政专户收入0万元，其他来源收入0万元。</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二、支出说明</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2022年单位支出预算：</w:t>
      </w:r>
      <w:r>
        <w:rPr>
          <w:rFonts w:hint="default" w:ascii="仿宋" w:hAnsi="仿宋" w:eastAsia="仿宋" w:cs="仿宋"/>
          <w:color w:val="auto"/>
          <w:spacing w:val="0"/>
          <w:position w:val="0"/>
          <w:sz w:val="32"/>
          <w:shd w:val="clear" w:fill="auto"/>
          <w:lang w:val="en-US"/>
        </w:rPr>
        <w:t>418.67</w:t>
      </w:r>
      <w:r>
        <w:rPr>
          <w:rFonts w:ascii="仿宋" w:hAnsi="仿宋" w:eastAsia="仿宋" w:cs="仿宋"/>
          <w:color w:val="auto"/>
          <w:spacing w:val="0"/>
          <w:position w:val="0"/>
          <w:sz w:val="32"/>
          <w:shd w:val="clear" w:fill="auto"/>
        </w:rPr>
        <w:t>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基本支出</w:t>
      </w:r>
      <w:r>
        <w:rPr>
          <w:rFonts w:hint="default" w:ascii="仿宋" w:hAnsi="仿宋" w:eastAsia="仿宋" w:cs="仿宋"/>
          <w:color w:val="auto"/>
          <w:spacing w:val="0"/>
          <w:position w:val="0"/>
          <w:sz w:val="32"/>
          <w:shd w:val="clear" w:fill="auto"/>
          <w:lang w:val="en-US"/>
        </w:rPr>
        <w:t>418.67</w:t>
      </w:r>
      <w:r>
        <w:rPr>
          <w:rFonts w:ascii="仿宋" w:hAnsi="仿宋" w:eastAsia="仿宋" w:cs="仿宋"/>
          <w:color w:val="auto"/>
          <w:spacing w:val="0"/>
          <w:position w:val="0"/>
          <w:sz w:val="32"/>
          <w:shd w:val="clear" w:fill="auto"/>
        </w:rPr>
        <w:t>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其中：人员经费</w:t>
      </w:r>
      <w:r>
        <w:rPr>
          <w:rFonts w:hint="default" w:ascii="仿宋" w:hAnsi="仿宋" w:eastAsia="仿宋" w:cs="仿宋"/>
          <w:color w:val="auto"/>
          <w:spacing w:val="0"/>
          <w:position w:val="0"/>
          <w:sz w:val="32"/>
          <w:shd w:val="clear" w:fill="auto"/>
          <w:lang w:val="en-US"/>
        </w:rPr>
        <w:t>396.8</w:t>
      </w:r>
      <w:r>
        <w:rPr>
          <w:rFonts w:ascii="仿宋" w:hAnsi="仿宋" w:eastAsia="仿宋" w:cs="仿宋"/>
          <w:color w:val="auto"/>
          <w:spacing w:val="0"/>
          <w:position w:val="0"/>
          <w:sz w:val="32"/>
          <w:shd w:val="clear" w:fill="auto"/>
        </w:rPr>
        <w:t>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日常公用经费</w:t>
      </w:r>
      <w:r>
        <w:rPr>
          <w:rFonts w:hint="default" w:ascii="仿宋" w:hAnsi="仿宋" w:eastAsia="仿宋" w:cs="仿宋"/>
          <w:color w:val="auto"/>
          <w:spacing w:val="0"/>
          <w:position w:val="0"/>
          <w:sz w:val="32"/>
          <w:shd w:val="clear" w:fill="auto"/>
          <w:lang w:val="en-US"/>
        </w:rPr>
        <w:t>21.87</w:t>
      </w:r>
      <w:r>
        <w:rPr>
          <w:rFonts w:ascii="仿宋" w:hAnsi="仿宋" w:eastAsia="仿宋" w:cs="仿宋"/>
          <w:color w:val="auto"/>
          <w:spacing w:val="0"/>
          <w:position w:val="0"/>
          <w:sz w:val="32"/>
          <w:shd w:val="clear" w:fill="auto"/>
        </w:rPr>
        <w:t>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项目支出0万元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其中：本级支出0万元</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三、比上年增减情况</w:t>
      </w:r>
    </w:p>
    <w:p>
      <w:pPr>
        <w:spacing w:before="0" w:after="0" w:line="360" w:lineRule="auto"/>
        <w:ind w:left="0" w:right="0" w:firstLine="640"/>
        <w:jc w:val="both"/>
        <w:rPr>
          <w:rFonts w:ascii="仿宋" w:hAnsi="仿宋" w:eastAsia="仿宋" w:cs="仿宋"/>
          <w:color w:val="auto"/>
          <w:spacing w:val="0"/>
          <w:position w:val="0"/>
          <w:sz w:val="11"/>
          <w:shd w:val="clear" w:fill="auto"/>
        </w:rPr>
      </w:pPr>
      <w:r>
        <w:rPr>
          <w:rFonts w:ascii="仿宋" w:hAnsi="仿宋" w:eastAsia="仿宋" w:cs="仿宋"/>
          <w:color w:val="auto"/>
          <w:spacing w:val="0"/>
          <w:position w:val="0"/>
          <w:sz w:val="32"/>
          <w:shd w:val="clear" w:fill="auto"/>
        </w:rPr>
        <w:t>本年度预算收支安排</w:t>
      </w:r>
      <w:r>
        <w:rPr>
          <w:rFonts w:hint="default" w:ascii="仿宋" w:hAnsi="仿宋" w:eastAsia="仿宋" w:cs="仿宋"/>
          <w:color w:val="auto"/>
          <w:spacing w:val="0"/>
          <w:position w:val="0"/>
          <w:sz w:val="32"/>
          <w:shd w:val="clear" w:fill="auto"/>
          <w:lang w:val="en-US"/>
        </w:rPr>
        <w:t>418.67</w:t>
      </w:r>
      <w:r>
        <w:rPr>
          <w:rFonts w:ascii="仿宋" w:hAnsi="仿宋" w:eastAsia="仿宋" w:cs="仿宋"/>
          <w:color w:val="auto"/>
          <w:spacing w:val="0"/>
          <w:position w:val="0"/>
          <w:sz w:val="32"/>
          <w:shd w:val="clear" w:fill="auto"/>
        </w:rPr>
        <w:t>万元，较上年增加</w:t>
      </w:r>
      <w:r>
        <w:rPr>
          <w:rFonts w:hint="default" w:ascii="仿宋" w:hAnsi="仿宋" w:eastAsia="仿宋" w:cs="仿宋"/>
          <w:color w:val="auto"/>
          <w:spacing w:val="0"/>
          <w:position w:val="0"/>
          <w:sz w:val="32"/>
          <w:shd w:val="clear" w:fill="auto"/>
          <w:lang w:val="en-US"/>
        </w:rPr>
        <w:t>23.09</w:t>
      </w:r>
      <w:r>
        <w:rPr>
          <w:rFonts w:ascii="仿宋" w:hAnsi="仿宋" w:eastAsia="仿宋" w:cs="仿宋"/>
          <w:color w:val="auto"/>
          <w:spacing w:val="0"/>
          <w:position w:val="0"/>
          <w:sz w:val="32"/>
          <w:shd w:val="clear" w:fill="auto"/>
        </w:rPr>
        <w:t>万元。主要是基本支出增加</w:t>
      </w:r>
      <w:r>
        <w:rPr>
          <w:rFonts w:hint="default" w:ascii="仿宋" w:hAnsi="仿宋" w:eastAsia="仿宋" w:cs="仿宋"/>
          <w:color w:val="auto"/>
          <w:spacing w:val="0"/>
          <w:position w:val="0"/>
          <w:sz w:val="32"/>
          <w:shd w:val="clear" w:fill="auto"/>
          <w:lang w:val="en-US"/>
        </w:rPr>
        <w:t>23.09</w:t>
      </w:r>
      <w:r>
        <w:rPr>
          <w:rFonts w:ascii="仿宋" w:hAnsi="仿宋" w:eastAsia="仿宋" w:cs="仿宋"/>
          <w:color w:val="auto"/>
          <w:spacing w:val="0"/>
          <w:position w:val="0"/>
          <w:sz w:val="32"/>
          <w:shd w:val="clear" w:fill="auto"/>
        </w:rPr>
        <w:t>万元，主要原因是人员经费和日常公用经费增加。</w:t>
      </w:r>
    </w:p>
    <w:p>
      <w:pPr>
        <w:spacing w:before="0" w:after="0" w:line="360" w:lineRule="auto"/>
        <w:ind w:left="0" w:right="0" w:firstLine="220"/>
        <w:jc w:val="both"/>
        <w:rPr>
          <w:rFonts w:ascii="仿宋" w:hAnsi="仿宋" w:eastAsia="仿宋" w:cs="仿宋"/>
          <w:color w:val="auto"/>
          <w:spacing w:val="0"/>
          <w:position w:val="0"/>
          <w:sz w:val="11"/>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第三部分：机关运行经费安排情况</w:t>
      </w:r>
    </w:p>
    <w:p>
      <w:pPr>
        <w:spacing w:before="0" w:after="0" w:line="360" w:lineRule="auto"/>
        <w:ind w:left="0" w:right="0" w:firstLine="640"/>
        <w:jc w:val="both"/>
        <w:rPr>
          <w:rFonts w:ascii="?????_GBK" w:hAnsi="?????_GBK" w:eastAsia="?????_GBK" w:cs="?????_GBK"/>
          <w:color w:val="auto"/>
          <w:spacing w:val="0"/>
          <w:position w:val="0"/>
          <w:sz w:val="44"/>
          <w:shd w:val="clear" w:fill="auto"/>
        </w:rPr>
      </w:pPr>
      <w:r>
        <w:rPr>
          <w:rFonts w:ascii="仿宋" w:hAnsi="仿宋" w:eastAsia="仿宋" w:cs="仿宋"/>
          <w:color w:val="auto"/>
          <w:spacing w:val="0"/>
          <w:position w:val="0"/>
          <w:sz w:val="32"/>
          <w:shd w:val="clear" w:fill="auto"/>
        </w:rPr>
        <w:t>2022年我单位机关运行经费安排</w:t>
      </w:r>
      <w:r>
        <w:rPr>
          <w:rFonts w:hint="default" w:ascii="仿宋" w:hAnsi="仿宋" w:eastAsia="仿宋" w:cs="仿宋"/>
          <w:color w:val="auto"/>
          <w:spacing w:val="0"/>
          <w:position w:val="0"/>
          <w:sz w:val="32"/>
          <w:shd w:val="clear" w:fill="auto"/>
          <w:lang w:val="en-US"/>
        </w:rPr>
        <w:t>21.87</w:t>
      </w:r>
      <w:r>
        <w:rPr>
          <w:rFonts w:ascii="仿宋" w:hAnsi="仿宋" w:eastAsia="仿宋" w:cs="仿宋"/>
          <w:color w:val="auto"/>
          <w:spacing w:val="0"/>
          <w:position w:val="0"/>
          <w:sz w:val="32"/>
          <w:shd w:val="clear" w:fill="auto"/>
        </w:rPr>
        <w:t>万元，其中办公费</w:t>
      </w:r>
      <w:r>
        <w:rPr>
          <w:rFonts w:hint="default" w:ascii="仿宋" w:hAnsi="仿宋" w:eastAsia="仿宋" w:cs="仿宋"/>
          <w:color w:val="auto"/>
          <w:spacing w:val="0"/>
          <w:position w:val="0"/>
          <w:sz w:val="32"/>
          <w:shd w:val="clear" w:fill="auto"/>
          <w:lang w:val="en-US"/>
        </w:rPr>
        <w:t>12.96</w:t>
      </w:r>
      <w:r>
        <w:rPr>
          <w:rFonts w:ascii="仿宋" w:hAnsi="仿宋" w:eastAsia="仿宋" w:cs="仿宋"/>
          <w:color w:val="auto"/>
          <w:spacing w:val="0"/>
          <w:position w:val="0"/>
          <w:sz w:val="32"/>
          <w:shd w:val="clear" w:fill="auto"/>
        </w:rPr>
        <w:t>万元，邮电费0.</w:t>
      </w:r>
      <w:r>
        <w:rPr>
          <w:rFonts w:hint="default" w:ascii="仿宋" w:hAnsi="仿宋" w:eastAsia="仿宋" w:cs="仿宋"/>
          <w:color w:val="auto"/>
          <w:spacing w:val="0"/>
          <w:position w:val="0"/>
          <w:sz w:val="32"/>
          <w:shd w:val="clear" w:fill="auto"/>
          <w:lang w:val="en-US"/>
        </w:rPr>
        <w:t>64</w:t>
      </w:r>
      <w:r>
        <w:rPr>
          <w:rFonts w:ascii="仿宋" w:hAnsi="仿宋" w:eastAsia="仿宋" w:cs="仿宋"/>
          <w:color w:val="auto"/>
          <w:spacing w:val="0"/>
          <w:position w:val="0"/>
          <w:sz w:val="32"/>
          <w:shd w:val="clear" w:fill="auto"/>
        </w:rPr>
        <w:t>万元，工会经费、福利费7.</w:t>
      </w:r>
      <w:r>
        <w:rPr>
          <w:rFonts w:hint="default" w:ascii="仿宋" w:hAnsi="仿宋" w:eastAsia="仿宋" w:cs="仿宋"/>
          <w:color w:val="auto"/>
          <w:spacing w:val="0"/>
          <w:position w:val="0"/>
          <w:sz w:val="32"/>
          <w:shd w:val="clear" w:fill="auto"/>
          <w:lang w:val="en-US"/>
        </w:rPr>
        <w:t>97</w:t>
      </w:r>
      <w:r>
        <w:rPr>
          <w:rFonts w:ascii="仿宋" w:hAnsi="仿宋" w:eastAsia="仿宋" w:cs="仿宋"/>
          <w:color w:val="auto"/>
          <w:spacing w:val="0"/>
          <w:position w:val="0"/>
          <w:sz w:val="32"/>
          <w:shd w:val="clear" w:fill="auto"/>
        </w:rPr>
        <w:t>万元，公务用车运行维护费0万元，其他支出0.</w:t>
      </w:r>
      <w:r>
        <w:rPr>
          <w:rFonts w:hint="default" w:ascii="仿宋" w:hAnsi="仿宋" w:eastAsia="仿宋" w:cs="仿宋"/>
          <w:color w:val="auto"/>
          <w:spacing w:val="0"/>
          <w:position w:val="0"/>
          <w:sz w:val="32"/>
          <w:shd w:val="clear" w:fill="auto"/>
          <w:lang w:val="en-US"/>
        </w:rPr>
        <w:t>3</w:t>
      </w:r>
      <w:r>
        <w:rPr>
          <w:rFonts w:ascii="仿宋" w:hAnsi="仿宋" w:eastAsia="仿宋" w:cs="仿宋"/>
          <w:color w:val="auto"/>
          <w:spacing w:val="0"/>
          <w:position w:val="0"/>
          <w:sz w:val="32"/>
          <w:shd w:val="clear" w:fill="auto"/>
        </w:rPr>
        <w:t>万元。</w:t>
      </w:r>
    </w:p>
    <w:p>
      <w:pPr>
        <w:spacing w:before="0" w:after="0" w:line="240" w:lineRule="auto"/>
        <w:ind w:left="0" w:right="0" w:firstLine="0"/>
        <w:jc w:val="center"/>
        <w:rPr>
          <w:rFonts w:ascii="?????_GBK" w:hAnsi="?????_GBK" w:eastAsia="?????_GBK" w:cs="?????_GBK"/>
          <w:color w:val="auto"/>
          <w:spacing w:val="0"/>
          <w:position w:val="0"/>
          <w:sz w:val="21"/>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第四部分：财政拨款“三公”经费预算情况及增减变化原因</w:t>
      </w:r>
    </w:p>
    <w:tbl>
      <w:tblPr>
        <w:tblStyle w:val="2"/>
        <w:tblW w:w="0" w:type="auto"/>
        <w:tblInd w:w="0" w:type="dxa"/>
        <w:tblLayout w:type="autofit"/>
        <w:tblCellMar>
          <w:top w:w="0" w:type="dxa"/>
          <w:left w:w="10" w:type="dxa"/>
          <w:bottom w:w="0" w:type="dxa"/>
          <w:right w:w="10" w:type="dxa"/>
        </w:tblCellMar>
      </w:tblPr>
      <w:tblGrid>
        <w:gridCol w:w="8522"/>
      </w:tblGrid>
      <w:tr>
        <w:tblPrEx>
          <w:tblCellMar>
            <w:top w:w="0" w:type="dxa"/>
            <w:left w:w="10" w:type="dxa"/>
            <w:bottom w:w="0" w:type="dxa"/>
            <w:right w:w="10" w:type="dxa"/>
          </w:tblCellMar>
        </w:tblPrEx>
        <w:trPr>
          <w:trHeight w:val="0" w:hRule="atLeast"/>
        </w:trPr>
        <w:tc>
          <w:tcPr>
            <w:tcW w:w="9515"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tbl>
            <w:tblPr>
              <w:tblStyle w:val="2"/>
              <w:tblW w:w="0" w:type="auto"/>
              <w:jc w:val="center"/>
              <w:tblLayout w:type="autofit"/>
              <w:tblCellMar>
                <w:top w:w="0" w:type="dxa"/>
                <w:left w:w="10" w:type="dxa"/>
                <w:bottom w:w="0" w:type="dxa"/>
                <w:right w:w="10" w:type="dxa"/>
              </w:tblCellMar>
            </w:tblPr>
            <w:tblGrid>
              <w:gridCol w:w="2156"/>
              <w:gridCol w:w="1274"/>
              <w:gridCol w:w="1416"/>
              <w:gridCol w:w="834"/>
              <w:gridCol w:w="2626"/>
            </w:tblGrid>
            <w:tr>
              <w:tblPrEx>
                <w:tblCellMar>
                  <w:top w:w="0" w:type="dxa"/>
                  <w:left w:w="10" w:type="dxa"/>
                  <w:bottom w:w="0" w:type="dxa"/>
                  <w:right w:w="10" w:type="dxa"/>
                </w:tblCellMar>
              </w:tblPrEx>
              <w:trPr>
                <w:trHeight w:val="0" w:hRule="atLeast"/>
                <w:jc w:val="center"/>
              </w:trPr>
              <w:tc>
                <w:tcPr>
                  <w:tcW w:w="8327" w:type="dxa"/>
                  <w:gridSpan w:val="5"/>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27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3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2634"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21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项目名称</w:t>
                  </w:r>
                </w:p>
              </w:tc>
              <w:tc>
                <w:tcPr>
                  <w:tcW w:w="1276"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2021</w:t>
                  </w:r>
                  <w:r>
                    <w:rPr>
                      <w:rFonts w:ascii="宋体" w:hAnsi="宋体" w:eastAsia="宋体" w:cs="宋体"/>
                      <w:b/>
                      <w:color w:val="auto"/>
                      <w:spacing w:val="0"/>
                      <w:position w:val="0"/>
                      <w:sz w:val="24"/>
                      <w:shd w:val="clear" w:fill="auto"/>
                    </w:rPr>
                    <w:t>年度预算</w:t>
                  </w:r>
                </w:p>
              </w:tc>
              <w:tc>
                <w:tcPr>
                  <w:tcW w:w="1418"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2022</w:t>
                  </w:r>
                  <w:r>
                    <w:rPr>
                      <w:rFonts w:ascii="宋体" w:hAnsi="宋体" w:eastAsia="宋体" w:cs="宋体"/>
                      <w:b/>
                      <w:color w:val="auto"/>
                      <w:spacing w:val="0"/>
                      <w:position w:val="0"/>
                      <w:sz w:val="24"/>
                      <w:shd w:val="clear" w:fill="auto"/>
                    </w:rPr>
                    <w:t>年度预算</w:t>
                  </w:r>
                </w:p>
              </w:tc>
              <w:tc>
                <w:tcPr>
                  <w:tcW w:w="836"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增减金额</w:t>
                  </w:r>
                </w:p>
              </w:tc>
              <w:tc>
                <w:tcPr>
                  <w:tcW w:w="2634"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变化原因</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因公出国经费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公务用车购置经费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公务用车运行经费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公务接待费支出</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合计</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_GB2312" w:hAnsi="??_GB2312" w:eastAsia="??_GB2312" w:cs="??_GB2312"/>
                      <w:color w:val="FF0000"/>
                      <w:spacing w:val="0"/>
                      <w:position w:val="0"/>
                      <w:sz w:val="24"/>
                      <w:shd w:val="clear" w:fill="auto"/>
                    </w:rPr>
                  </w:pPr>
                </w:p>
                <w:p>
                  <w:pPr>
                    <w:widowControl w:val="0"/>
                    <w:spacing w:before="0" w:after="0" w:line="240" w:lineRule="auto"/>
                    <w:ind w:left="0" w:right="0" w:firstLine="0"/>
                    <w:jc w:val="center"/>
                    <w:rPr>
                      <w:rFonts w:ascii="??_GB2312" w:hAnsi="??_GB2312" w:eastAsia="??_GB2312" w:cs="??_GB2312"/>
                      <w:color w:val="FF0000"/>
                      <w:spacing w:val="0"/>
                      <w:position w:val="0"/>
                      <w:sz w:val="24"/>
                      <w:shd w:val="clear" w:fill="auto"/>
                    </w:rPr>
                  </w:pPr>
                  <w:r>
                    <w:rPr>
                      <w:rFonts w:ascii="??_GB2312" w:hAnsi="??_GB2312" w:eastAsia="??_GB2312" w:cs="??_GB2312"/>
                      <w:color w:val="FF0000"/>
                      <w:spacing w:val="0"/>
                      <w:position w:val="0"/>
                      <w:sz w:val="24"/>
                      <w:shd w:val="clear" w:fill="auto"/>
                    </w:rPr>
                    <w:t>0</w:t>
                  </w:r>
                </w:p>
                <w:p>
                  <w:pPr>
                    <w:widowControl w:val="0"/>
                    <w:spacing w:before="0" w:after="0" w:line="240" w:lineRule="auto"/>
                    <w:ind w:left="0" w:right="0" w:firstLine="0"/>
                    <w:jc w:val="center"/>
                    <w:rPr>
                      <w:spacing w:val="0"/>
                      <w:position w:val="0"/>
                      <w:shd w:val="clear" w:fill="auto"/>
                    </w:rPr>
                  </w:pP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27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3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2634"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spacing w:val="0"/>
                <w:position w:val="0"/>
                <w:shd w:val="clear" w:fill="auto"/>
              </w:rPr>
            </w:pPr>
          </w:p>
        </w:tc>
      </w:tr>
    </w:tbl>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第五部分：预算绩效信息</w:t>
      </w: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单位整体绩效目标</w:t>
      </w:r>
    </w:p>
    <w:p>
      <w:pPr>
        <w:ind w:firstLine="560" w:firstLineChars="200"/>
        <w:jc w:val="left"/>
        <w:outlineLvl w:val="0"/>
        <w:rPr>
          <w:rFonts w:ascii="方正小标宋_GBK" w:eastAsia="方正小标宋_GBK"/>
          <w:sz w:val="44"/>
        </w:rPr>
      </w:pPr>
      <w:r>
        <w:rPr>
          <w:rFonts w:hint="eastAsia" w:ascii="方正小标宋_GBK" w:eastAsia="方正小标宋_GBK"/>
          <w:sz w:val="28"/>
          <w:szCs w:val="16"/>
          <w:lang w:val="en-US" w:eastAsia="zh-CN"/>
        </w:rPr>
        <w:t>一、</w:t>
      </w:r>
      <w:r>
        <w:rPr>
          <w:rFonts w:hint="eastAsia" w:ascii="方正小标宋_GBK" w:eastAsia="方正小标宋_GBK"/>
          <w:sz w:val="28"/>
          <w:szCs w:val="16"/>
          <w:lang w:eastAsia="zh-CN"/>
        </w:rPr>
        <w:t>单位</w:t>
      </w:r>
      <w:r>
        <w:rPr>
          <w:rFonts w:hint="eastAsia" w:ascii="方正小标宋_GBK" w:eastAsia="方正小标宋_GBK"/>
          <w:sz w:val="28"/>
          <w:szCs w:val="16"/>
        </w:rPr>
        <w:t>整体</w:t>
      </w:r>
      <w:r>
        <w:rPr>
          <w:rFonts w:ascii="方正小标宋_GBK" w:eastAsia="方正小标宋_GBK"/>
          <w:sz w:val="28"/>
          <w:szCs w:val="16"/>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紧紧围绕区委、区政府的重要部署，深入贯彻落实党的十九届四中全会精神和习近平新时代中国特色社会主义思想，全面提升党建工作，加强党风廉政建设；推进规模化农业生产, 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eastAsia="方正仿宋_GBK"/>
          <w:sz w:val="28"/>
          <w:lang w:eastAsia="zh-CN"/>
        </w:rPr>
        <w:t>秸秆</w:t>
      </w:r>
      <w:r>
        <w:rPr>
          <w:rFonts w:ascii="Times New Roman" w:eastAsia="方正仿宋_GBK"/>
          <w:sz w:val="28"/>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Lines="50" w:afterLines="50" w:line="500" w:lineRule="exact"/>
        <w:ind w:firstLine="560" w:firstLineChars="200"/>
        <w:jc w:val="left"/>
        <w:outlineLvl w:val="1"/>
        <w:rPr>
          <w:rFonts w:ascii="Times New Roman" w:hAnsi="宋体" w:eastAsia="宋体"/>
          <w:sz w:val="28"/>
        </w:rPr>
      </w:pPr>
      <w:bookmarkStart w:id="0" w:name="_Toc67036109"/>
      <w:r>
        <w:rPr>
          <w:rFonts w:hint="eastAsia" w:ascii="方正黑体_GBK" w:eastAsia="方正黑体_GBK"/>
          <w:sz w:val="28"/>
          <w:lang w:val="en-US" w:eastAsia="zh-CN"/>
        </w:rPr>
        <w:t>二</w:t>
      </w:r>
      <w:r>
        <w:rPr>
          <w:rFonts w:ascii="方正黑体_GBK" w:eastAsia="方正黑体_GBK"/>
          <w:sz w:val="28"/>
        </w:rPr>
        <w:t>、工作保障措施</w:t>
      </w:r>
      <w:bookmarkEnd w:id="0"/>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规范财务报销手续，加强预算管理，严格遵守《</w:t>
      </w:r>
      <w:r>
        <w:rPr>
          <w:rFonts w:hint="eastAsia" w:ascii="Times New Roman" w:hAnsi="微软雅黑" w:eastAsia="方正仿宋_GBK" w:cs="微软雅黑"/>
          <w:sz w:val="28"/>
          <w:lang w:eastAsia="zh-CN"/>
        </w:rPr>
        <w:t>中华人民共和国预算法</w:t>
      </w:r>
      <w:r>
        <w:rPr>
          <w:rFonts w:hint="eastAsia" w:ascii="Times New Roman" w:hAnsi="微软雅黑" w:eastAsia="方正仿宋_GBK" w:cs="微软雅黑"/>
          <w:sz w:val="28"/>
        </w:rPr>
        <w:t>》，牢固树立过紧日子的思想，压缩一般性支出，严格控制</w:t>
      </w:r>
      <w:r>
        <w:rPr>
          <w:rFonts w:ascii="Times New Roman" w:eastAsia="方正仿宋_GBK"/>
          <w:sz w:val="28"/>
        </w:rPr>
        <w:t>“</w:t>
      </w:r>
      <w:r>
        <w:rPr>
          <w:rFonts w:hint="eastAsia" w:ascii="Times New Roman" w:hAnsi="微软雅黑" w:eastAsia="方正仿宋_GBK" w:cs="微软雅黑"/>
          <w:sz w:val="28"/>
        </w:rPr>
        <w:t>三公</w:t>
      </w:r>
      <w:r>
        <w:rPr>
          <w:rFonts w:ascii="Times New Roman" w:eastAsia="方正仿宋_GBK"/>
          <w:sz w:val="28"/>
        </w:rPr>
        <w:t>”</w:t>
      </w:r>
      <w:r>
        <w:rPr>
          <w:rFonts w:hint="eastAsia" w:ascii="Times New Roman" w:hAnsi="微软雅黑" w:eastAsia="方正仿宋_GBK" w:cs="微软雅黑"/>
          <w:sz w:val="28"/>
        </w:rPr>
        <w:t>经费支出，切实把有限的财政资金用在刃上。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（三）加强绩效运行监控，确保绩效目标实现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按照</w:t>
      </w:r>
      <w:r>
        <w:rPr>
          <w:rFonts w:ascii="Times New Roman" w:eastAsia="方正仿宋_GBK"/>
          <w:sz w:val="28"/>
        </w:rPr>
        <w:t>“</w:t>
      </w:r>
      <w:r>
        <w:rPr>
          <w:rFonts w:hint="eastAsia" w:ascii="Times New Roman" w:hAnsi="微软雅黑" w:eastAsia="方正仿宋_GBK" w:cs="微软雅黑"/>
          <w:sz w:val="28"/>
        </w:rPr>
        <w:t>谁支出、谁负责</w:t>
      </w:r>
      <w:r>
        <w:rPr>
          <w:rFonts w:ascii="Times New Roman" w:eastAsia="方正仿宋_GBK"/>
          <w:sz w:val="28"/>
        </w:rPr>
        <w:t>”</w:t>
      </w:r>
      <w:r>
        <w:rPr>
          <w:rFonts w:hint="eastAsia" w:ascii="Times New Roman" w:hAnsi="微软雅黑" w:eastAsia="方正仿宋_GBK" w:cs="微软雅黑"/>
          <w:sz w:val="28"/>
        </w:rPr>
        <w:t>的原则，完善用款计划管理，适时采取相应措施警示督促、纠偏纠错，促进预算绩效目标和绩效监控各项工作。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（四）做好绩效自评，确保自评工作取得实效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（五）规范财务资产管理，确保资金安全高效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（六）加强内部监督管理，确保资金安全有效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（七）加强宣传培训调研，确保绩效目标实现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spacing w:line="500" w:lineRule="exact"/>
        <w:ind w:firstLine="560" w:firstLineChars="200"/>
        <w:jc w:val="left"/>
        <w:rPr>
          <w:rFonts w:ascii="Times New Roman" w:eastAsia="方正仿宋_GBK"/>
          <w:sz w:val="28"/>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360" w:lineRule="auto"/>
        <w:ind w:left="0" w:right="0" w:firstLine="640"/>
        <w:jc w:val="both"/>
        <w:rPr>
          <w:rFonts w:ascii="仿宋" w:hAnsi="仿宋" w:eastAsia="仿宋" w:cs="仿宋"/>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第六部分：政府采购预算情况</w:t>
      </w:r>
    </w:p>
    <w:p>
      <w:pPr>
        <w:spacing w:before="0" w:after="0" w:line="240" w:lineRule="auto"/>
        <w:ind w:left="0" w:right="0" w:firstLine="0"/>
        <w:jc w:val="center"/>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2022年，我单位无政府采购预算，空表列示。</w:t>
      </w:r>
    </w:p>
    <w:p>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单位政府采购预算</w:t>
      </w:r>
    </w:p>
    <w:tbl>
      <w:tblPr>
        <w:tblStyle w:val="2"/>
        <w:tblW w:w="0" w:type="auto"/>
        <w:jc w:val="center"/>
        <w:tblLayout w:type="autofit"/>
        <w:tblCellMar>
          <w:top w:w="0" w:type="dxa"/>
          <w:left w:w="10" w:type="dxa"/>
          <w:bottom w:w="0" w:type="dxa"/>
          <w:right w:w="10" w:type="dxa"/>
        </w:tblCellMar>
      </w:tblPr>
      <w:tblGrid>
        <w:gridCol w:w="892"/>
        <w:gridCol w:w="638"/>
        <w:gridCol w:w="756"/>
        <w:gridCol w:w="756"/>
        <w:gridCol w:w="511"/>
        <w:gridCol w:w="570"/>
        <w:gridCol w:w="570"/>
        <w:gridCol w:w="638"/>
        <w:gridCol w:w="638"/>
        <w:gridCol w:w="638"/>
        <w:gridCol w:w="638"/>
        <w:gridCol w:w="638"/>
        <w:gridCol w:w="639"/>
      </w:tblGrid>
      <w:tr>
        <w:tblPrEx>
          <w:tblCellMar>
            <w:top w:w="0" w:type="dxa"/>
            <w:left w:w="10" w:type="dxa"/>
            <w:bottom w:w="0" w:type="dxa"/>
            <w:right w:w="10" w:type="dxa"/>
          </w:tblCellMar>
        </w:tblPrEx>
        <w:trPr>
          <w:trHeight w:val="1" w:hRule="atLeast"/>
          <w:jc w:val="center"/>
        </w:trPr>
        <w:tc>
          <w:tcPr>
            <w:tcW w:w="8703" w:type="dxa"/>
            <w:gridSpan w:val="7"/>
            <w:tcBorders>
              <w:top w:val="single" w:color="FFFFFF" w:sz="6" w:space="0"/>
              <w:left w:val="single" w:color="FFFFFF" w:sz="6" w:space="0"/>
              <w:bottom w:val="single" w:color="000000" w:sz="6" w:space="0"/>
              <w:right w:val="single" w:color="FFFFFF"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保定市徐水区东釜山乡人民政府（事业）</w:t>
            </w:r>
          </w:p>
        </w:tc>
        <w:tc>
          <w:tcPr>
            <w:tcW w:w="6804" w:type="dxa"/>
            <w:gridSpan w:val="6"/>
            <w:tcBorders>
              <w:top w:val="single" w:color="FFFFFF" w:sz="6" w:space="0"/>
              <w:left w:val="single" w:color="FFFFFF" w:sz="6" w:space="0"/>
              <w:bottom w:val="single" w:color="000000" w:sz="6" w:space="0"/>
              <w:right w:val="single" w:color="FFFFFF"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单位：元</w:t>
            </w:r>
          </w:p>
        </w:tc>
      </w:tr>
      <w:tr>
        <w:tblPrEx>
          <w:tblCellMar>
            <w:top w:w="0" w:type="dxa"/>
            <w:left w:w="10" w:type="dxa"/>
            <w:bottom w:w="0" w:type="dxa"/>
            <w:right w:w="10" w:type="dxa"/>
          </w:tblCellMar>
        </w:tblPrEx>
        <w:trPr>
          <w:trHeight w:val="1" w:hRule="atLeast"/>
          <w:jc w:val="center"/>
        </w:trPr>
        <w:tc>
          <w:tcPr>
            <w:tcW w:w="3118"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计量</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单位</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单价</w:t>
            </w:r>
          </w:p>
        </w:tc>
        <w:tc>
          <w:tcPr>
            <w:tcW w:w="6804" w:type="dxa"/>
            <w:gridSpan w:val="6"/>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政府采购金额（当年单位预算安排资金）</w:t>
            </w:r>
          </w:p>
        </w:tc>
      </w:tr>
      <w:tr>
        <w:tblPrEx>
          <w:tblCellMar>
            <w:top w:w="0" w:type="dxa"/>
            <w:left w:w="10" w:type="dxa"/>
            <w:bottom w:w="0" w:type="dxa"/>
            <w:right w:w="10" w:type="dxa"/>
          </w:tblCellMar>
        </w:tblPrEx>
        <w:trPr>
          <w:trHeight w:val="1"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基金预算拨款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财政专户核拨</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单位资金</w:t>
            </w:r>
          </w:p>
        </w:tc>
      </w:tr>
      <w:tr>
        <w:tblPrEx>
          <w:tblCellMar>
            <w:top w:w="0" w:type="dxa"/>
            <w:left w:w="10" w:type="dxa"/>
            <w:bottom w:w="0" w:type="dxa"/>
            <w:right w:w="10" w:type="dxa"/>
          </w:tblCellMar>
        </w:tblPrEx>
        <w:trPr>
          <w:trHeight w:val="1"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合</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w:t>
      </w: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第七部分：国有资产信息</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上年末我单位固定资产总金额为0万元（详见下表）。我单位本年度无国有资产购置计划，拟购置金额为0。</w:t>
      </w:r>
    </w:p>
    <w:tbl>
      <w:tblPr>
        <w:tblStyle w:val="2"/>
        <w:tblW w:w="0" w:type="auto"/>
        <w:jc w:val="center"/>
        <w:tblLayout w:type="autofit"/>
        <w:tblCellMar>
          <w:top w:w="0" w:type="dxa"/>
          <w:left w:w="10" w:type="dxa"/>
          <w:bottom w:w="0" w:type="dxa"/>
          <w:right w:w="10" w:type="dxa"/>
        </w:tblCellMar>
      </w:tblPr>
      <w:tblGrid>
        <w:gridCol w:w="4035"/>
        <w:gridCol w:w="922"/>
        <w:gridCol w:w="3565"/>
      </w:tblGrid>
      <w:tr>
        <w:tblPrEx>
          <w:tblCellMar>
            <w:top w:w="0" w:type="dxa"/>
            <w:left w:w="10" w:type="dxa"/>
            <w:bottom w:w="0" w:type="dxa"/>
            <w:right w:w="10" w:type="dxa"/>
          </w:tblCellMar>
        </w:tblPrEx>
        <w:trPr>
          <w:trHeight w:val="0" w:hRule="atLeast"/>
          <w:jc w:val="center"/>
        </w:trPr>
        <w:tc>
          <w:tcPr>
            <w:tcW w:w="10084" w:type="dxa"/>
            <w:gridSpan w:val="3"/>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2"/>
                <w:shd w:val="clear" w:fill="auto"/>
              </w:rPr>
              <w:t>固定资产占用情况表</w:t>
            </w:r>
          </w:p>
        </w:tc>
      </w:tr>
      <w:tr>
        <w:tblPrEx>
          <w:tblCellMar>
            <w:top w:w="0" w:type="dxa"/>
            <w:left w:w="10" w:type="dxa"/>
            <w:bottom w:w="0" w:type="dxa"/>
            <w:right w:w="10" w:type="dxa"/>
          </w:tblCellMar>
        </w:tblPrEx>
        <w:trPr>
          <w:trHeight w:val="0" w:hRule="atLeast"/>
          <w:jc w:val="center"/>
        </w:trPr>
        <w:tc>
          <w:tcPr>
            <w:tcW w:w="10084" w:type="dxa"/>
            <w:gridSpan w:val="3"/>
            <w:tcBorders>
              <w:top w:val="single" w:color="836967" w:sz="0" w:space="0"/>
              <w:left w:val="single" w:color="836967" w:sz="0" w:space="0"/>
              <w:bottom w:val="single" w:color="000000" w:sz="4"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auto"/>
                <w:spacing w:val="0"/>
                <w:position w:val="0"/>
                <w:sz w:val="32"/>
                <w:shd w:val="clear" w:fill="auto"/>
              </w:rPr>
              <w:t xml:space="preserve">                           </w:t>
            </w:r>
            <w:r>
              <w:rPr>
                <w:rFonts w:ascii="宋体" w:hAnsi="宋体" w:eastAsia="宋体" w:cs="宋体"/>
                <w:color w:val="auto"/>
                <w:spacing w:val="0"/>
                <w:position w:val="0"/>
                <w:sz w:val="28"/>
                <w:shd w:val="clear" w:fill="auto"/>
              </w:rPr>
              <w:t>截止时间：</w:t>
            </w:r>
            <w:r>
              <w:rPr>
                <w:rFonts w:ascii="??_GB2312" w:hAnsi="??_GB2312" w:eastAsia="??_GB2312" w:cs="??_GB2312"/>
                <w:color w:val="FF0000"/>
                <w:spacing w:val="0"/>
                <w:position w:val="0"/>
                <w:sz w:val="28"/>
                <w:shd w:val="clear" w:fill="auto"/>
              </w:rPr>
              <w:t>2021</w:t>
            </w:r>
            <w:r>
              <w:rPr>
                <w:rFonts w:ascii="宋体" w:hAnsi="宋体" w:eastAsia="宋体" w:cs="宋体"/>
                <w:color w:val="FF0000"/>
                <w:spacing w:val="0"/>
                <w:position w:val="0"/>
                <w:sz w:val="28"/>
                <w:shd w:val="clear" w:fill="auto"/>
              </w:rPr>
              <w:t>年</w:t>
            </w:r>
            <w:r>
              <w:rPr>
                <w:rFonts w:ascii="??_GB2312" w:hAnsi="??_GB2312" w:eastAsia="??_GB2312" w:cs="??_GB2312"/>
                <w:color w:val="FF0000"/>
                <w:spacing w:val="0"/>
                <w:position w:val="0"/>
                <w:sz w:val="28"/>
                <w:shd w:val="clear" w:fill="auto"/>
              </w:rPr>
              <w:t>12</w:t>
            </w:r>
            <w:r>
              <w:rPr>
                <w:rFonts w:ascii="宋体" w:hAnsi="宋体" w:eastAsia="宋体" w:cs="宋体"/>
                <w:color w:val="FF0000"/>
                <w:spacing w:val="0"/>
                <w:position w:val="0"/>
                <w:sz w:val="28"/>
                <w:shd w:val="clear" w:fill="auto"/>
              </w:rPr>
              <w:t>月</w:t>
            </w:r>
            <w:r>
              <w:rPr>
                <w:rFonts w:ascii="??_GB2312" w:hAnsi="??_GB2312" w:eastAsia="??_GB2312" w:cs="??_GB2312"/>
                <w:color w:val="FF0000"/>
                <w:spacing w:val="0"/>
                <w:position w:val="0"/>
                <w:sz w:val="28"/>
                <w:shd w:val="clear" w:fill="auto"/>
              </w:rPr>
              <w:t>31</w:t>
            </w:r>
            <w:r>
              <w:rPr>
                <w:rFonts w:ascii="宋体" w:hAnsi="宋体" w:eastAsia="宋体" w:cs="宋体"/>
                <w:color w:val="FF0000"/>
                <w:spacing w:val="0"/>
                <w:position w:val="0"/>
                <w:sz w:val="28"/>
                <w:shd w:val="clear" w:fill="auto"/>
              </w:rPr>
              <w:t>日</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　　目</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数量</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价值（单位：万元）</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固定资产总额</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1</w:t>
            </w:r>
            <w:r>
              <w:rPr>
                <w:rFonts w:ascii="宋体" w:hAnsi="宋体" w:eastAsia="宋体" w:cs="宋体"/>
                <w:color w:val="auto"/>
                <w:spacing w:val="0"/>
                <w:position w:val="0"/>
                <w:sz w:val="24"/>
                <w:shd w:val="clear" w:fill="auto"/>
              </w:rPr>
              <w:t>、房屋（平方米）</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其中：办公用房（平方米）</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2</w:t>
            </w:r>
            <w:r>
              <w:rPr>
                <w:rFonts w:ascii="宋体" w:hAnsi="宋体" w:eastAsia="宋体" w:cs="宋体"/>
                <w:color w:val="auto"/>
                <w:spacing w:val="0"/>
                <w:position w:val="0"/>
                <w:sz w:val="24"/>
                <w:shd w:val="clear" w:fill="auto"/>
              </w:rPr>
              <w:t>、车辆（台、辆）</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3</w:t>
            </w:r>
            <w:r>
              <w:rPr>
                <w:rFonts w:ascii="宋体" w:hAnsi="宋体" w:eastAsia="宋体" w:cs="宋体"/>
                <w:color w:val="auto"/>
                <w:spacing w:val="0"/>
                <w:position w:val="0"/>
                <w:sz w:val="24"/>
                <w:shd w:val="clear" w:fill="auto"/>
              </w:rPr>
              <w:t>、单价在</w:t>
            </w:r>
            <w:r>
              <w:rPr>
                <w:rFonts w:ascii="??_GB2312" w:hAnsi="??_GB2312" w:eastAsia="??_GB2312" w:cs="??_GB2312"/>
                <w:color w:val="auto"/>
                <w:spacing w:val="0"/>
                <w:position w:val="0"/>
                <w:sz w:val="24"/>
                <w:shd w:val="clear" w:fill="auto"/>
              </w:rPr>
              <w:t>50</w:t>
            </w:r>
            <w:r>
              <w:rPr>
                <w:rFonts w:ascii="宋体" w:hAnsi="宋体" w:eastAsia="宋体" w:cs="宋体"/>
                <w:color w:val="auto"/>
                <w:spacing w:val="0"/>
                <w:position w:val="0"/>
                <w:sz w:val="24"/>
                <w:shd w:val="clear" w:fill="auto"/>
              </w:rPr>
              <w:t>万元以上的设备</w:t>
            </w:r>
            <w:r>
              <w:rPr>
                <w:rFonts w:ascii="??_GB2312" w:hAnsi="??_GB2312" w:eastAsia="??_GB2312" w:cs="??_GB2312"/>
                <w:color w:val="auto"/>
                <w:spacing w:val="0"/>
                <w:position w:val="0"/>
                <w:sz w:val="24"/>
                <w:shd w:val="clear" w:fill="auto"/>
              </w:rPr>
              <w:t>(</w:t>
            </w:r>
            <w:r>
              <w:rPr>
                <w:rFonts w:ascii="宋体" w:hAnsi="宋体" w:eastAsia="宋体" w:cs="宋体"/>
                <w:color w:val="auto"/>
                <w:spacing w:val="0"/>
                <w:position w:val="0"/>
                <w:sz w:val="24"/>
                <w:shd w:val="clear" w:fill="auto"/>
              </w:rPr>
              <w:t>台、套</w:t>
            </w:r>
            <w:r>
              <w:rPr>
                <w:rFonts w:ascii="??_GB2312" w:hAnsi="??_GB2312" w:eastAsia="??_GB2312" w:cs="??_GB2312"/>
                <w:color w:val="auto"/>
                <w:spacing w:val="0"/>
                <w:position w:val="0"/>
                <w:sz w:val="24"/>
                <w:shd w:val="clear" w:fill="auto"/>
              </w:rPr>
              <w:t>)</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其中：单价</w:t>
            </w:r>
            <w:r>
              <w:rPr>
                <w:rFonts w:ascii="??_GB2312" w:hAnsi="??_GB2312" w:eastAsia="??_GB2312" w:cs="??_GB2312"/>
                <w:color w:val="auto"/>
                <w:spacing w:val="0"/>
                <w:position w:val="0"/>
                <w:sz w:val="24"/>
                <w:shd w:val="clear" w:fill="auto"/>
              </w:rPr>
              <w:t>50</w:t>
            </w:r>
            <w:r>
              <w:rPr>
                <w:rFonts w:ascii="宋体" w:hAnsi="宋体" w:eastAsia="宋体" w:cs="宋体"/>
                <w:color w:val="auto"/>
                <w:spacing w:val="0"/>
                <w:position w:val="0"/>
                <w:sz w:val="24"/>
                <w:shd w:val="clear" w:fill="auto"/>
              </w:rPr>
              <w:t>万元（含）以上的通用设备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单价</w:t>
            </w:r>
            <w:r>
              <w:rPr>
                <w:rFonts w:ascii="??_GB2312" w:hAnsi="??_GB2312" w:eastAsia="??_GB2312" w:cs="??_GB2312"/>
                <w:color w:val="auto"/>
                <w:spacing w:val="0"/>
                <w:position w:val="0"/>
                <w:sz w:val="24"/>
                <w:shd w:val="clear" w:fill="auto"/>
              </w:rPr>
              <w:t>100</w:t>
            </w:r>
            <w:r>
              <w:rPr>
                <w:rFonts w:ascii="宋体" w:hAnsi="宋体" w:eastAsia="宋体" w:cs="宋体"/>
                <w:color w:val="auto"/>
                <w:spacing w:val="0"/>
                <w:position w:val="0"/>
                <w:sz w:val="24"/>
                <w:shd w:val="clear" w:fill="auto"/>
              </w:rPr>
              <w:t>万元（含）以上的专用设备</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4</w:t>
            </w:r>
            <w:r>
              <w:rPr>
                <w:rFonts w:ascii="宋体" w:hAnsi="宋体" w:eastAsia="宋体" w:cs="宋体"/>
                <w:color w:val="auto"/>
                <w:spacing w:val="0"/>
                <w:position w:val="0"/>
                <w:sz w:val="24"/>
                <w:shd w:val="clear" w:fill="auto"/>
              </w:rPr>
              <w:t>、其他固定资产</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bl>
    <w:p>
      <w:pPr>
        <w:spacing w:before="0" w:after="0" w:line="360" w:lineRule="auto"/>
        <w:ind w:left="0" w:right="0" w:firstLine="0"/>
        <w:jc w:val="both"/>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第八部分：名词解释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1、一般公共预算财政拨款收入：指区级财政当年拨付的资金。</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2、其他收入：指除上述“财政拨款收入”、“事业收入”等以外的收入。</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3、基本支出：指为保障机构正常运转、完成日常工作任务而发生的人员支出和公用支出。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4、项目支出：指在基本支出之外为完成特定行政任务和事业发展目标所发生的支出。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after="0" w:line="360" w:lineRule="auto"/>
        <w:ind w:left="0" w:right="0" w:firstLine="0"/>
        <w:jc w:val="center"/>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第九部分：其他需说明的事项</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我单位无其他需说明的事项。</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_GBK">
    <w:altName w:val="Segoe Print"/>
    <w:panose1 w:val="00000000000000000000"/>
    <w:charset w:val="00"/>
    <w:family w:val="auto"/>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_GBK">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68CB"/>
    <w:rsid w:val="06ED2F15"/>
    <w:rsid w:val="0B3F0FFC"/>
    <w:rsid w:val="231B36C9"/>
    <w:rsid w:val="272A338F"/>
    <w:rsid w:val="2F7D00EE"/>
    <w:rsid w:val="410F7639"/>
    <w:rsid w:val="55265FD1"/>
    <w:rsid w:val="57D65ADF"/>
    <w:rsid w:val="59223A53"/>
    <w:rsid w:val="77C805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Office_11.8.2.12014_F1E327BC-269C-435d-A152-05C5408002CA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2022-08-08T02:12:00Z</dcterms:created>
  <dc:creator>Administrator</dc:creator>
  <cp:lastModifiedBy>FuShanOffice1</cp:lastModifiedBy>
  <dcterms:modified xsi:type="dcterms:W3CDTF">2024-08-07T09:08:47Z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D4C86BA13B94453F99099057336B18ED</vt:lpwstr>
  </property>
</Properties>
</file>