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p>
    <w:p>
      <w:pPr>
        <w:spacing w:line="360" w:lineRule="auto"/>
        <w:jc w:val="center"/>
        <w:rPr>
          <w:rFonts w:ascii="宋体" w:hAnsi="宋体" w:eastAsia="宋体"/>
          <w:b/>
          <w:sz w:val="44"/>
          <w:szCs w:val="44"/>
        </w:rPr>
      </w:pPr>
      <w:r>
        <w:rPr>
          <w:rFonts w:hint="eastAsia" w:ascii="宋体" w:hAnsi="宋体" w:eastAsia="宋体"/>
          <w:b/>
          <w:sz w:val="44"/>
          <w:szCs w:val="44"/>
        </w:rPr>
        <w:t>保定市徐水区高</w:t>
      </w:r>
      <w:r>
        <w:rPr>
          <w:rFonts w:ascii="宋体" w:hAnsi="宋体" w:eastAsia="宋体"/>
          <w:b/>
          <w:sz w:val="44"/>
          <w:szCs w:val="44"/>
        </w:rPr>
        <w:t>林村镇人民政府</w:t>
      </w:r>
    </w:p>
    <w:p>
      <w:pPr>
        <w:spacing w:line="360" w:lineRule="auto"/>
        <w:jc w:val="center"/>
        <w:rPr>
          <w:rFonts w:ascii="宋体" w:hAnsi="宋体" w:eastAsia="宋体"/>
          <w:b/>
          <w:sz w:val="44"/>
          <w:szCs w:val="44"/>
        </w:rPr>
      </w:pPr>
      <w:r>
        <w:rPr>
          <w:rFonts w:ascii="宋体" w:hAnsi="宋体" w:eastAsia="宋体"/>
          <w:b/>
          <w:sz w:val="44"/>
          <w:szCs w:val="44"/>
        </w:rPr>
        <w:t>2021年部门预算公开说明</w:t>
      </w:r>
    </w:p>
    <w:p>
      <w:pPr>
        <w:tabs>
          <w:tab w:val="left" w:pos="5274"/>
        </w:tabs>
        <w:spacing w:line="360" w:lineRule="auto"/>
        <w:rPr>
          <w:rFonts w:ascii="仿宋" w:hAnsi="仿宋" w:eastAsia="仿宋"/>
          <w:sz w:val="32"/>
          <w:szCs w:val="32"/>
        </w:rPr>
      </w:pPr>
      <w:r>
        <w:rPr>
          <w:rFonts w:ascii="仿宋" w:hAnsi="仿宋" w:eastAsia="仿宋"/>
          <w:sz w:val="32"/>
          <w:szCs w:val="32"/>
        </w:rPr>
        <w:tab/>
      </w:r>
    </w:p>
    <w:p>
      <w:pPr>
        <w:spacing w:line="360" w:lineRule="auto"/>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w:t>
      </w:r>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rPr>
          <w:rFonts w:ascii="仿宋" w:hAnsi="仿宋" w:eastAsia="仿宋"/>
          <w:b/>
          <w:sz w:val="32"/>
          <w:szCs w:val="32"/>
        </w:rPr>
      </w:pPr>
      <w:r>
        <w:rPr>
          <w:rFonts w:hint="eastAsia" w:ascii="仿宋" w:hAnsi="仿宋" w:eastAsia="仿宋"/>
          <w:b/>
          <w:sz w:val="32"/>
          <w:szCs w:val="32"/>
        </w:rPr>
        <w:t>一、部门职责</w:t>
      </w:r>
    </w:p>
    <w:p>
      <w:pPr>
        <w:spacing w:line="500" w:lineRule="exact"/>
        <w:jc w:val="left"/>
        <w:rPr>
          <w:rFonts w:ascii="仿宋" w:hAnsi="仿宋" w:eastAsia="仿宋"/>
          <w:sz w:val="32"/>
          <w:szCs w:val="32"/>
        </w:rPr>
      </w:pPr>
      <w:r>
        <w:rPr>
          <w:rFonts w:ascii="仿宋" w:hAnsi="仿宋" w:eastAsia="仿宋"/>
          <w:sz w:val="32"/>
          <w:szCs w:val="32"/>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spacing w:line="500" w:lineRule="exact"/>
        <w:jc w:val="left"/>
        <w:rPr>
          <w:rFonts w:ascii="仿宋" w:hAnsi="仿宋" w:eastAsia="仿宋"/>
          <w:sz w:val="32"/>
          <w:szCs w:val="32"/>
        </w:rPr>
      </w:pPr>
      <w:r>
        <w:rPr>
          <w:rFonts w:ascii="仿宋" w:hAnsi="仿宋" w:eastAsia="仿宋"/>
          <w:sz w:val="32"/>
          <w:szCs w:val="32"/>
        </w:rPr>
        <w:t>（二）加强党对基层治理的全面领导，统筹抓好基层党建工作和基层党组织各项制度建设。推进全面从严治党，强化“两个责任”，确保党的路线方针政策在基层得到全面贯彻落实。</w:t>
      </w:r>
    </w:p>
    <w:p>
      <w:pPr>
        <w:spacing w:line="500" w:lineRule="exact"/>
        <w:jc w:val="left"/>
        <w:rPr>
          <w:rFonts w:ascii="仿宋" w:hAnsi="仿宋" w:eastAsia="仿宋"/>
          <w:sz w:val="32"/>
          <w:szCs w:val="32"/>
        </w:rPr>
      </w:pPr>
      <w:r>
        <w:rPr>
          <w:rFonts w:ascii="仿宋" w:hAnsi="仿宋" w:eastAsia="仿宋"/>
          <w:sz w:val="32"/>
          <w:szCs w:val="32"/>
        </w:rPr>
        <w:t>（三）讨论和决定本乡镇经济建设、政治建设、文化建设、社会建设、生态文明建设和党的建设以及乡村振兴中的重大问题。</w:t>
      </w:r>
    </w:p>
    <w:p>
      <w:pPr>
        <w:spacing w:line="500" w:lineRule="exact"/>
        <w:jc w:val="left"/>
        <w:rPr>
          <w:rFonts w:ascii="仿宋" w:hAnsi="仿宋" w:eastAsia="仿宋"/>
          <w:sz w:val="32"/>
          <w:szCs w:val="32"/>
        </w:rPr>
      </w:pPr>
      <w:r>
        <w:rPr>
          <w:rFonts w:ascii="仿宋" w:hAnsi="仿宋" w:eastAsia="仿宋"/>
          <w:sz w:val="32"/>
          <w:szCs w:val="32"/>
        </w:rPr>
        <w:t>（四）组织召开本级人民代表大会，充分行使重大事项决定权、监督权和任免权，做好人大代表工作，联系选民、反映群众意见和要求。</w:t>
      </w:r>
    </w:p>
    <w:p>
      <w:pPr>
        <w:spacing w:line="500" w:lineRule="exact"/>
        <w:jc w:val="left"/>
        <w:rPr>
          <w:rFonts w:ascii="仿宋" w:hAnsi="仿宋" w:eastAsia="仿宋"/>
          <w:sz w:val="32"/>
          <w:szCs w:val="32"/>
        </w:rPr>
      </w:pPr>
      <w:r>
        <w:rPr>
          <w:rFonts w:ascii="仿宋" w:hAnsi="仿宋" w:eastAsia="仿宋"/>
          <w:sz w:val="32"/>
          <w:szCs w:val="32"/>
        </w:rPr>
        <w:t>（五）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pPr>
        <w:spacing w:line="500" w:lineRule="exact"/>
        <w:jc w:val="left"/>
        <w:rPr>
          <w:rFonts w:ascii="仿宋" w:hAnsi="仿宋" w:eastAsia="仿宋"/>
          <w:sz w:val="32"/>
          <w:szCs w:val="32"/>
        </w:rPr>
      </w:pPr>
      <w:r>
        <w:rPr>
          <w:rFonts w:ascii="仿宋" w:hAnsi="仿宋" w:eastAsia="仿宋"/>
          <w:sz w:val="32"/>
          <w:szCs w:val="32"/>
        </w:rP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spacing w:line="500" w:lineRule="exact"/>
        <w:jc w:val="left"/>
        <w:rPr>
          <w:rFonts w:ascii="仿宋" w:hAnsi="仿宋" w:eastAsia="仿宋"/>
          <w:sz w:val="32"/>
          <w:szCs w:val="32"/>
        </w:rPr>
      </w:pPr>
      <w:r>
        <w:rPr>
          <w:rFonts w:ascii="仿宋" w:hAnsi="仿宋" w:eastAsia="仿宋"/>
          <w:sz w:val="32"/>
          <w:szCs w:val="32"/>
        </w:rPr>
        <w:t>（七）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spacing w:line="500" w:lineRule="exact"/>
        <w:jc w:val="left"/>
        <w:rPr>
          <w:rFonts w:ascii="仿宋" w:hAnsi="仿宋" w:eastAsia="仿宋"/>
          <w:sz w:val="32"/>
          <w:szCs w:val="32"/>
        </w:rPr>
      </w:pPr>
      <w:r>
        <w:rPr>
          <w:rFonts w:ascii="仿宋" w:hAnsi="仿宋" w:eastAsia="仿宋"/>
          <w:sz w:val="32"/>
          <w:szCs w:val="32"/>
        </w:rPr>
        <w:t>（八）加强乡镇党委自身建设和村党组织建设，以及其他录属乡镇党委的党组织建设，抓好发展党员工作，加强党员队伍建设。维护和执行党的纪律，监督党员干部和其他任何工作人员严格遵守国家法律法规。</w:t>
      </w:r>
    </w:p>
    <w:p>
      <w:pPr>
        <w:spacing w:line="500" w:lineRule="exact"/>
        <w:jc w:val="left"/>
        <w:rPr>
          <w:rFonts w:ascii="仿宋" w:hAnsi="仿宋" w:eastAsia="仿宋"/>
          <w:sz w:val="32"/>
          <w:szCs w:val="32"/>
        </w:rPr>
      </w:pPr>
      <w:r>
        <w:rPr>
          <w:rFonts w:ascii="仿宋" w:hAnsi="仿宋" w:eastAsia="仿宋"/>
          <w:sz w:val="32"/>
          <w:szCs w:val="32"/>
        </w:rPr>
        <w:t>（九）按照干部管理权限，负责对干部的教育、培训、选拔、考核和监督工作。协助管理上级有关部门驻乡镇单位的干部。做好人才服务工作。</w:t>
      </w:r>
    </w:p>
    <w:p>
      <w:pPr>
        <w:spacing w:line="500" w:lineRule="exact"/>
        <w:jc w:val="left"/>
        <w:rPr>
          <w:rFonts w:ascii="仿宋" w:hAnsi="仿宋" w:eastAsia="仿宋"/>
          <w:sz w:val="32"/>
          <w:szCs w:val="32"/>
        </w:rPr>
      </w:pPr>
      <w:r>
        <w:rPr>
          <w:rFonts w:ascii="仿宋" w:hAnsi="仿宋" w:eastAsia="仿宋"/>
          <w:sz w:val="32"/>
          <w:szCs w:val="32"/>
        </w:rP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spacing w:line="500" w:lineRule="exact"/>
        <w:jc w:val="left"/>
        <w:rPr>
          <w:rFonts w:ascii="仿宋" w:hAnsi="仿宋" w:eastAsia="仿宋"/>
          <w:sz w:val="32"/>
          <w:szCs w:val="32"/>
        </w:rPr>
      </w:pPr>
      <w:r>
        <w:rPr>
          <w:rFonts w:ascii="仿宋" w:hAnsi="仿宋" w:eastAsia="仿宋"/>
          <w:sz w:val="32"/>
          <w:szCs w:val="32"/>
        </w:rPr>
        <w:t>（十一）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line="500" w:lineRule="exact"/>
        <w:jc w:val="left"/>
        <w:rPr>
          <w:rFonts w:ascii="仿宋" w:hAnsi="仿宋" w:eastAsia="仿宋"/>
          <w:b/>
          <w:sz w:val="32"/>
          <w:szCs w:val="32"/>
        </w:rPr>
      </w:pPr>
      <w:r>
        <w:rPr>
          <w:rFonts w:ascii="仿宋" w:hAnsi="仿宋" w:eastAsia="仿宋"/>
          <w:sz w:val="32"/>
          <w:szCs w:val="32"/>
        </w:rPr>
        <w:t>（十二）承办上级党委、人大、政府交办的其他事项</w:t>
      </w:r>
      <w:r>
        <w:rPr>
          <w:rFonts w:ascii="仿宋" w:hAnsi="仿宋" w:eastAsia="仿宋"/>
          <w:b/>
          <w:sz w:val="32"/>
          <w:szCs w:val="32"/>
        </w:rPr>
        <w:t>。</w:t>
      </w:r>
    </w:p>
    <w:p>
      <w:pPr>
        <w:spacing w:line="360" w:lineRule="auto"/>
        <w:rPr>
          <w:rFonts w:ascii="仿宋" w:hAnsi="仿宋" w:eastAsia="仿宋"/>
          <w:b/>
          <w:sz w:val="32"/>
          <w:szCs w:val="32"/>
        </w:rPr>
      </w:pPr>
      <w:r>
        <w:rPr>
          <w:rFonts w:hint="eastAsia" w:ascii="仿宋" w:hAnsi="仿宋" w:eastAsia="仿宋"/>
          <w:b/>
          <w:sz w:val="32"/>
          <w:szCs w:val="32"/>
        </w:rPr>
        <w:t>二、机构设置</w:t>
      </w:r>
    </w:p>
    <w:tbl>
      <w:tblPr>
        <w:tblStyle w:val="7"/>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高</w:t>
            </w:r>
            <w:r>
              <w:rPr>
                <w:rFonts w:ascii="仿宋_GB2312" w:hAnsi="仿宋" w:eastAsia="仿宋_GB2312"/>
                <w:bCs/>
                <w:sz w:val="24"/>
                <w:szCs w:val="24"/>
              </w:rPr>
              <w:t>林村镇（</w:t>
            </w:r>
            <w:r>
              <w:rPr>
                <w:rFonts w:hint="eastAsia" w:ascii="仿宋_GB2312" w:hAnsi="仿宋" w:eastAsia="仿宋_GB2312"/>
                <w:bCs/>
                <w:sz w:val="24"/>
                <w:szCs w:val="24"/>
              </w:rPr>
              <w:t>行</w:t>
            </w:r>
            <w:r>
              <w:rPr>
                <w:rFonts w:ascii="仿宋_GB2312" w:hAnsi="仿宋" w:eastAsia="仿宋_GB2312"/>
                <w:bCs/>
                <w:sz w:val="24"/>
                <w:szCs w:val="24"/>
              </w:rPr>
              <w:t>政）</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w:t>
            </w:r>
            <w:r>
              <w:rPr>
                <w:rFonts w:ascii="仿宋_GB2312" w:hAnsi="仿宋" w:eastAsia="仿宋_GB2312"/>
                <w:bCs/>
                <w:sz w:val="24"/>
                <w:szCs w:val="24"/>
              </w:rPr>
              <w:t>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高</w:t>
            </w:r>
            <w:r>
              <w:rPr>
                <w:rFonts w:ascii="仿宋_GB2312" w:hAnsi="仿宋" w:eastAsia="仿宋_GB2312"/>
                <w:bCs/>
                <w:sz w:val="24"/>
                <w:szCs w:val="24"/>
              </w:rPr>
              <w:t>林村镇（</w:t>
            </w:r>
            <w:r>
              <w:rPr>
                <w:rFonts w:hint="eastAsia" w:ascii="仿宋_GB2312" w:hAnsi="仿宋" w:eastAsia="仿宋_GB2312"/>
                <w:bCs/>
                <w:sz w:val="24"/>
                <w:szCs w:val="24"/>
              </w:rPr>
              <w:t>事</w:t>
            </w:r>
            <w:r>
              <w:rPr>
                <w:rFonts w:ascii="仿宋_GB2312" w:hAnsi="仿宋" w:eastAsia="仿宋_GB2312"/>
                <w:bCs/>
                <w:sz w:val="24"/>
                <w:szCs w:val="24"/>
              </w:rPr>
              <w:t>业）</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w:t>
            </w:r>
            <w:r>
              <w:rPr>
                <w:rFonts w:ascii="仿宋_GB2312" w:hAnsi="仿宋" w:eastAsia="仿宋_GB2312"/>
                <w:bCs/>
                <w:sz w:val="24"/>
                <w:szCs w:val="24"/>
              </w:rPr>
              <w:t>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w:t>
            </w:r>
            <w:r>
              <w:rPr>
                <w:rFonts w:ascii="仿宋_GB2312" w:hAnsi="仿宋" w:eastAsia="仿宋_GB2312"/>
                <w:bCs/>
                <w:sz w:val="24"/>
                <w:szCs w:val="24"/>
              </w:rPr>
              <w:t>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rPr>
          <w:rFonts w:ascii="仿宋" w:hAnsi="仿宋" w:eastAsia="仿宋"/>
          <w:b/>
          <w:sz w:val="32"/>
          <w:szCs w:val="32"/>
        </w:rPr>
      </w:pPr>
      <w:r>
        <w:rPr>
          <w:rFonts w:hint="eastAsia" w:ascii="仿宋" w:hAnsi="仿宋" w:eastAsia="仿宋"/>
          <w:b/>
          <w:sz w:val="32"/>
          <w:szCs w:val="32"/>
        </w:rPr>
        <w:t>一、收入说明</w:t>
      </w:r>
    </w:p>
    <w:p>
      <w:pPr>
        <w:spacing w:line="360" w:lineRule="auto"/>
        <w:rPr>
          <w:rFonts w:ascii="仿宋" w:hAnsi="仿宋" w:eastAsia="仿宋"/>
          <w:sz w:val="32"/>
          <w:szCs w:val="32"/>
        </w:rPr>
      </w:pPr>
      <w:r>
        <w:rPr>
          <w:rFonts w:ascii="仿宋" w:hAnsi="仿宋" w:eastAsia="仿宋"/>
          <w:sz w:val="32"/>
          <w:szCs w:val="32"/>
        </w:rPr>
        <w:t>2021年预算收入为2256.58万元,其中：一般公共预算收入2253.41万元，基金预算收入3.17万元，财政专户收入0万元，其他来源收入0万元。</w:t>
      </w:r>
    </w:p>
    <w:p>
      <w:pPr>
        <w:spacing w:line="360" w:lineRule="auto"/>
        <w:rPr>
          <w:rFonts w:ascii="仿宋" w:hAnsi="仿宋" w:eastAsia="仿宋"/>
          <w:b/>
          <w:sz w:val="32"/>
          <w:szCs w:val="32"/>
        </w:rPr>
      </w:pPr>
      <w:r>
        <w:rPr>
          <w:rFonts w:hint="eastAsia" w:ascii="仿宋" w:hAnsi="仿宋" w:eastAsia="仿宋"/>
          <w:b/>
          <w:sz w:val="32"/>
          <w:szCs w:val="32"/>
        </w:rPr>
        <w:t>二、支出说明</w:t>
      </w:r>
    </w:p>
    <w:p>
      <w:pPr>
        <w:spacing w:line="360" w:lineRule="auto"/>
        <w:rPr>
          <w:rFonts w:ascii="仿宋" w:hAnsi="仿宋" w:eastAsia="仿宋"/>
          <w:sz w:val="32"/>
          <w:szCs w:val="32"/>
        </w:rPr>
      </w:pPr>
      <w:r>
        <w:rPr>
          <w:rFonts w:ascii="仿宋" w:hAnsi="仿宋" w:eastAsia="仿宋"/>
          <w:sz w:val="32"/>
          <w:szCs w:val="32"/>
        </w:rPr>
        <w:t>2021年部门支出预算：2256.58万元</w:t>
      </w:r>
    </w:p>
    <w:p>
      <w:pPr>
        <w:spacing w:line="360" w:lineRule="auto"/>
        <w:rPr>
          <w:rFonts w:ascii="仿宋" w:hAnsi="仿宋" w:eastAsia="仿宋"/>
          <w:sz w:val="32"/>
          <w:szCs w:val="32"/>
        </w:rPr>
      </w:pPr>
      <w:r>
        <w:rPr>
          <w:rFonts w:hint="eastAsia" w:ascii="仿宋" w:hAnsi="仿宋" w:eastAsia="仿宋"/>
          <w:sz w:val="32"/>
          <w:szCs w:val="32"/>
        </w:rPr>
        <w:t>基本支出1461.06万元</w:t>
      </w:r>
    </w:p>
    <w:p>
      <w:pPr>
        <w:spacing w:line="360" w:lineRule="auto"/>
        <w:rPr>
          <w:rFonts w:ascii="仿宋" w:hAnsi="仿宋" w:eastAsia="仿宋"/>
          <w:sz w:val="32"/>
          <w:szCs w:val="32"/>
        </w:rPr>
      </w:pPr>
      <w:r>
        <w:rPr>
          <w:rFonts w:ascii="仿宋" w:hAnsi="仿宋" w:eastAsia="仿宋"/>
          <w:sz w:val="32"/>
          <w:szCs w:val="32"/>
        </w:rPr>
        <w:t xml:space="preserve">    其中：人员经费1348.93万元</w:t>
      </w:r>
    </w:p>
    <w:p>
      <w:pPr>
        <w:spacing w:line="360" w:lineRule="auto"/>
        <w:rPr>
          <w:rFonts w:ascii="仿宋" w:hAnsi="仿宋" w:eastAsia="仿宋"/>
          <w:sz w:val="32"/>
          <w:szCs w:val="32"/>
        </w:rPr>
      </w:pPr>
      <w:r>
        <w:rPr>
          <w:rFonts w:ascii="仿宋" w:hAnsi="仿宋" w:eastAsia="仿宋"/>
          <w:sz w:val="32"/>
          <w:szCs w:val="32"/>
        </w:rPr>
        <w:t xml:space="preserve">          日常公用经费112.13万元</w:t>
      </w:r>
    </w:p>
    <w:p>
      <w:pPr>
        <w:spacing w:line="360" w:lineRule="auto"/>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795.52万元</w:t>
      </w:r>
    </w:p>
    <w:p>
      <w:pPr>
        <w:spacing w:line="360" w:lineRule="auto"/>
        <w:rPr>
          <w:rFonts w:ascii="仿宋" w:hAnsi="仿宋" w:eastAsia="仿宋"/>
          <w:sz w:val="32"/>
          <w:szCs w:val="32"/>
        </w:rPr>
      </w:pPr>
      <w:r>
        <w:rPr>
          <w:rFonts w:ascii="仿宋" w:hAnsi="仿宋" w:eastAsia="仿宋"/>
          <w:sz w:val="32"/>
          <w:szCs w:val="32"/>
        </w:rPr>
        <w:t xml:space="preserve">    其中：本级支出795.52万元</w:t>
      </w:r>
    </w:p>
    <w:p>
      <w:pPr>
        <w:spacing w:line="360" w:lineRule="auto"/>
        <w:rPr>
          <w:rFonts w:ascii="仿宋" w:hAnsi="仿宋" w:eastAsia="仿宋"/>
          <w:b/>
          <w:sz w:val="32"/>
          <w:szCs w:val="32"/>
        </w:rPr>
      </w:pPr>
      <w:r>
        <w:rPr>
          <w:rFonts w:hint="eastAsia" w:ascii="仿宋" w:hAnsi="仿宋" w:eastAsia="仿宋"/>
          <w:b/>
          <w:sz w:val="32"/>
          <w:szCs w:val="32"/>
        </w:rPr>
        <w:t>三、比上年增减情况</w:t>
      </w:r>
    </w:p>
    <w:p>
      <w:pPr>
        <w:spacing w:line="360" w:lineRule="auto"/>
        <w:rPr>
          <w:rFonts w:ascii="仿宋" w:hAnsi="仿宋" w:eastAsia="仿宋"/>
          <w:sz w:val="32"/>
          <w:szCs w:val="32"/>
        </w:rPr>
      </w:pPr>
      <w:r>
        <w:rPr>
          <w:rFonts w:hint="eastAsia" w:ascii="仿宋" w:hAnsi="仿宋" w:eastAsia="仿宋"/>
          <w:sz w:val="32"/>
          <w:szCs w:val="32"/>
        </w:rPr>
        <w:t>本年度预算收支安排2256.58万元，较上年</w:t>
      </w:r>
      <w:r>
        <w:rPr>
          <w:rFonts w:ascii="仿宋" w:hAnsi="仿宋" w:eastAsia="仿宋"/>
          <w:sz w:val="32"/>
          <w:szCs w:val="32"/>
        </w:rPr>
        <w:t>减少78.06万元。其中:基本支出减少20.29万元，主要原因是</w:t>
      </w:r>
      <w:r>
        <w:rPr>
          <w:rFonts w:hint="eastAsia" w:ascii="仿宋" w:hAnsi="仿宋" w:eastAsia="仿宋"/>
          <w:sz w:val="32"/>
          <w:szCs w:val="32"/>
        </w:rPr>
        <w:t>人员、</w:t>
      </w:r>
      <w:r>
        <w:rPr>
          <w:rFonts w:ascii="仿宋" w:hAnsi="仿宋" w:eastAsia="仿宋"/>
          <w:sz w:val="32"/>
          <w:szCs w:val="32"/>
        </w:rPr>
        <w:t>日常公用经费减少；项目支出减少57.77万元，主要原因是</w:t>
      </w:r>
      <w:r>
        <w:rPr>
          <w:rFonts w:hint="eastAsia" w:ascii="仿宋" w:hAnsi="仿宋" w:eastAsia="仿宋"/>
          <w:sz w:val="32"/>
          <w:szCs w:val="32"/>
        </w:rPr>
        <w:t>扶</w:t>
      </w:r>
      <w:r>
        <w:rPr>
          <w:rFonts w:ascii="仿宋" w:hAnsi="仿宋" w:eastAsia="仿宋"/>
          <w:sz w:val="32"/>
          <w:szCs w:val="32"/>
        </w:rPr>
        <w:t>贫类项目支出减少。</w:t>
      </w: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rPr>
          <w:rFonts w:ascii="仿宋" w:hAnsi="仿宋" w:eastAsia="仿宋"/>
          <w:b/>
          <w:sz w:val="32"/>
          <w:szCs w:val="32"/>
        </w:rPr>
      </w:pPr>
      <w:r>
        <w:rPr>
          <w:rFonts w:ascii="仿宋" w:hAnsi="仿宋" w:eastAsia="仿宋"/>
          <w:sz w:val="32"/>
          <w:szCs w:val="32"/>
        </w:rPr>
        <w:t>2021年我部门机关运行经费安排112.13万元，其中办公费37.44万元，邮电费14.28万元，工会经费、福利费</w:t>
      </w:r>
      <w:r>
        <w:rPr>
          <w:rFonts w:hint="eastAsia" w:ascii="仿宋" w:hAnsi="仿宋" w:eastAsia="仿宋"/>
          <w:sz w:val="32"/>
          <w:szCs w:val="32"/>
        </w:rPr>
        <w:t>22.83</w:t>
      </w:r>
      <w:r>
        <w:rPr>
          <w:rFonts w:ascii="仿宋" w:hAnsi="仿宋" w:eastAsia="仿宋"/>
          <w:sz w:val="32"/>
          <w:szCs w:val="32"/>
        </w:rPr>
        <w:t>万元，公务用车运行维护费</w:t>
      </w:r>
      <w:r>
        <w:rPr>
          <w:rFonts w:hint="eastAsia" w:ascii="仿宋" w:hAnsi="仿宋" w:eastAsia="仿宋"/>
          <w:sz w:val="32"/>
          <w:szCs w:val="32"/>
        </w:rPr>
        <w:t>10.8</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其他支出26.78万元。</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7"/>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7"/>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w:t>
                  </w:r>
                  <w:r>
                    <w:rPr>
                      <w:rFonts w:ascii="仿宋_GB2312" w:hAnsi="宋体" w:eastAsia="仿宋_GB2312" w:cs="宋体"/>
                      <w:kern w:val="0"/>
                      <w:sz w:val="24"/>
                      <w:szCs w:val="24"/>
                    </w:rPr>
                    <w:t>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w:t>
                  </w:r>
                  <w:r>
                    <w:rPr>
                      <w:rFonts w:ascii="仿宋_GB2312" w:hAnsi="宋体" w:eastAsia="仿宋_GB2312" w:cs="宋体"/>
                      <w:kern w:val="0"/>
                      <w:sz w:val="24"/>
                      <w:szCs w:val="24"/>
                    </w:rPr>
                    <w:t>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17</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17</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w:t>
                  </w:r>
                  <w:r>
                    <w:rPr>
                      <w:rFonts w:ascii="仿宋_GB2312" w:hAnsi="宋体" w:eastAsia="仿宋_GB2312" w:cs="宋体"/>
                      <w:kern w:val="0"/>
                      <w:sz w:val="24"/>
                      <w:szCs w:val="24"/>
                    </w:rPr>
                    <w:t>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9</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9</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w:t>
                  </w:r>
                  <w:r>
                    <w:rPr>
                      <w:rFonts w:ascii="仿宋_GB2312" w:hAnsi="宋体" w:eastAsia="仿宋_GB2312" w:cs="宋体"/>
                      <w:kern w:val="0"/>
                      <w:sz w:val="24"/>
                      <w:szCs w:val="24"/>
                    </w:rPr>
                    <w:t>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26</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w:t>
                  </w:r>
                  <w:r>
                    <w:rPr>
                      <w:rFonts w:ascii="仿宋_GB2312" w:hAnsi="宋体" w:eastAsia="仿宋_GB2312" w:cs="宋体"/>
                      <w:kern w:val="0"/>
                      <w:sz w:val="24"/>
                      <w:szCs w:val="24"/>
                    </w:rPr>
                    <w:t>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line="500" w:lineRule="exact"/>
        <w:jc w:val="left"/>
        <w:rPr>
          <w:rFonts w:ascii="仿宋" w:hAnsi="仿宋" w:eastAsia="仿宋"/>
          <w:sz w:val="32"/>
          <w:szCs w:val="32"/>
        </w:rPr>
      </w:pPr>
      <w:r>
        <w:rPr>
          <w:rFonts w:hint="eastAsia" w:ascii="仿宋" w:hAnsi="仿宋" w:eastAsia="仿宋"/>
          <w:sz w:val="32"/>
          <w:szCs w:val="32"/>
        </w:rPr>
        <w:t>紧紧围绕区委、区政府的重要部署，深入贯彻落实党的十九届五中全会精神和习近平新时代中国特色社会主义思想，全面提升党建工作，加强党风廉政建设；推进规模化农业生产</w:t>
      </w:r>
      <w:r>
        <w:rPr>
          <w:rFonts w:ascii="仿宋" w:hAnsi="仿宋" w:eastAsia="仿宋"/>
          <w:sz w:val="32"/>
          <w:szCs w:val="32"/>
        </w:rPr>
        <w:t xml:space="preserve">, </w:t>
      </w:r>
      <w:r>
        <w:rPr>
          <w:rFonts w:hint="eastAsia" w:ascii="仿宋" w:hAnsi="仿宋" w:eastAsia="仿宋"/>
          <w:sz w:val="32"/>
          <w:szCs w:val="32"/>
        </w:rPr>
        <w:t>着力改善农业生产条件，加快结构调整，因地制宜，科学规划，不断壮大产业规模；健全信访综治网络平台，全面推进</w:t>
      </w:r>
      <w:r>
        <w:rPr>
          <w:rFonts w:ascii="仿宋" w:hAnsi="仿宋" w:eastAsia="仿宋"/>
          <w:sz w:val="32"/>
          <w:szCs w:val="32"/>
        </w:rPr>
        <w:t>“</w:t>
      </w:r>
      <w:r>
        <w:rPr>
          <w:rFonts w:hint="eastAsia" w:ascii="仿宋" w:hAnsi="仿宋" w:eastAsia="仿宋"/>
          <w:sz w:val="32"/>
          <w:szCs w:val="32"/>
        </w:rPr>
        <w:t>四个覆盖</w:t>
      </w:r>
      <w:r>
        <w:rPr>
          <w:rFonts w:ascii="仿宋" w:hAnsi="仿宋" w:eastAsia="仿宋"/>
          <w:sz w:val="32"/>
          <w:szCs w:val="32"/>
        </w:rPr>
        <w:t>”</w:t>
      </w:r>
      <w:r>
        <w:rPr>
          <w:rFonts w:hint="eastAsia" w:ascii="仿宋" w:hAnsi="仿宋" w:eastAsia="仿宋"/>
          <w:sz w:val="32"/>
          <w:szCs w:val="32"/>
        </w:rPr>
        <w:t>，充分发挥综治平台作用，强化矛盾纠纷排查化解工作，打造和谐稳定的社会环境；积极服务保障雄安新区建设，全力做好容易线建设的配合工作；扎实推进大气污染防治工作，统筹安排扬尘治理、</w:t>
      </w:r>
      <w:bookmarkStart w:id="24" w:name="_GoBack"/>
      <w:bookmarkEnd w:id="24"/>
      <w:r>
        <w:rPr>
          <w:rFonts w:hint="eastAsia" w:ascii="仿宋" w:hAnsi="仿宋" w:eastAsia="仿宋"/>
          <w:sz w:val="32"/>
          <w:szCs w:val="32"/>
          <w:lang w:eastAsia="zh-CN"/>
        </w:rPr>
        <w:t>秸秆</w:t>
      </w:r>
      <w:r>
        <w:rPr>
          <w:rFonts w:hint="eastAsia" w:ascii="仿宋" w:hAnsi="仿宋" w:eastAsia="仿宋"/>
          <w:sz w:val="32"/>
          <w:szCs w:val="32"/>
        </w:rPr>
        <w:t>焚烧，排查污染企业，加强管控与治理，改善人居环境。加强对企业和社会安全的管理，确保辖区内生产安全、社会和谐统筹安排</w:t>
      </w:r>
      <w:r>
        <w:rPr>
          <w:rFonts w:ascii="仿宋" w:hAnsi="仿宋" w:eastAsia="仿宋"/>
          <w:sz w:val="32"/>
          <w:szCs w:val="32"/>
        </w:rPr>
        <w:t xml:space="preserve">; </w:t>
      </w:r>
      <w:r>
        <w:rPr>
          <w:rFonts w:hint="eastAsia" w:ascii="仿宋" w:hAnsi="仿宋" w:eastAsia="仿宋"/>
          <w:sz w:val="32"/>
          <w:szCs w:val="32"/>
        </w:rPr>
        <w:t>扎实推动建档立卡扶贫工作，保证建档立卡户脱贫不脱政策，防止返贫。扎实做好人大、政协、工会、共青团、武装、环保、土地、教育、卫生等各项工作，努力实现全乡各项事业持续发展。</w:t>
      </w:r>
    </w:p>
    <w:p>
      <w:pPr>
        <w:spacing w:line="360" w:lineRule="auto"/>
        <w:rPr>
          <w:rFonts w:ascii="仿宋" w:hAnsi="仿宋" w:eastAsia="仿宋"/>
          <w:sz w:val="32"/>
          <w:szCs w:val="32"/>
        </w:rPr>
      </w:pPr>
    </w:p>
    <w:p>
      <w:pPr>
        <w:spacing w:line="500" w:lineRule="exact"/>
        <w:ind w:firstLine="320" w:firstLineChars="100"/>
        <w:jc w:val="left"/>
        <w:outlineLvl w:val="1"/>
        <w:rPr>
          <w:rFonts w:ascii="仿宋" w:hAnsi="仿宋" w:eastAsia="仿宋"/>
          <w:sz w:val="32"/>
          <w:szCs w:val="32"/>
        </w:rPr>
      </w:pPr>
      <w:r>
        <w:rPr>
          <w:rFonts w:ascii="仿宋" w:hAnsi="仿宋" w:eastAsia="仿宋"/>
          <w:sz w:val="32"/>
          <w:szCs w:val="32"/>
        </w:rPr>
        <w:t xml:space="preserve"> 二、分项绩效目标</w:t>
      </w:r>
      <w:r>
        <w:rPr>
          <w:rFonts w:ascii="仿宋" w:hAnsi="仿宋" w:eastAsia="仿宋"/>
          <w:sz w:val="32"/>
          <w:szCs w:val="32"/>
        </w:rPr>
        <w:fldChar w:fldCharType="begin"/>
      </w:r>
      <w:r>
        <w:rPr>
          <w:rFonts w:ascii="仿宋" w:hAnsi="仿宋" w:eastAsia="仿宋"/>
          <w:sz w:val="32"/>
          <w:szCs w:val="32"/>
        </w:rPr>
        <w:instrText xml:space="preserve"> TC </w:instrText>
      </w:r>
      <w:bookmarkStart w:id="0" w:name="_Toc31368856"/>
      <w:r>
        <w:rPr>
          <w:rFonts w:ascii="仿宋" w:hAnsi="仿宋" w:eastAsia="仿宋"/>
          <w:sz w:val="32"/>
          <w:szCs w:val="32"/>
        </w:rPr>
        <w:instrText xml:space="preserve">分项绩效目标</w:instrText>
      </w:r>
      <w:bookmarkEnd w:id="0"/>
      <w:r>
        <w:rPr>
          <w:rFonts w:ascii="仿宋" w:hAnsi="仿宋" w:eastAsia="仿宋"/>
          <w:sz w:val="32"/>
          <w:szCs w:val="32"/>
        </w:rPr>
        <w:instrText xml:space="preserve"> \f A \l 1 </w:instrText>
      </w:r>
      <w:r>
        <w:rPr>
          <w:rFonts w:ascii="仿宋" w:hAnsi="仿宋" w:eastAsia="仿宋"/>
          <w:sz w:val="32"/>
          <w:szCs w:val="32"/>
        </w:rPr>
        <w:fldChar w:fldCharType="end"/>
      </w:r>
    </w:p>
    <w:p>
      <w:pPr>
        <w:spacing w:line="500" w:lineRule="exact"/>
        <w:ind w:firstLine="640" w:firstLineChars="200"/>
        <w:jc w:val="left"/>
        <w:rPr>
          <w:rFonts w:ascii="仿宋" w:hAnsi="仿宋" w:eastAsia="仿宋"/>
          <w:sz w:val="32"/>
          <w:szCs w:val="32"/>
        </w:rPr>
      </w:pPr>
      <w:r>
        <w:rPr>
          <w:rFonts w:ascii="仿宋" w:hAnsi="仿宋" w:eastAsia="仿宋"/>
          <w:sz w:val="32"/>
          <w:szCs w:val="32"/>
        </w:rPr>
        <w:t>（一）协调维护社会稳定，维护镇村稳定</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绩效目标：协调维护社会稳定和国家安全，以创建和谐稳定的社会环境为目标。</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绩效指标：矛盾纠纷调处率达到80%以上；协调督导事项化解率80%以上；稳定水平提高。</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（二）维持村级组织正常运转，促进发展</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绩效目标：维持村级组织正常运转，搞好服务保障，保障村级组织及村党组织正常运转，促进乡村社会和经济发展。</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绩效指标：村级各项经费资金支付及时率达到90%以上；群众满意率达到90%以上。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（三）完善农村经营管理，维护村情。</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绩效目标：保障华龙路</w:t>
      </w:r>
      <w:r>
        <w:rPr>
          <w:rFonts w:hint="eastAsia" w:ascii="仿宋" w:hAnsi="仿宋" w:eastAsia="仿宋"/>
          <w:sz w:val="32"/>
          <w:szCs w:val="32"/>
        </w:rPr>
        <w:t>、高</w:t>
      </w:r>
      <w:r>
        <w:rPr>
          <w:rFonts w:ascii="仿宋" w:hAnsi="仿宋" w:eastAsia="仿宋"/>
          <w:sz w:val="32"/>
          <w:szCs w:val="32"/>
        </w:rPr>
        <w:t>铁高</w:t>
      </w:r>
      <w:r>
        <w:rPr>
          <w:rFonts w:hint="eastAsia" w:ascii="仿宋" w:hAnsi="仿宋" w:eastAsia="仿宋"/>
          <w:sz w:val="32"/>
          <w:szCs w:val="32"/>
        </w:rPr>
        <w:t>速</w:t>
      </w:r>
      <w:r>
        <w:rPr>
          <w:rFonts w:ascii="仿宋" w:hAnsi="仿宋" w:eastAsia="仿宋"/>
          <w:sz w:val="32"/>
          <w:szCs w:val="32"/>
        </w:rPr>
        <w:t>两侧绿化占地补偿项目资金按时、足额发放到位。</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绩效指标：资金到位率及补贴发放率达到100%以上；群众满意度达到90%以上。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（四）加强农村文化建设文化资源共享</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绩效目标：宣传党的路线、方针、政策和上级工作部署，坚持正确舆论导向，发挥主流媒体作用。</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 实现文化资源共享，群众满意度达到90%以上。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（五）乡镇综合事务管理，保障正常运转</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绩效目标：扎实做好人大、党建、纪检、团委</w:t>
      </w:r>
      <w:r>
        <w:rPr>
          <w:rFonts w:hint="eastAsia" w:ascii="仿宋" w:hAnsi="仿宋" w:eastAsia="仿宋"/>
          <w:sz w:val="32"/>
          <w:szCs w:val="32"/>
        </w:rPr>
        <w:t>、</w:t>
      </w:r>
      <w:r>
        <w:rPr>
          <w:rFonts w:ascii="仿宋" w:hAnsi="仿宋" w:eastAsia="仿宋"/>
          <w:sz w:val="32"/>
          <w:szCs w:val="32"/>
        </w:rPr>
        <w:t>武装等各项工作，保障机关工作正常运转，财政资金使用效益。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绩效指标：保障工作明显提升；综合事务管理工作完成率达到90%以上；受益对象满意度达到90%以上。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（六）做好大气污染防治，改善农村环境</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绩效目标：做好全年大气污染防治工作，把大气污染防治工作作为一项重要内容常态化。</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绩效指标：生活垃圾定点存放清运率，重点村垃圾收集、处理完成率</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达到90%以上； </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（七）落实安全生产诚信管理</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绩效目标：对重点行业和作业场所职业卫生安全生产加强行政执法监察；开展重大危险源执法检查工作；开展安全事故检查及安全生产宣传教育活动；促进企业全面落实安全生产诚信管理。</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绩效指标：安全生产信息员设置覆盖镇所有村；安全生产信息员补助发放完成率达到100%以上；享受安全生产信息员补助人员对补助发放情况的满意程度达到90%以上。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（八）实现镇村地震安全建设常态化</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绩效目标：实现城乡地震安全建设常态化，提高防震减灾宣传效果，提升社会公众防震避险意识和技能。</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绩效指标：地震群测群防队伍覆盖全镇各村；地震群测群防岗位津贴发放完成率达到100%以上，享受地震群测群防岗位津贴人员对津贴发放情况的满意程度达到90%以上。</w:t>
      </w:r>
    </w:p>
    <w:p>
      <w:pPr>
        <w:spacing w:line="500" w:lineRule="exact"/>
        <w:ind w:firstLine="640" w:firstLineChars="200"/>
        <w:jc w:val="left"/>
        <w:rPr>
          <w:rFonts w:ascii="仿宋" w:hAnsi="仿宋" w:eastAsia="仿宋"/>
          <w:sz w:val="32"/>
          <w:szCs w:val="32"/>
        </w:rPr>
      </w:pPr>
    </w:p>
    <w:p>
      <w:pPr>
        <w:spacing w:line="500" w:lineRule="exact"/>
        <w:ind w:firstLine="640" w:firstLineChars="200"/>
        <w:jc w:val="left"/>
        <w:outlineLvl w:val="1"/>
        <w:rPr>
          <w:rFonts w:ascii="仿宋" w:hAnsi="仿宋" w:eastAsia="仿宋"/>
          <w:sz w:val="32"/>
          <w:szCs w:val="32"/>
        </w:rPr>
      </w:pPr>
      <w:r>
        <w:rPr>
          <w:rFonts w:ascii="仿宋" w:hAnsi="仿宋" w:eastAsia="仿宋"/>
          <w:sz w:val="32"/>
          <w:szCs w:val="32"/>
        </w:rPr>
        <w:t>三、工作保障措施</w:t>
      </w:r>
      <w:r>
        <w:rPr>
          <w:rFonts w:ascii="仿宋" w:hAnsi="仿宋" w:eastAsia="仿宋"/>
          <w:sz w:val="32"/>
          <w:szCs w:val="32"/>
        </w:rPr>
        <w:fldChar w:fldCharType="begin"/>
      </w:r>
      <w:r>
        <w:rPr>
          <w:rFonts w:ascii="仿宋" w:hAnsi="仿宋" w:eastAsia="仿宋"/>
          <w:sz w:val="32"/>
          <w:szCs w:val="32"/>
        </w:rPr>
        <w:instrText xml:space="preserve"> TC </w:instrText>
      </w:r>
      <w:bookmarkStart w:id="1" w:name="_Toc31368857"/>
      <w:r>
        <w:rPr>
          <w:rFonts w:ascii="仿宋" w:hAnsi="仿宋" w:eastAsia="仿宋"/>
          <w:sz w:val="32"/>
          <w:szCs w:val="32"/>
        </w:rPr>
        <w:instrText xml:space="preserve">工作保障措施</w:instrText>
      </w:r>
      <w:bookmarkEnd w:id="1"/>
      <w:r>
        <w:rPr>
          <w:rFonts w:ascii="仿宋" w:hAnsi="仿宋" w:eastAsia="仿宋"/>
          <w:sz w:val="32"/>
          <w:szCs w:val="32"/>
        </w:rPr>
        <w:instrText xml:space="preserve"> \f A \l 1 </w:instrText>
      </w:r>
      <w:r>
        <w:rPr>
          <w:rFonts w:ascii="仿宋" w:hAnsi="仿宋" w:eastAsia="仿宋"/>
          <w:sz w:val="32"/>
          <w:szCs w:val="32"/>
        </w:rPr>
        <w:fldChar w:fldCharType="end"/>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（一）强化政治理论武装，健全完善制度机制</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我镇预算绩效管理、预算资金管理等制度规定，按要求开展部门预算绩效实时监控、绩效自评和重点项目评价等工作，确保全年绩效目标圆满完成。</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（二）加强预算支出管理，确保支出进度达标</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编细编实预算，将项目细化到可执行程度，确保批复即可执行。调整优化支出结构，按规定对</w:t>
      </w:r>
      <w:r>
        <w:rPr>
          <w:rFonts w:ascii="仿宋" w:hAnsi="仿宋" w:eastAsia="仿宋"/>
          <w:sz w:val="32"/>
          <w:szCs w:val="32"/>
        </w:rPr>
        <w:t>“</w:t>
      </w:r>
      <w:r>
        <w:rPr>
          <w:rFonts w:hint="eastAsia" w:ascii="仿宋" w:hAnsi="仿宋" w:eastAsia="仿宋"/>
          <w:sz w:val="32"/>
          <w:szCs w:val="32"/>
        </w:rPr>
        <w:t>三公</w:t>
      </w:r>
      <w:r>
        <w:rPr>
          <w:rFonts w:ascii="仿宋" w:hAnsi="仿宋" w:eastAsia="仿宋"/>
          <w:sz w:val="32"/>
          <w:szCs w:val="32"/>
        </w:rPr>
        <w:t>”</w:t>
      </w:r>
      <w:r>
        <w:rPr>
          <w:rFonts w:hint="eastAsia" w:ascii="仿宋" w:hAnsi="仿宋" w:eastAsia="仿宋"/>
          <w:sz w:val="32"/>
          <w:szCs w:val="32"/>
        </w:rPr>
        <w:t>经费和一般性支出进行压减。通过加快履行政府采购手续、尽快启动项目、及时支付资金等措施。加强预算资金支出动态过程管理，及时协调解决预算项目中遇到的困难问题，实时掌握预算支出进度，按照区财政局关于支出进度的关键时间节点，对预算资金项目进度进行支出。</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（三）加强内部监督管理，确保资金安全有效</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完善财务管理制度，严格财务资金审批程序，加强固定资产登记、使用和报废处置管理，最大程度发挥国有资产效能。完善内部监督制度，加强对绩效运行情况、重大支出决策、资产处置，对会计资料开展常态化内部审计，配合做好审计、财政监督等外部监督工作。严格落实领导干部重大事项报告制度和离任审计制度，加强对我镇物资采购、工程项目等大额资金使用招投标的全过程监督，确保财政资金安全有效。</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（四）加强宣传培训调研，确保绩效目标实现</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spacing w:line="500" w:lineRule="exact"/>
        <w:ind w:firstLine="640" w:firstLineChars="200"/>
        <w:jc w:val="left"/>
        <w:rPr>
          <w:rFonts w:ascii="仿宋" w:hAnsi="仿宋" w:eastAsia="仿宋"/>
          <w:sz w:val="32"/>
          <w:szCs w:val="32"/>
        </w:rPr>
      </w:pPr>
    </w:p>
    <w:p>
      <w:pPr>
        <w:ind w:firstLine="640" w:firstLineChars="200"/>
        <w:jc w:val="center"/>
        <w:rPr>
          <w:rFonts w:ascii="仿宋" w:hAnsi="仿宋" w:eastAsia="仿宋"/>
          <w:sz w:val="32"/>
          <w:szCs w:val="32"/>
        </w:rPr>
      </w:pPr>
      <w:r>
        <w:rPr>
          <w:rFonts w:ascii="仿宋" w:hAnsi="仿宋" w:eastAsia="仿宋"/>
          <w:sz w:val="32"/>
          <w:szCs w:val="32"/>
        </w:rPr>
        <w:t xml:space="preserve"> </w:t>
      </w:r>
    </w:p>
    <w:p>
      <w:pPr>
        <w:ind w:firstLine="640" w:firstLineChars="200"/>
        <w:jc w:val="center"/>
        <w:rPr>
          <w:rFonts w:ascii="仿宋" w:hAnsi="仿宋" w:eastAsia="仿宋"/>
          <w:sz w:val="32"/>
          <w:szCs w:val="32"/>
        </w:rPr>
        <w:sectPr>
          <w:footerReference r:id="rId3" w:type="default"/>
          <w:pgSz w:w="11907" w:h="16839"/>
          <w:pgMar w:top="1984" w:right="1304" w:bottom="1134" w:left="1304" w:header="851" w:footer="992" w:gutter="0"/>
          <w:pgNumType w:start="1"/>
          <w:cols w:space="425" w:num="1"/>
          <w:docGrid w:type="lines" w:linePitch="312" w:charSpace="0"/>
        </w:sectPr>
      </w:pPr>
    </w:p>
    <w:p>
      <w:pP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jc w:val="left"/>
        <w:outlineLvl w:val="3"/>
        <w:rPr>
          <w:rFonts w:ascii="Times New Roman" w:hAnsi="宋体" w:eastAsia="宋体" w:cs="Times New Roman"/>
          <w:b/>
          <w:sz w:val="28"/>
        </w:rPr>
      </w:pPr>
      <w:bookmarkStart w:id="2" w:name="_Toc66978859"/>
      <w:r>
        <w:rPr>
          <w:rFonts w:ascii="方正仿宋_GBK" w:hAnsi="等线" w:eastAsia="方正仿宋_GBK" w:cs="Times New Roman"/>
          <w:b/>
          <w:sz w:val="28"/>
        </w:rPr>
        <w:t>1.乡镇武装工作经费绩效目标表</w:t>
      </w:r>
      <w:bookmarkEnd w:id="2"/>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1、乡镇武装工作经费绩效目标表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907001高林村镇本级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130625211C09GQQHDHL5G</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乡镇武装工作经费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30000.00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30000.00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用于保障单位民兵训练、征兵等工作的正常开展。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30.00%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1.保障本单位的民兵训练，征兵等工作的正常开展。</w:t>
            </w:r>
          </w:p>
          <w:p>
            <w:pPr>
              <w:spacing w:line="300" w:lineRule="exact"/>
              <w:jc w:val="left"/>
              <w:rPr>
                <w:rFonts w:ascii="方正书宋_GBK" w:hAnsi="等线" w:eastAsia="方正书宋_GBK" w:cs="Times New Roman"/>
              </w:rPr>
            </w:pPr>
          </w:p>
          <w:p>
            <w:pPr>
              <w:spacing w:line="300" w:lineRule="exact"/>
              <w:jc w:val="left"/>
              <w:rPr>
                <w:rFonts w:ascii="方正书宋_GBK" w:hAnsi="等线" w:eastAsia="方正书宋_GBK" w:cs="Times New Roman"/>
              </w:rPr>
            </w:pPr>
            <w:r>
              <w:rPr>
                <w:rFonts w:ascii="方正书宋_GBK" w:hAnsi="等线" w:eastAsia="方正书宋_GBK" w:cs="Times New Roman"/>
              </w:rPr>
              <w:t>2.根据上级要求，认真</w:t>
            </w:r>
            <w:r>
              <w:rPr>
                <w:rFonts w:hint="eastAsia" w:ascii="方正书宋_GBK" w:hAnsi="等线" w:eastAsia="方正书宋_GBK" w:cs="Times New Roman"/>
                <w:lang w:eastAsia="zh-CN"/>
              </w:rPr>
              <w:t>制订</w:t>
            </w:r>
            <w:r>
              <w:rPr>
                <w:rFonts w:ascii="方正书宋_GBK" w:hAnsi="等线" w:eastAsia="方正书宋_GBK" w:cs="Times New Roman"/>
              </w:rPr>
              <w:t>基干民兵和专武干部培训计划和方案，严格组织人员按质按量完成训练任务。</w:t>
            </w:r>
          </w:p>
          <w:p>
            <w:pPr>
              <w:spacing w:line="300" w:lineRule="exact"/>
              <w:jc w:val="left"/>
              <w:rPr>
                <w:rFonts w:ascii="方正书宋_GBK" w:hAnsi="等线" w:eastAsia="方正书宋_GBK" w:cs="Times New Roman"/>
              </w:rPr>
            </w:pPr>
            <w:r>
              <w:rPr>
                <w:rFonts w:ascii="方正书宋_GBK" w:hAnsi="等线" w:eastAsia="方正书宋_GBK" w:cs="Times New Roman"/>
              </w:rPr>
              <w:t>3.圆满完成上级交给的各项工作任务。</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每年完成上级下达征兵数量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按照上级下达的征兵数量完成</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≥6个</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民兵训练达标率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民兵训练是否完成上级规定的要求</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国防动员开展情况</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是否按要求开展</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国防工程完成情况</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是否按上级要求完成</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社会稳定水平</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促进社会稳定水平逐步提高</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3" w:name="_Toc66978860"/>
      <w:r>
        <w:rPr>
          <w:rFonts w:ascii="方正仿宋_GBK" w:hAnsi="等线" w:eastAsia="方正仿宋_GBK" w:cs="Times New Roman"/>
          <w:b/>
          <w:sz w:val="28"/>
        </w:rPr>
        <w:t>2.地震群测群防岗位津贴绩效目标表</w:t>
      </w:r>
      <w:bookmarkEnd w:id="3"/>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2、地震群测群防岗位津贴绩效目标表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907001高林村镇本级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130625213GE1RI8U5OG86</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地震群测群防岗位津贴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4200.00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4200.00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通过项目实施，资金用于地震群测群防岗位津贴。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1.通过项目实施，维持地震群测群防队伍的稳定。</w:t>
            </w:r>
          </w:p>
          <w:p>
            <w:pPr>
              <w:spacing w:line="300" w:lineRule="exact"/>
              <w:jc w:val="left"/>
              <w:rPr>
                <w:rFonts w:ascii="方正书宋_GBK" w:hAnsi="等线" w:eastAsia="方正书宋_GBK" w:cs="Times New Roman"/>
              </w:rPr>
            </w:pPr>
            <w:r>
              <w:rPr>
                <w:rFonts w:ascii="方正书宋_GBK" w:hAnsi="等线" w:eastAsia="方正书宋_GBK" w:cs="Times New Roman"/>
              </w:rPr>
              <w:t>2.有效降低地震灾害造成的人身及财产损失。</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覆盖率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地震群测群防队伍覆盖全区各乡镇（办事处）</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报表信息质量合格率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报表信息质量合格率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各项任务完成及时率（%）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各项任务完成及时率（%）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预算执行率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按照支出进度要求和预算构成执行</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补贴发放率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乡镇（办事处）地震群测群防人员岗位津贴发放完成率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调查享受地震群测群防岗位津贴人员对津贴发放的满意程度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4" w:name="_Toc66978861"/>
      <w:r>
        <w:rPr>
          <w:rFonts w:ascii="方正仿宋_GBK" w:hAnsi="等线" w:eastAsia="方正仿宋_GBK" w:cs="Times New Roman"/>
          <w:b/>
          <w:sz w:val="28"/>
        </w:rPr>
        <w:t>3.村级组织办公经费绩效目标表</w:t>
      </w:r>
      <w:bookmarkEnd w:id="4"/>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3、村级组织办公经费绩效目标表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907001高林村镇本级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1306252170DBTQWZCVUIG</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村级组织办公经费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367400.00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367400.00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实施村级组织办公经费项目，资金用于全镇21个行政村保障村级正常运行经费及其他支出。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1.建立健全基层群众自治组织，搞好服务。</w:t>
            </w:r>
          </w:p>
          <w:p>
            <w:pPr>
              <w:spacing w:line="300" w:lineRule="exact"/>
              <w:jc w:val="left"/>
              <w:rPr>
                <w:rFonts w:ascii="方正书宋_GBK" w:hAnsi="等线" w:eastAsia="方正书宋_GBK" w:cs="Times New Roman"/>
              </w:rPr>
            </w:pPr>
            <w:r>
              <w:rPr>
                <w:rFonts w:ascii="方正书宋_GBK" w:hAnsi="等线" w:eastAsia="方正书宋_GBK" w:cs="Times New Roman"/>
              </w:rPr>
              <w:t>2.保障村级组织正常运转。</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村数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镇所辖村数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21个</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正常运行率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村级日常正常运转情况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控制资金支出</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资金支出进度占预算全额的比例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预算执行率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按照支出进度要求和预算构成执行</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社会影响力</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有效的保障村级组织动转，有利于提高工作效率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5" w:name="_Toc66978862"/>
      <w:r>
        <w:rPr>
          <w:rFonts w:ascii="方正仿宋_GBK" w:hAnsi="等线" w:eastAsia="方正仿宋_GBK" w:cs="Times New Roman"/>
          <w:b/>
          <w:sz w:val="28"/>
        </w:rPr>
        <w:t>4.乡村服务类人员岗位补贴和保险费用绩效目标表</w:t>
      </w:r>
      <w:bookmarkEnd w:id="5"/>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4、乡村服务类人员岗位补贴和保险费用绩效目标表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907001高林村镇本级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130625217XYEUNWF65IE3</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乡村服务类人员岗位补贴和保险费用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72539.00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72539.00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以乡村服务岗为抓手，引导建档立卡贫困人员积极参加公共服务事业，给予一定的岗位补贴，促进建档立卡贫困人员增收致富，并为其购置人身意外保险，保障其人身安全。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1.以乡村服务岗为抓手，引导建档立卡贫困人员积极参加公共服务事业</w:t>
            </w:r>
          </w:p>
          <w:p>
            <w:pPr>
              <w:spacing w:line="300" w:lineRule="exact"/>
              <w:jc w:val="left"/>
              <w:rPr>
                <w:rFonts w:ascii="方正书宋_GBK" w:hAnsi="等线" w:eastAsia="方正书宋_GBK" w:cs="Times New Roman"/>
              </w:rPr>
            </w:pPr>
            <w:r>
              <w:rPr>
                <w:rFonts w:ascii="方正书宋_GBK" w:hAnsi="等线" w:eastAsia="方正书宋_GBK" w:cs="Times New Roman"/>
              </w:rPr>
              <w:t>2.给予一定的岗位补贴，促进建档立卡贫困人员增收脱贫</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每月补助金额</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按照岗位补助标准发放岗位补助</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≥300元</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资金足额拨付率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实际拨付资金占应拨付资金的比率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控制资金支出</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资金支出进度占预算全额的比例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预算执行率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按照支出进度要求和预算构成执行</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受益建档立卡贫困人数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受益建档立卡贫困人数（人）</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17人</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受助对象满意度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满意贫困人数占岗位人数的比率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6" w:name="_Toc66978863"/>
      <w:r>
        <w:rPr>
          <w:rFonts w:ascii="方正仿宋_GBK" w:hAnsi="等线" w:eastAsia="方正仿宋_GBK" w:cs="Times New Roman"/>
          <w:b/>
          <w:sz w:val="28"/>
        </w:rPr>
        <w:t>5.村级退役军人服务站吸收参战（进藏）退役军人补贴绩效目标表</w:t>
      </w:r>
      <w:bookmarkEnd w:id="6"/>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5、村级退役军人服务站吸收参战（进藏）退役军人补贴绩效目标表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907001高林村镇本级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130625218G02TO4YIFOG3</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村级退役军人服务站吸收参战（进藏）退役军人补贴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93600.00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93600.00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通过实施此项目，资金用于退役军人补贴。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1.维护社会稳定</w:t>
            </w:r>
          </w:p>
          <w:p>
            <w:pPr>
              <w:spacing w:line="300" w:lineRule="exact"/>
              <w:jc w:val="left"/>
              <w:rPr>
                <w:rFonts w:ascii="方正书宋_GBK" w:hAnsi="等线" w:eastAsia="方正书宋_GBK" w:cs="Times New Roman"/>
              </w:rPr>
            </w:pPr>
            <w:r>
              <w:rPr>
                <w:rFonts w:ascii="方正书宋_GBK" w:hAnsi="等线" w:eastAsia="方正书宋_GBK" w:cs="Times New Roman"/>
              </w:rPr>
              <w:t>2.把退役安置工作作为支出国家国防军队建设的一项重要任务强力推进</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资金足额兑现率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该笔资金投入后是否能够按照规定金额发放落实到位</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依</w:t>
            </w:r>
            <w:r>
              <w:rPr>
                <w:rFonts w:ascii="方正书宋_GBK" w:hAnsi="等线" w:eastAsia="方正书宋_GBK" w:cs="Times New Roman"/>
              </w:rPr>
              <w:t>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群众来访接待率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群众来访接待率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依</w:t>
            </w:r>
            <w:r>
              <w:rPr>
                <w:rFonts w:ascii="方正书宋_GBK" w:hAnsi="等线" w:eastAsia="方正书宋_GBK" w:cs="Times New Roman"/>
              </w:rPr>
              <w:t>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资金及时发放率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该笔资金投入后是否能够按照规定时间发放落实到位</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依</w:t>
            </w:r>
            <w:r>
              <w:rPr>
                <w:rFonts w:ascii="方正书宋_GBK" w:hAnsi="等线" w:eastAsia="方正书宋_GBK" w:cs="Times New Roman"/>
              </w:rPr>
              <w:t>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人均发放水平</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人均发放水平</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依</w:t>
            </w:r>
            <w:r>
              <w:rPr>
                <w:rFonts w:ascii="方正书宋_GBK" w:hAnsi="等线" w:eastAsia="方正书宋_GBK" w:cs="Times New Roman"/>
              </w:rPr>
              <w:t>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保障工作正常运行</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能够保障工作正常运转</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依</w:t>
            </w:r>
            <w:r>
              <w:rPr>
                <w:rFonts w:ascii="方正书宋_GBK" w:hAnsi="等线" w:eastAsia="方正书宋_GBK" w:cs="Times New Roman"/>
              </w:rPr>
              <w:t>据工作方案</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7" w:name="_Toc66978864"/>
      <w:r>
        <w:rPr>
          <w:rFonts w:ascii="方正仿宋_GBK" w:hAnsi="等线" w:eastAsia="方正仿宋_GBK" w:cs="Times New Roman"/>
          <w:b/>
          <w:sz w:val="28"/>
        </w:rPr>
        <w:t>6.维稳经费绩效目标表</w:t>
      </w:r>
      <w:bookmarkEnd w:id="7"/>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6、维稳经费绩效目标表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907001高林村镇本级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130625219A7HSATYO7M96</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维稳经费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50000.00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50000.00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预防减少不稳定因素的发生，有效化解不稳定隐患、群体事件和突发事件，维护国家安全工作。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1.预防减少不稳定因素的发生。</w:t>
            </w:r>
          </w:p>
          <w:p>
            <w:pPr>
              <w:spacing w:line="300" w:lineRule="exact"/>
              <w:jc w:val="left"/>
              <w:rPr>
                <w:rFonts w:ascii="方正书宋_GBK" w:hAnsi="等线" w:eastAsia="方正书宋_GBK" w:cs="Times New Roman"/>
              </w:rPr>
            </w:pPr>
            <w:r>
              <w:rPr>
                <w:rFonts w:ascii="方正书宋_GBK" w:hAnsi="等线" w:eastAsia="方正书宋_GBK" w:cs="Times New Roman"/>
              </w:rPr>
              <w:t>2.有效化解不稳定隐患、群发事件，维护国家安全工作。</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镇所辖村</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维稳工作所辖村数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21个</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安保任务完成率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控制资金支出</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资金支出进度占预算全额的比例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预算执行率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按照支出进度要求和预算构成执行</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社会影响力</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有效的改善职工作环境，有利于提高工作效率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8" w:name="_Toc66978865"/>
      <w:r>
        <w:rPr>
          <w:rFonts w:ascii="方正仿宋_GBK" w:hAnsi="等线" w:eastAsia="方正仿宋_GBK" w:cs="Times New Roman"/>
          <w:b/>
          <w:sz w:val="28"/>
        </w:rPr>
        <w:t>7.全区绿化土地流转金绩效目标表</w:t>
      </w:r>
      <w:bookmarkEnd w:id="8"/>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7、全区绿化土地流转金绩效目标表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907001高林村镇本级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13062521CCA3D4LZV0R18</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全区绿化土地流转金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4720118.50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4720118.50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增加有林地面积、改善生态环境。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1.增加有林地面积、改善生态环境。</w:t>
            </w:r>
          </w:p>
          <w:p>
            <w:pPr>
              <w:spacing w:line="300" w:lineRule="exact"/>
              <w:jc w:val="left"/>
              <w:rPr>
                <w:rFonts w:ascii="方正书宋_GBK" w:hAnsi="等线" w:eastAsia="方正书宋_GBK" w:cs="Times New Roman"/>
              </w:rPr>
            </w:pPr>
            <w:r>
              <w:rPr>
                <w:rFonts w:ascii="方正书宋_GBK" w:hAnsi="等线" w:eastAsia="方正书宋_GBK" w:cs="Times New Roman"/>
              </w:rPr>
              <w:t>2.提高全区绿化水平和森林覆盖率。</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补偿标准</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绿化占地土补偿标准</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≥1290元/亩</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补贴发放完成率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控制资金支出</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资金支出进度占预算全额的比例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预算执行率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按照支出进度要求和预算构成执行</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占地面积</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绿化占地补偿面积</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≥3659亩</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9" w:name="_Toc66978866"/>
      <w:r>
        <w:rPr>
          <w:rFonts w:ascii="方正仿宋_GBK" w:hAnsi="等线" w:eastAsia="方正仿宋_GBK" w:cs="Times New Roman"/>
          <w:b/>
          <w:sz w:val="28"/>
        </w:rPr>
        <w:t>8.公共图书馆、文化馆（站）免费开放区级配套资金绩效目标表</w:t>
      </w:r>
      <w:bookmarkEnd w:id="9"/>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8、公共图书馆、文化馆（站）免费开放区级配套资金绩效目标表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907001高林村镇本级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13062521D9LSGDABUN9MV</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公共图书馆、文化馆（站）免费开放区级配套资金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15000.00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15000.00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组织公益性群众文化活动，举办公益行讲座和展览宣传，村级文化骨干业务辅导，文化信息资源共享工程、公共电子阅览室服务及设备运行维护等。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1.公共文化设施达标，机构和队伍健全，实现公共文化资源共享，形成城乡一体公共文化服务网络</w:t>
            </w:r>
          </w:p>
          <w:p>
            <w:pPr>
              <w:spacing w:line="300" w:lineRule="exact"/>
              <w:jc w:val="left"/>
              <w:rPr>
                <w:rFonts w:ascii="方正书宋_GBK" w:hAnsi="等线" w:eastAsia="方正书宋_GBK" w:cs="Times New Roman"/>
              </w:rPr>
            </w:pPr>
            <w:r>
              <w:rPr>
                <w:rFonts w:ascii="方正书宋_GBK" w:hAnsi="等线" w:eastAsia="方正书宋_GBK" w:cs="Times New Roman"/>
              </w:rPr>
              <w:t>2.公共文化产品生产和服务能力提高，基本公共文化服务标准化、均等化水平不断提高</w:t>
            </w:r>
          </w:p>
          <w:p>
            <w:pPr>
              <w:spacing w:line="300" w:lineRule="exact"/>
              <w:jc w:val="left"/>
              <w:rPr>
                <w:rFonts w:ascii="方正书宋_GBK" w:hAnsi="等线" w:eastAsia="方正书宋_GBK" w:cs="Times New Roman"/>
              </w:rPr>
            </w:pPr>
            <w:r>
              <w:rPr>
                <w:rFonts w:ascii="方正书宋_GBK" w:hAnsi="等线" w:eastAsia="方正书宋_GBK" w:cs="Times New Roman"/>
              </w:rPr>
              <w:t>3.全部免费向社会公众开展基本公共文化服务</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资金到位率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专项资金补助到位率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工作完成率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高质量完成各项工作</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控制资金支出</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资金支出进度占预算全额的比例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预算执行率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按照支出进度要求和预算构成执行</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免费开放服务水平稳步提高</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文化站免费开放服务水平稳步提高</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长期</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0" w:name="_Toc66978867"/>
      <w:r>
        <w:rPr>
          <w:rFonts w:ascii="方正仿宋_GBK" w:hAnsi="等线" w:eastAsia="方正仿宋_GBK" w:cs="Times New Roman"/>
          <w:b/>
          <w:sz w:val="28"/>
        </w:rPr>
        <w:t>9.大气污染防治资金绩效目标表</w:t>
      </w:r>
      <w:bookmarkEnd w:id="10"/>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9、大气污染防治资金绩效目标表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907001高林村镇本级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13062521DXF3FR7F2IL4W</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大气污染防治资金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通过实施大气污防治资金项目，资金主要用于加强大气污染综合治理、农村生活垃圾存放清理和夏秋两委</w:t>
            </w:r>
            <w:r>
              <w:rPr>
                <w:rFonts w:hint="eastAsia" w:ascii="方正书宋_GBK" w:hAnsi="等线" w:eastAsia="方正书宋_GBK" w:cs="Times New Roman"/>
                <w:lang w:eastAsia="zh-CN"/>
              </w:rPr>
              <w:t>秸秆</w:t>
            </w:r>
            <w:r>
              <w:rPr>
                <w:rFonts w:ascii="方正书宋_GBK" w:hAnsi="等线" w:eastAsia="方正书宋_GBK" w:cs="Times New Roman"/>
              </w:rPr>
              <w:t>禁烧。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1.加强大气污染防治。</w:t>
            </w:r>
          </w:p>
          <w:p>
            <w:pPr>
              <w:spacing w:line="300" w:lineRule="exact"/>
              <w:jc w:val="left"/>
              <w:rPr>
                <w:rFonts w:ascii="方正书宋_GBK" w:hAnsi="等线" w:eastAsia="方正书宋_GBK" w:cs="Times New Roman"/>
              </w:rPr>
            </w:pPr>
            <w:r>
              <w:rPr>
                <w:rFonts w:ascii="方正书宋_GBK" w:hAnsi="等线" w:eastAsia="方正书宋_GBK" w:cs="Times New Roman"/>
              </w:rPr>
              <w:t>2.改善农村环境空气质量。</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所辖村数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大气污染整治村数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21个</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村庄垃圾清运完成率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控制资金支出</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资金支出进度占预算全额的比例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预算执行率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按照支出进度要求和预算构成执行</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社会稳定水平</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促进社会稳定水平逐步提高</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1" w:name="_Toc66978868"/>
      <w:r>
        <w:rPr>
          <w:rFonts w:ascii="方正仿宋_GBK" w:hAnsi="等线" w:eastAsia="方正仿宋_GBK" w:cs="Times New Roman"/>
          <w:b/>
          <w:sz w:val="28"/>
        </w:rPr>
        <w:t>10.拨付原京原公路工役制人员落实待遇资金绩效目标表</w:t>
      </w:r>
      <w:bookmarkEnd w:id="11"/>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10、拨付原京原公路工役制人员落实待遇资金绩效目标表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907001高林村镇本级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13062521EPG7LH2CEA99M</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拨付原京原公路工役制人员落实待遇资金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54000.00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54000.00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实行拨付原京原公路工役制人员落实待遇资金项目，用于解决原京原公路工役制人员反映落实待遇问题。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1.提高综合事务能力，做好了宣传政策解释工作，确保工作稳定。</w:t>
            </w:r>
          </w:p>
          <w:p>
            <w:pPr>
              <w:spacing w:line="300" w:lineRule="exact"/>
              <w:jc w:val="left"/>
              <w:rPr>
                <w:rFonts w:ascii="方正书宋_GBK" w:hAnsi="等线" w:eastAsia="方正书宋_GBK" w:cs="Times New Roman"/>
              </w:rPr>
            </w:pPr>
            <w:r>
              <w:rPr>
                <w:rFonts w:ascii="方正书宋_GBK" w:hAnsi="等线" w:eastAsia="方正书宋_GBK" w:cs="Times New Roman"/>
              </w:rPr>
              <w:t>2.落实工役人员待遇。</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每月补助金额</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按照岗位补助标准发放岗位补助</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450元</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资金足额拨付率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实际拨付资金占应拨付资金的比率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控制资金支出</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资金支出进度占预算全额的比例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预算执行率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按照支出进度要求和预算构成执行</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工役制人数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京原公路工役制人数（人）</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10人</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2" w:name="_Toc66978869"/>
      <w:r>
        <w:rPr>
          <w:rFonts w:ascii="方正仿宋_GBK" w:hAnsi="等线" w:eastAsia="方正仿宋_GBK" w:cs="Times New Roman"/>
          <w:b/>
          <w:sz w:val="28"/>
        </w:rPr>
        <w:t>11.人大工作经费绩效目标表</w:t>
      </w:r>
      <w:bookmarkEnd w:id="12"/>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11、人大工作经费绩效目标表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907001高林村镇本级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13062521EZ40BGKCFNNHQ</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人大工作经费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30000.00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30000.00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通过实施人大工作经费项目，资金用于保障人大工作经费。</w:t>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p>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1.加强乡镇人大履职能力。</w:t>
            </w:r>
          </w:p>
          <w:p>
            <w:pPr>
              <w:spacing w:line="300" w:lineRule="exact"/>
              <w:jc w:val="left"/>
              <w:rPr>
                <w:rFonts w:ascii="方正书宋_GBK" w:hAnsi="等线" w:eastAsia="方正书宋_GBK" w:cs="Times New Roman"/>
              </w:rPr>
            </w:pPr>
            <w:r>
              <w:rPr>
                <w:rFonts w:ascii="方正书宋_GBK" w:hAnsi="等线" w:eastAsia="方正书宋_GBK" w:cs="Times New Roman"/>
              </w:rPr>
              <w:t>2.保障乡镇人大工作及时开展。</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组织会务次数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当年组织人大会务活动</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2次</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正常运行率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日常工作正常运转情况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控制资金支出</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资金支出进度占预算全额的比例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预算执行率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按照支出进度要求和预算构成执行</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保障工作正常运行</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能够保障工作正常运转</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3" w:name="_Toc66978870"/>
      <w:r>
        <w:rPr>
          <w:rFonts w:ascii="方正仿宋_GBK" w:hAnsi="等线" w:eastAsia="方正仿宋_GBK" w:cs="Times New Roman"/>
          <w:b/>
          <w:sz w:val="28"/>
        </w:rPr>
        <w:t>12.徐水区退役军人公益岗岗位人员工资绩效目标表</w:t>
      </w:r>
      <w:bookmarkEnd w:id="13"/>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12、徐水区退役军人公益岗岗位人员工资绩效目标表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907001高林村镇本级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13062521I42SY6KE167L6</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徐水区退役军人公益岗岗位人员工资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139800.00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139800.00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实施此项目，资金用于退役军人公益岗人员工资。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hint="eastAsia" w:ascii="方正书宋_GBK" w:hAnsi="等线" w:eastAsia="方正书宋_GBK" w:cs="Times New Roman"/>
              </w:rPr>
              <w:t>25</w:t>
            </w:r>
            <w:r>
              <w:rPr>
                <w:rFonts w:ascii="方正书宋_GBK" w:hAnsi="等线" w:eastAsia="方正书宋_GBK" w:cs="Times New Roman"/>
              </w:rPr>
              <w:t>%</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hint="eastAsia" w:ascii="方正书宋_GBK" w:hAnsi="等线" w:eastAsia="方正书宋_GBK" w:cs="Times New Roman"/>
              </w:rPr>
              <w:t>50%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hint="eastAsia" w:ascii="方正书宋_GBK" w:hAnsi="等线" w:eastAsia="方正书宋_GBK" w:cs="Times New Roman"/>
              </w:rPr>
              <w:t>75%</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hint="eastAsia" w:ascii="方正书宋_GBK" w:hAnsi="等线" w:eastAsia="方正书宋_GBK" w:cs="Times New Roma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1.维护社会稳定</w:t>
            </w:r>
          </w:p>
          <w:p>
            <w:pPr>
              <w:spacing w:line="300" w:lineRule="exact"/>
              <w:jc w:val="left"/>
              <w:rPr>
                <w:rFonts w:ascii="方正书宋_GBK" w:hAnsi="等线" w:eastAsia="方正书宋_GBK" w:cs="Times New Roman"/>
              </w:rPr>
            </w:pPr>
            <w:r>
              <w:rPr>
                <w:rFonts w:ascii="方正书宋_GBK" w:hAnsi="等线" w:eastAsia="方正书宋_GBK" w:cs="Times New Roman"/>
              </w:rPr>
              <w:t>2.把退役安置工作作为支出国家国防军队建设的一项重要任务强力推进</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资金足额兑现率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该笔资金投入后是否能够按照规定金额发放落实到位</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群众来访接待率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群众来访接待率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资金及时发放率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该笔资金投入后是否能够按照规定时间发放落实到位</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人均发放水平</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人均发放水平</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保障工作正常运行</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能够保障工作正常运转</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依据部门职责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4" w:name="_Toc66978871"/>
      <w:r>
        <w:rPr>
          <w:rFonts w:ascii="方正仿宋_GBK" w:hAnsi="等线" w:eastAsia="方正仿宋_GBK" w:cs="Times New Roman"/>
          <w:b/>
          <w:sz w:val="28"/>
        </w:rPr>
        <w:t>13.2021扶贫公益岗位补助及购置保险绩效目标表</w:t>
      </w:r>
      <w:bookmarkEnd w:id="14"/>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13、2021扶贫公益岗位补助及购置保险绩效目标表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907001高林村镇本级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13062521PNBLKXVE08PI4</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2021扶贫公益岗位补助及购置保险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113339.00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113339.00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以公益岗位就业为抓手，引导建档立卡贫困人员积极参加公共服务事业，给予一定的岗位补贴，促进建档立卡贫困人员增收致富，并为其购置人身意外保险，保障其人身安全。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1.以公益岗位就业为抓手，引导建档立卡贫困人员积极参加公共服务事业</w:t>
            </w:r>
          </w:p>
          <w:p>
            <w:pPr>
              <w:spacing w:line="300" w:lineRule="exact"/>
              <w:jc w:val="left"/>
              <w:rPr>
                <w:rFonts w:ascii="方正书宋_GBK" w:hAnsi="等线" w:eastAsia="方正书宋_GBK" w:cs="Times New Roman"/>
              </w:rPr>
            </w:pPr>
            <w:r>
              <w:rPr>
                <w:rFonts w:ascii="方正书宋_GBK" w:hAnsi="等线" w:eastAsia="方正书宋_GBK" w:cs="Times New Roman"/>
              </w:rPr>
              <w:t>2.给予一定的岗位补贴，促进建档立卡贫困人员增收脱贫</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每月补助金额</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按照岗位补助标准发放岗位补助</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≥500元</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资金足额拨付率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实际拨付资金占应拨付资金的比率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控制资金支出</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资金支出进度占预算全额的比例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预算执行率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按照支出进度要求和预算构成执行</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受益建档立卡贫困人数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受益建档立卡贫困人数（人）</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17人</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5" w:name="_Toc66978872"/>
      <w:r>
        <w:rPr>
          <w:rFonts w:ascii="方正仿宋_GBK" w:hAnsi="等线" w:eastAsia="方正仿宋_GBK" w:cs="Times New Roman"/>
          <w:b/>
          <w:sz w:val="28"/>
        </w:rPr>
        <w:t>14.村党组织活动经费绩效目标表</w:t>
      </w:r>
      <w:bookmarkEnd w:id="15"/>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14、村党组织活动经费绩效目标表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907001高林村镇本级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13062521QNSYKBX2ZHRZC</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村党组织活动经费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380400.00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380400.00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通过拨付村党组织活动经费，保障村党组织日常活动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1.通过拨付村党组织活动经费，保障村党组织日常活动</w:t>
            </w:r>
          </w:p>
          <w:p>
            <w:pPr>
              <w:spacing w:line="300" w:lineRule="exact"/>
              <w:jc w:val="left"/>
              <w:rPr>
                <w:rFonts w:ascii="方正书宋_GBK" w:hAnsi="等线" w:eastAsia="方正书宋_GBK" w:cs="Times New Roman"/>
              </w:rPr>
            </w:pPr>
            <w:r>
              <w:rPr>
                <w:rFonts w:ascii="方正书宋_GBK" w:hAnsi="等线" w:eastAsia="方正书宋_GBK" w:cs="Times New Roman"/>
              </w:rPr>
              <w:t>2.由村党组织活动经费定期集中培训，提高农村党员的综合素质</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组织参观学习人次</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组织前往宣传教育基地参观的人次</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≥100人</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学习活动成果验收合格率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学习活动成果情况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达到村党组织活动效果</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开展培训、组织党员活动计划比例</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开展培训、组织党员活动按年度工作计划完成情况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学习考察、开展培训等的开支标准</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党员学习考察、开展培训等的开支标准</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达到村党组织活动效果要求</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社会稳定水平</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通过实施党员活动促进社会稳定水平逐步提高</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社会稳定水平逐年提高</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6" w:name="_Toc66978873"/>
      <w:r>
        <w:rPr>
          <w:rFonts w:ascii="方正仿宋_GBK" w:hAnsi="等线" w:eastAsia="方正仿宋_GBK" w:cs="Times New Roman"/>
          <w:b/>
          <w:sz w:val="28"/>
        </w:rPr>
        <w:t>15.华龙路绿化带占地补偿专项资金绩效目标表</w:t>
      </w:r>
      <w:bookmarkEnd w:id="16"/>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15、华龙路绿化带占地补偿专项资金绩效目标表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907001高林村镇本级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13062521QOFK9PDNVEXV4</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华龙路绿化带占地补偿专项资金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31725.00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31725.00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实行华龙路绿化带占地补偿专项项目，主要用于何庄村集体占地补偿，按临时征地协议县政府</w:t>
            </w:r>
            <w:r>
              <w:rPr>
                <w:rFonts w:hint="eastAsia" w:ascii="方正书宋_GBK" w:hAnsi="等线" w:eastAsia="方正书宋_GBK" w:cs="Times New Roman"/>
                <w:lang w:eastAsia="zh-CN"/>
              </w:rPr>
              <w:t>制订</w:t>
            </w:r>
            <w:r>
              <w:rPr>
                <w:rFonts w:ascii="方正书宋_GBK" w:hAnsi="等线" w:eastAsia="方正书宋_GBK" w:cs="Times New Roman"/>
              </w:rPr>
              <w:t>每年每亩补偿0.25万元，临时征地12.69亩，需兑付补偿资金3.1725万元。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1.资金及时足额发放到位，维护华龙路占地户利益，稳定镇情村情。</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补偿标准</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绿化占地土补偿标准</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≥2500元</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补贴发放完成率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控制资金支出</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资金支出进度占预算全额的比例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预算执行率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按照支出进度要求和预算构成执行</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占地面积</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绿化占地补偿面积</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7" w:name="_Toc66978874"/>
      <w:r>
        <w:rPr>
          <w:rFonts w:ascii="方正仿宋_GBK" w:hAnsi="等线" w:eastAsia="方正仿宋_GBK" w:cs="Times New Roman"/>
          <w:b/>
          <w:sz w:val="28"/>
        </w:rPr>
        <w:t>16.团委综合事务管理经费绩效目标表</w:t>
      </w:r>
      <w:bookmarkEnd w:id="17"/>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16、团委综合事务管理经费绩效目标表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907001高林村镇本级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13062521QTKTLP5OP1GOL</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团委综合事务管理经费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通过实施团委综合事务管理项目，主要用于开展共青团工作办公经费。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1.切实做好新形势下青年群众工作。</w:t>
            </w:r>
          </w:p>
          <w:p>
            <w:pPr>
              <w:spacing w:line="300" w:lineRule="exact"/>
              <w:jc w:val="left"/>
              <w:rPr>
                <w:rFonts w:ascii="方正书宋_GBK" w:hAnsi="等线" w:eastAsia="方正书宋_GBK" w:cs="Times New Roman"/>
              </w:rPr>
            </w:pPr>
            <w:r>
              <w:rPr>
                <w:rFonts w:ascii="方正书宋_GBK" w:hAnsi="等线" w:eastAsia="方正书宋_GBK" w:cs="Times New Roman"/>
              </w:rPr>
              <w:t>2.开创共青团工作新局面。</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组织活动次数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共青团委组织活动次数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2次</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正常运行率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日常工作正常运转情况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控制资金支出</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资金支出进度占预算全额的比例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预算执行率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按照支出进度要求和预算构成执行</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社会影响力</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为群众提供优质服务保障，有利于提高工作效率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8" w:name="_Toc66978875"/>
      <w:r>
        <w:rPr>
          <w:rFonts w:ascii="方正仿宋_GBK" w:hAnsi="等线" w:eastAsia="方正仿宋_GBK" w:cs="Times New Roman"/>
          <w:b/>
          <w:sz w:val="28"/>
        </w:rPr>
        <w:t>17.纪检保障经费绩效目标表</w:t>
      </w:r>
      <w:bookmarkEnd w:id="18"/>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17、纪检保障经费绩效目标表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907001高林村镇本级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13062521TE50DHYC2O0B2</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纪检保障经费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44000.00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44000.00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通过实施纪检保障经费项目，资金主要用于纪检工作经费保障。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1.建立纪检保障长效机制，及时拨付资金。</w:t>
            </w:r>
          </w:p>
          <w:p>
            <w:pPr>
              <w:spacing w:line="300" w:lineRule="exact"/>
              <w:jc w:val="left"/>
              <w:rPr>
                <w:rFonts w:ascii="方正书宋_GBK" w:hAnsi="等线" w:eastAsia="方正书宋_GBK" w:cs="Times New Roman"/>
              </w:rPr>
            </w:pPr>
            <w:r>
              <w:rPr>
                <w:rFonts w:ascii="方正书宋_GBK" w:hAnsi="等线" w:eastAsia="方正书宋_GBK" w:cs="Times New Roman"/>
              </w:rPr>
              <w:t>2.加强镇纪检部门履职能力，保障镇纪委充分履职。</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覆盖率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享受纪检补贴的人数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≥3人</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正常运行率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日常工作正常运转情况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控制资金支出</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资金支出进度占预算全额的比例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预算执行率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按照支出进度要求和预算构成执行</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社会影响力</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有效的改善职工作环境，有利于提高工作效率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&lt;95%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9" w:name="_Toc66978876"/>
      <w:r>
        <w:rPr>
          <w:rFonts w:ascii="方正仿宋_GBK" w:hAnsi="等线" w:eastAsia="方正仿宋_GBK" w:cs="Times New Roman"/>
          <w:b/>
          <w:sz w:val="28"/>
        </w:rPr>
        <w:t>18.政府机关专项工作经费绩效目标表</w:t>
      </w:r>
      <w:bookmarkEnd w:id="19"/>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18、政府机关专项工作经费绩效目标表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907001高林村镇本级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13062521USMR5LWMQUW01</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政府机关专项工作经费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538100.00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538100.00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实施政府机关专项工作经费项目，资金用于政府机关办公费、维修维护费、劳务等支出。</w:t>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p>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30.00%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1.确保我单位日常行政管理方面工作的运行。</w:t>
            </w:r>
          </w:p>
          <w:p>
            <w:pPr>
              <w:spacing w:line="300" w:lineRule="exact"/>
              <w:jc w:val="left"/>
              <w:rPr>
                <w:rFonts w:ascii="方正书宋_GBK" w:hAnsi="等线" w:eastAsia="方正书宋_GBK" w:cs="Times New Roman"/>
              </w:rPr>
            </w:pPr>
            <w:r>
              <w:rPr>
                <w:rFonts w:ascii="方正书宋_GBK" w:hAnsi="等线" w:eastAsia="方正书宋_GBK" w:cs="Times New Roman"/>
              </w:rPr>
              <w:t>2.保障我单位设备设施、公务活动的正常运转。</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绩效评价次数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按季度评价资金使用程度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4次</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正常运行率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日常工作及设备设施的正常运转情况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控制资金支出</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资金支出进度占预算全额的比例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预算执行率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按照支出进度要求和预算构成执行</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社会影响力</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有效的改善职工作环境，有利于提高工作效率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20" w:name="_Toc66978877"/>
      <w:r>
        <w:rPr>
          <w:rFonts w:ascii="方正仿宋_GBK" w:hAnsi="等线" w:eastAsia="方正仿宋_GBK" w:cs="Times New Roman"/>
          <w:b/>
          <w:sz w:val="28"/>
        </w:rPr>
        <w:t>19.选任专职人民调解员经费绩效目标表</w:t>
      </w:r>
      <w:bookmarkEnd w:id="20"/>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19、选任专职人民调解员经费绩效目标表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907001高林村镇本级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13062521VWPCER85EBQG7</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选任专职人民调解员经费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85500.00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85500.00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通过实施此项目，资金用于司法调解员经费支出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30.00%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1.做好人民调解工作，更好、更快调解诉前案件和信访案件。</w:t>
            </w:r>
          </w:p>
          <w:p>
            <w:pPr>
              <w:spacing w:line="300" w:lineRule="exact"/>
              <w:jc w:val="left"/>
              <w:rPr>
                <w:rFonts w:ascii="方正书宋_GBK" w:hAnsi="等线" w:eastAsia="方正书宋_GBK" w:cs="Times New Roman"/>
              </w:rPr>
            </w:pPr>
            <w:r>
              <w:rPr>
                <w:rFonts w:ascii="方正书宋_GBK" w:hAnsi="等线" w:eastAsia="方正书宋_GBK" w:cs="Times New Roman"/>
              </w:rPr>
              <w:t>2.减少社会矛盾，化解社会纠纷。</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绩效评价次数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按季度评价资金使用程度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4次</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调解案件成功率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调解成功案件数量占受理案件数量的比例（百分比）</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≥70%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控制资金支出</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资金支出进度占预算全额的比例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预算执行率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按照支出进度要求和预算构成执行</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社会影响力</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有效的改善职工作环境，有利于提高工作效率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区政府工作方案</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21" w:name="_Toc66978878"/>
      <w:r>
        <w:rPr>
          <w:rFonts w:ascii="方正仿宋_GBK" w:hAnsi="等线" w:eastAsia="方正仿宋_GBK" w:cs="Times New Roman"/>
          <w:b/>
          <w:sz w:val="28"/>
        </w:rPr>
        <w:t>20.服务群众专项经费绩效目标表</w:t>
      </w:r>
      <w:bookmarkEnd w:id="21"/>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20、服务群众专项经费绩效目标表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907001高林村镇本级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13062521W01DLTSHBSIV4</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1050000.00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1050000.00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实施此项目，资金用于服务群众专项经费，保障村内组织日常活动。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1.运用服务群众专项经费，保障村内组织日常活动。</w:t>
            </w:r>
          </w:p>
          <w:p>
            <w:pPr>
              <w:spacing w:line="300" w:lineRule="exact"/>
              <w:jc w:val="left"/>
              <w:rPr>
                <w:rFonts w:ascii="方正书宋_GBK" w:hAnsi="等线" w:eastAsia="方正书宋_GBK" w:cs="Times New Roman"/>
              </w:rPr>
            </w:pPr>
            <w:r>
              <w:rPr>
                <w:rFonts w:ascii="方正书宋_GBK" w:hAnsi="等线" w:eastAsia="方正书宋_GBK" w:cs="Times New Roman"/>
              </w:rPr>
              <w:t>2.正确使用服务群众专项经费用于村内公益事业,达到群众满意。</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农村社区综合服务设施覆盖率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农村社区综合服务设施覆盖率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群众工作中心任务完成率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群众工作中心任务完成率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当年服务群众任务完成情况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运行保障成本</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运行保障成本</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达到村级组织运转保障水平</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社会稳定水平</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通过实施此项资金，促进社会稳定水平逐步提高</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逐步改善</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22" w:name="_Toc66978879"/>
      <w:r>
        <w:rPr>
          <w:rFonts w:ascii="方正仿宋_GBK" w:hAnsi="等线" w:eastAsia="方正仿宋_GBK" w:cs="Times New Roman"/>
          <w:b/>
          <w:sz w:val="28"/>
        </w:rPr>
        <w:t>21.安全生产信息员经费绩效目标表</w:t>
      </w:r>
      <w:bookmarkEnd w:id="22"/>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21、安全生产信息员经费绩效目标表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907001高林村镇本级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13062521XV2DNQL23OQ72</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安全生产信息员经费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15500.00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15500.00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通过项目实施，资金用于安全生产信息员经费。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1.通过项目实施，维持安全生产信息员队伍的稳定。</w:t>
            </w:r>
          </w:p>
          <w:p>
            <w:pPr>
              <w:spacing w:line="300" w:lineRule="exact"/>
              <w:jc w:val="left"/>
              <w:rPr>
                <w:rFonts w:ascii="方正书宋_GBK" w:hAnsi="等线" w:eastAsia="方正书宋_GBK" w:cs="Times New Roman"/>
              </w:rPr>
            </w:pPr>
            <w:r>
              <w:rPr>
                <w:rFonts w:ascii="方正书宋_GBK" w:hAnsi="等线" w:eastAsia="方正书宋_GBK" w:cs="Times New Roman"/>
              </w:rPr>
              <w:t>2.有效减少安全生产事故的发生，维护安全生产形势稳中向好。</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覆盖乡镇（办事处）数量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安全生产信息员设置覆盖乡镇（办事处）数量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≥21个</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报表信息质量合格率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报表信息质量合格率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各项任务完成及时率（%）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各项任务完成及时率（%）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人均发放水平</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人均发放水平</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500元</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补贴发放率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乡镇（办事处）安全生产信息员岗位津贴发放完成率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调查享受安全生产信息员岗位津贴人员对津贴发放的满意程度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2021年，我部门无政府采购预算，空表列示。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附部门政府采购预算表空表。</w:t>
      </w: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pPr>
    </w:p>
    <w:p>
      <w:pPr>
        <w:spacing w:line="360" w:lineRule="auto"/>
        <w:ind w:firstLine="640" w:firstLineChars="200"/>
        <w:rPr>
          <w:rFonts w:ascii="仿宋" w:hAnsi="仿宋" w:eastAsia="仿宋"/>
          <w:sz w:val="32"/>
          <w:szCs w:val="32"/>
        </w:rPr>
        <w:sectPr>
          <w:footerReference r:id="rId4" w:type="default"/>
          <w:pgSz w:w="11906" w:h="16838"/>
          <w:pgMar w:top="1440" w:right="1800" w:bottom="1440" w:left="1800" w:header="851" w:footer="992" w:gutter="0"/>
          <w:cols w:space="425" w:num="1"/>
          <w:docGrid w:type="lines" w:linePitch="312" w:charSpace="0"/>
        </w:sectPr>
      </w:pPr>
    </w:p>
    <w:p>
      <w:pPr>
        <w:jc w:val="center"/>
        <w:outlineLvl w:val="1"/>
        <w:rPr>
          <w:rFonts w:ascii="Times New Roman" w:hAnsi="宋体" w:eastAsia="宋体" w:cs="Times New Roman"/>
          <w:sz w:val="32"/>
        </w:rPr>
      </w:pPr>
      <w:bookmarkStart w:id="23" w:name="_Toc69809617"/>
      <w:r>
        <w:rPr>
          <w:rFonts w:ascii="方正小标宋_GBK" w:hAnsi="等线" w:eastAsia="方正小标宋_GBK" w:cs="Times New Roman"/>
          <w:sz w:val="32"/>
        </w:rPr>
        <w:t>部门政府采购预算</w:t>
      </w:r>
      <w:bookmarkEnd w:id="23"/>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hAnsi="等线" w:eastAsia="方正小标宋_GBK" w:cs="Times New Roman"/>
                <w:sz w:val="24"/>
              </w:rPr>
            </w:pPr>
            <w:r>
              <w:rPr>
                <w:rFonts w:hint="eastAsia" w:ascii="方正小标宋_GBK" w:hAnsi="等线" w:eastAsia="方正小标宋_GBK" w:cs="Times New Roman"/>
                <w:sz w:val="24"/>
              </w:rPr>
              <w:t>保</w:t>
            </w:r>
            <w:r>
              <w:rPr>
                <w:rFonts w:ascii="方正小标宋_GBK" w:hAnsi="等线" w:eastAsia="方正小标宋_GBK" w:cs="Times New Roman"/>
                <w:sz w:val="24"/>
              </w:rPr>
              <w:t>定市徐水区</w:t>
            </w:r>
            <w:r>
              <w:rPr>
                <w:rFonts w:hint="eastAsia" w:ascii="方正小标宋_GBK" w:hAnsi="等线" w:eastAsia="方正小标宋_GBK" w:cs="Times New Roman"/>
                <w:sz w:val="24"/>
              </w:rPr>
              <w:t>高</w:t>
            </w:r>
            <w:r>
              <w:rPr>
                <w:rFonts w:ascii="方正小标宋_GBK" w:hAnsi="等线" w:eastAsia="方正小标宋_GBK" w:cs="Times New Roman"/>
                <w:sz w:val="24"/>
              </w:rPr>
              <w:t>林村镇人民政府</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sz w:val="24"/>
              </w:rPr>
            </w:pPr>
            <w:r>
              <w:rPr>
                <w:rFonts w:ascii="方正书宋_GBK" w:hAnsi="等线" w:eastAsia="方正书宋_GBK" w:cs="Times New Roman"/>
                <w:sz w:val="24"/>
              </w:rPr>
              <w:t>单位：</w:t>
            </w:r>
            <w:r>
              <w:rPr>
                <w:rFonts w:hint="eastAsia" w:ascii="方正书宋_GBK" w:hAnsi="等线" w:eastAsia="方正书宋_GBK" w:cs="Times New Roman"/>
                <w:sz w:val="24"/>
              </w:rPr>
              <w:t>万</w:t>
            </w:r>
            <w:r>
              <w:rPr>
                <w:rFonts w:ascii="方正书宋_GBK" w:hAnsi="等线" w:eastAsia="方正书宋_GBK" w:cs="Times New Roman"/>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数量</w:t>
            </w:r>
          </w:p>
        </w:tc>
        <w:tc>
          <w:tcPr>
            <w:tcW w:w="90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单价</w:t>
            </w:r>
          </w:p>
        </w:tc>
        <w:tc>
          <w:tcPr>
            <w:tcW w:w="6804" w:type="dxa"/>
            <w:gridSpan w:val="6"/>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预算资金</w:t>
            </w:r>
          </w:p>
        </w:tc>
        <w:tc>
          <w:tcPr>
            <w:tcW w:w="1531"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1531"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709"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907"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907"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合计</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一般公共预算拨款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基金预算拨款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财政专户核拨</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8" w:hRule="atLeast"/>
          <w:jc w:val="center"/>
        </w:trPr>
        <w:tc>
          <w:tcPr>
            <w:tcW w:w="198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合  计</w:t>
            </w: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709" w:type="dxa"/>
            <w:shd w:val="clear" w:color="auto" w:fill="auto"/>
            <w:vAlign w:val="center"/>
          </w:tcPr>
          <w:p>
            <w:pPr>
              <w:spacing w:line="300" w:lineRule="exact"/>
              <w:jc w:val="center"/>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0" w:hRule="atLeast"/>
          <w:jc w:val="center"/>
        </w:trPr>
        <w:tc>
          <w:tcPr>
            <w:tcW w:w="1984" w:type="dxa"/>
            <w:shd w:val="clear" w:color="auto" w:fill="auto"/>
            <w:vAlign w:val="center"/>
          </w:tcPr>
          <w:p>
            <w:pPr>
              <w:spacing w:line="300" w:lineRule="exact"/>
              <w:jc w:val="lef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709" w:type="dxa"/>
            <w:shd w:val="clear" w:color="auto" w:fill="auto"/>
            <w:vAlign w:val="center"/>
          </w:tcPr>
          <w:p>
            <w:pPr>
              <w:spacing w:line="300" w:lineRule="exact"/>
              <w:jc w:val="center"/>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8" w:hRule="atLeast"/>
          <w:jc w:val="center"/>
        </w:trPr>
        <w:tc>
          <w:tcPr>
            <w:tcW w:w="1984" w:type="dxa"/>
            <w:shd w:val="clear" w:color="auto" w:fill="auto"/>
            <w:vAlign w:val="center"/>
          </w:tcPr>
          <w:p>
            <w:pPr>
              <w:spacing w:line="300" w:lineRule="exact"/>
              <w:jc w:val="lef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531" w:type="dxa"/>
            <w:shd w:val="clear" w:color="auto" w:fill="auto"/>
            <w:vAlign w:val="center"/>
          </w:tcPr>
          <w:p>
            <w:pPr>
              <w:spacing w:line="300" w:lineRule="exact"/>
              <w:jc w:val="left"/>
              <w:rPr>
                <w:rFonts w:ascii="方正书宋_GBK" w:hAnsi="等线" w:eastAsia="方正书宋_GBK" w:cs="Times New Roman"/>
              </w:rPr>
            </w:pPr>
          </w:p>
        </w:tc>
        <w:tc>
          <w:tcPr>
            <w:tcW w:w="1531" w:type="dxa"/>
            <w:shd w:val="clear" w:color="auto" w:fill="auto"/>
            <w:vAlign w:val="center"/>
          </w:tcPr>
          <w:p>
            <w:pPr>
              <w:spacing w:line="300" w:lineRule="exact"/>
              <w:jc w:val="left"/>
              <w:rPr>
                <w:rFonts w:ascii="方正书宋_GBK" w:hAnsi="等线" w:eastAsia="方正书宋_GBK" w:cs="Times New Roman"/>
              </w:rPr>
            </w:pPr>
          </w:p>
        </w:tc>
        <w:tc>
          <w:tcPr>
            <w:tcW w:w="709" w:type="dxa"/>
            <w:shd w:val="clear" w:color="auto" w:fill="auto"/>
            <w:vAlign w:val="center"/>
          </w:tcPr>
          <w:p>
            <w:pPr>
              <w:spacing w:line="300" w:lineRule="exact"/>
              <w:jc w:val="center"/>
              <w:rPr>
                <w:rFonts w:ascii="方正书宋_GBK" w:hAnsi="等线" w:eastAsia="方正书宋_GBK"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0" w:hRule="atLeast"/>
          <w:jc w:val="center"/>
        </w:trPr>
        <w:tc>
          <w:tcPr>
            <w:tcW w:w="1984" w:type="dxa"/>
            <w:shd w:val="clear" w:color="auto" w:fill="auto"/>
            <w:vAlign w:val="center"/>
          </w:tcPr>
          <w:p>
            <w:pPr>
              <w:spacing w:line="300" w:lineRule="exact"/>
              <w:jc w:val="lef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531" w:type="dxa"/>
            <w:shd w:val="clear" w:color="auto" w:fill="auto"/>
            <w:vAlign w:val="center"/>
          </w:tcPr>
          <w:p>
            <w:pPr>
              <w:spacing w:line="300" w:lineRule="exact"/>
              <w:jc w:val="left"/>
              <w:rPr>
                <w:rFonts w:ascii="方正书宋_GBK" w:hAnsi="等线" w:cs="Times New Roman"/>
              </w:rPr>
            </w:pPr>
          </w:p>
        </w:tc>
        <w:tc>
          <w:tcPr>
            <w:tcW w:w="1531" w:type="dxa"/>
            <w:shd w:val="clear" w:color="auto" w:fill="auto"/>
            <w:vAlign w:val="center"/>
          </w:tcPr>
          <w:p>
            <w:pPr>
              <w:spacing w:line="300" w:lineRule="exact"/>
              <w:jc w:val="left"/>
              <w:rPr>
                <w:rFonts w:ascii="方正书宋_GBK" w:hAnsi="等线" w:eastAsia="方正书宋_GBK" w:cs="Times New Roman"/>
              </w:rPr>
            </w:pPr>
          </w:p>
        </w:tc>
        <w:tc>
          <w:tcPr>
            <w:tcW w:w="709" w:type="dxa"/>
            <w:shd w:val="clear" w:color="auto" w:fill="auto"/>
            <w:vAlign w:val="center"/>
          </w:tcPr>
          <w:p>
            <w:pPr>
              <w:spacing w:line="300" w:lineRule="exact"/>
              <w:jc w:val="center"/>
              <w:rPr>
                <w:rFonts w:ascii="方正书宋_GBK" w:hAnsi="等线"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bl>
    <w:p>
      <w:pPr>
        <w:rPr>
          <w:rFonts w:ascii="等线" w:hAnsi="等线" w:eastAsia="等线" w:cs="Times New Roman"/>
        </w:rPr>
      </w:pPr>
    </w:p>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上年末我部门固定资产总金额为460.53万元（详见下表）。我部门本年度无国有资产购置计划，拟购置金额为</w:t>
      </w:r>
      <w:r>
        <w:rPr>
          <w:rFonts w:ascii="仿宋" w:hAnsi="仿宋" w:eastAsia="仿宋"/>
          <w:sz w:val="32"/>
          <w:szCs w:val="32"/>
        </w:rPr>
        <w:t>0。</w:t>
      </w:r>
    </w:p>
    <w:tbl>
      <w:tblPr>
        <w:tblStyle w:val="7"/>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460.53</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2550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231.11</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2550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231.11</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30.08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199.34</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 PAGE </w:instrText>
    </w:r>
    <w:r>
      <w:rPr>
        <w:rStyle w:val="9"/>
      </w:rPr>
      <w:fldChar w:fldCharType="separate"/>
    </w:r>
    <w:r>
      <w:rPr>
        <w:rStyle w:val="9"/>
      </w:rPr>
      <w:t>4</w:t>
    </w:r>
    <w:r>
      <w:rPr>
        <w:rStyle w:val="9"/>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34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2NDNjN2UzNTcwMzU4M2E2MDUwYWI2OTZlMDAxZWEifQ=="/>
  </w:docVars>
  <w:rsids>
    <w:rsidRoot w:val="00055F1F"/>
    <w:rsid w:val="00013B8A"/>
    <w:rsid w:val="00044FBC"/>
    <w:rsid w:val="00055F1F"/>
    <w:rsid w:val="000577EF"/>
    <w:rsid w:val="00057F18"/>
    <w:rsid w:val="00062FEE"/>
    <w:rsid w:val="00093189"/>
    <w:rsid w:val="000A445D"/>
    <w:rsid w:val="000C178B"/>
    <w:rsid w:val="00107340"/>
    <w:rsid w:val="00131DEC"/>
    <w:rsid w:val="00136AB3"/>
    <w:rsid w:val="001462BD"/>
    <w:rsid w:val="00152380"/>
    <w:rsid w:val="001638BE"/>
    <w:rsid w:val="00164810"/>
    <w:rsid w:val="00172C7A"/>
    <w:rsid w:val="00181777"/>
    <w:rsid w:val="0019011F"/>
    <w:rsid w:val="001B1924"/>
    <w:rsid w:val="001B4688"/>
    <w:rsid w:val="001B6235"/>
    <w:rsid w:val="001D22F5"/>
    <w:rsid w:val="001F4875"/>
    <w:rsid w:val="00212335"/>
    <w:rsid w:val="00265BBB"/>
    <w:rsid w:val="002918C6"/>
    <w:rsid w:val="00291EF3"/>
    <w:rsid w:val="00296524"/>
    <w:rsid w:val="002A5211"/>
    <w:rsid w:val="002A64F7"/>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1DCA"/>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368C3"/>
    <w:rsid w:val="007657C8"/>
    <w:rsid w:val="00767A77"/>
    <w:rsid w:val="00771E49"/>
    <w:rsid w:val="00782208"/>
    <w:rsid w:val="00791938"/>
    <w:rsid w:val="007A5999"/>
    <w:rsid w:val="007C7FD7"/>
    <w:rsid w:val="007F3746"/>
    <w:rsid w:val="00833132"/>
    <w:rsid w:val="00836C94"/>
    <w:rsid w:val="00845C67"/>
    <w:rsid w:val="00847D6A"/>
    <w:rsid w:val="0085661B"/>
    <w:rsid w:val="0086454E"/>
    <w:rsid w:val="008672EA"/>
    <w:rsid w:val="00891680"/>
    <w:rsid w:val="008A0099"/>
    <w:rsid w:val="008A0B5F"/>
    <w:rsid w:val="008B5402"/>
    <w:rsid w:val="008D11BC"/>
    <w:rsid w:val="0090527E"/>
    <w:rsid w:val="00905BB7"/>
    <w:rsid w:val="0090620C"/>
    <w:rsid w:val="00912DA4"/>
    <w:rsid w:val="00914004"/>
    <w:rsid w:val="009302B8"/>
    <w:rsid w:val="009305C6"/>
    <w:rsid w:val="00953FDC"/>
    <w:rsid w:val="009752AE"/>
    <w:rsid w:val="00982F3D"/>
    <w:rsid w:val="00983232"/>
    <w:rsid w:val="009A278A"/>
    <w:rsid w:val="009B6368"/>
    <w:rsid w:val="009D2F57"/>
    <w:rsid w:val="009F63C4"/>
    <w:rsid w:val="00A16957"/>
    <w:rsid w:val="00A26DF7"/>
    <w:rsid w:val="00A6155C"/>
    <w:rsid w:val="00A8079E"/>
    <w:rsid w:val="00A866F9"/>
    <w:rsid w:val="00A90328"/>
    <w:rsid w:val="00A92D66"/>
    <w:rsid w:val="00AA4262"/>
    <w:rsid w:val="00AB5A90"/>
    <w:rsid w:val="00AB7449"/>
    <w:rsid w:val="00AE4AA5"/>
    <w:rsid w:val="00AE7FA9"/>
    <w:rsid w:val="00B147EB"/>
    <w:rsid w:val="00B22155"/>
    <w:rsid w:val="00B323FB"/>
    <w:rsid w:val="00B76AA9"/>
    <w:rsid w:val="00B80FAB"/>
    <w:rsid w:val="00B81C88"/>
    <w:rsid w:val="00BA0396"/>
    <w:rsid w:val="00BA5C83"/>
    <w:rsid w:val="00BC139C"/>
    <w:rsid w:val="00BC2F7B"/>
    <w:rsid w:val="00BC6A7D"/>
    <w:rsid w:val="00BD4829"/>
    <w:rsid w:val="00BD6002"/>
    <w:rsid w:val="00BD719F"/>
    <w:rsid w:val="00BF5442"/>
    <w:rsid w:val="00C035F6"/>
    <w:rsid w:val="00C177A5"/>
    <w:rsid w:val="00C35FEE"/>
    <w:rsid w:val="00C50535"/>
    <w:rsid w:val="00C6153C"/>
    <w:rsid w:val="00C906EF"/>
    <w:rsid w:val="00CC7D74"/>
    <w:rsid w:val="00CD5956"/>
    <w:rsid w:val="00D02F97"/>
    <w:rsid w:val="00D266FD"/>
    <w:rsid w:val="00D45530"/>
    <w:rsid w:val="00D45A0E"/>
    <w:rsid w:val="00D45D23"/>
    <w:rsid w:val="00D723D1"/>
    <w:rsid w:val="00D80C60"/>
    <w:rsid w:val="00D8525F"/>
    <w:rsid w:val="00DA0C4D"/>
    <w:rsid w:val="00DA5DA7"/>
    <w:rsid w:val="00DD2BA8"/>
    <w:rsid w:val="00DE3935"/>
    <w:rsid w:val="00DE6B32"/>
    <w:rsid w:val="00DF26B8"/>
    <w:rsid w:val="00E12C68"/>
    <w:rsid w:val="00E2325B"/>
    <w:rsid w:val="00E24075"/>
    <w:rsid w:val="00E270C9"/>
    <w:rsid w:val="00E35F38"/>
    <w:rsid w:val="00E45754"/>
    <w:rsid w:val="00E46F27"/>
    <w:rsid w:val="00E509CC"/>
    <w:rsid w:val="00E56DC0"/>
    <w:rsid w:val="00E71A04"/>
    <w:rsid w:val="00E90DA6"/>
    <w:rsid w:val="00E96342"/>
    <w:rsid w:val="00EA2FEA"/>
    <w:rsid w:val="00EA56CB"/>
    <w:rsid w:val="00EA7853"/>
    <w:rsid w:val="00EC6B0A"/>
    <w:rsid w:val="00F000B1"/>
    <w:rsid w:val="00F012D3"/>
    <w:rsid w:val="00F044C3"/>
    <w:rsid w:val="00F10D04"/>
    <w:rsid w:val="00F169E3"/>
    <w:rsid w:val="00F35D4B"/>
    <w:rsid w:val="00F3746B"/>
    <w:rsid w:val="00F572CB"/>
    <w:rsid w:val="00F621AF"/>
    <w:rsid w:val="00F65283"/>
    <w:rsid w:val="00F8024E"/>
    <w:rsid w:val="00F82447"/>
    <w:rsid w:val="00F868E5"/>
    <w:rsid w:val="00FB2F32"/>
    <w:rsid w:val="00FC3191"/>
    <w:rsid w:val="00FE0F1F"/>
    <w:rsid w:val="00FF2784"/>
    <w:rsid w:val="00FF61F3"/>
    <w:rsid w:val="3D032686"/>
    <w:rsid w:val="3DF7015B"/>
    <w:rsid w:val="517D0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autoRedefine/>
    <w:unhideWhenUsed/>
    <w:qFormat/>
    <w:uiPriority w:val="39"/>
    <w:pPr>
      <w:ind w:left="1260" w:leftChars="600"/>
    </w:pPr>
    <w:rPr>
      <w:rFonts w:ascii="等线" w:hAnsi="等线" w:eastAsia="等线" w:cs="Times New Roman"/>
    </w:rPr>
  </w:style>
  <w:style w:type="paragraph" w:styleId="6">
    <w:name w:val="toc 2"/>
    <w:basedOn w:val="1"/>
    <w:next w:val="1"/>
    <w:autoRedefine/>
    <w:unhideWhenUsed/>
    <w:qFormat/>
    <w:uiPriority w:val="39"/>
    <w:pPr>
      <w:ind w:left="420" w:leftChars="200"/>
    </w:pPr>
    <w:rPr>
      <w:rFonts w:ascii="等线" w:hAnsi="等线" w:eastAsia="等线" w:cs="Times New Roman"/>
    </w:rPr>
  </w:style>
  <w:style w:type="character" w:styleId="9">
    <w:name w:val="page number"/>
    <w:autoRedefine/>
    <w:semiHidden/>
    <w:unhideWhenUsed/>
    <w:qFormat/>
    <w:uiPriority w:val="99"/>
  </w:style>
  <w:style w:type="character" w:styleId="10">
    <w:name w:val="Hyperlink"/>
    <w:autoRedefine/>
    <w:unhideWhenUsed/>
    <w:qFormat/>
    <w:uiPriority w:val="99"/>
    <w:rPr>
      <w:color w:val="0563C1"/>
      <w:u w:val="single"/>
    </w:rPr>
  </w:style>
  <w:style w:type="character" w:customStyle="1" w:styleId="11">
    <w:name w:val="页眉 Char"/>
    <w:basedOn w:val="8"/>
    <w:link w:val="4"/>
    <w:autoRedefine/>
    <w:qFormat/>
    <w:uiPriority w:val="99"/>
    <w:rPr>
      <w:sz w:val="18"/>
      <w:szCs w:val="18"/>
    </w:rPr>
  </w:style>
  <w:style w:type="character" w:customStyle="1" w:styleId="12">
    <w:name w:val="页脚 Char"/>
    <w:basedOn w:val="8"/>
    <w:link w:val="3"/>
    <w:uiPriority w:val="99"/>
    <w:rPr>
      <w:sz w:val="18"/>
      <w:szCs w:val="18"/>
    </w:rPr>
  </w:style>
  <w:style w:type="character" w:customStyle="1" w:styleId="13">
    <w:name w:val="批注框文本 Char"/>
    <w:basedOn w:val="8"/>
    <w:link w:val="2"/>
    <w:semiHidden/>
    <w:uiPriority w:val="99"/>
    <w:rPr>
      <w:sz w:val="18"/>
      <w:szCs w:val="18"/>
    </w:rPr>
  </w:style>
  <w:style w:type="character" w:customStyle="1" w:styleId="14">
    <w:name w:val="页脚 字符"/>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DEB54-F4E6-448C-804B-9CBC10F713BE}">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2637</Words>
  <Characters>15034</Characters>
  <Lines>125</Lines>
  <Paragraphs>35</Paragraphs>
  <TotalTime>729</TotalTime>
  <ScaleCrop>false</ScaleCrop>
  <LinksUpToDate>false</LinksUpToDate>
  <CharactersWithSpaces>17636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2021-04-14T02:06:00Z</cp:lastPrinted>
  <dcterms:modified xsi:type="dcterms:W3CDTF">2024-08-07T08:24:00Z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178561596237483CB5FEA214424F0388_12</vt:lpwstr>
  </property>
</Properties>
</file>