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26E50B">
      <w:pPr>
        <w:widowControl w:val="0"/>
        <w:adjustRightInd/>
        <w:snapToGrid/>
        <w:spacing w:after="0" w:line="540" w:lineRule="exact"/>
        <w:rPr>
          <w:rFonts w:ascii="Times New Roman" w:hAnsi="Times New Roman" w:eastAsia="宋体"/>
          <w:kern w:val="2"/>
          <w:sz w:val="32"/>
          <w:szCs w:val="32"/>
        </w:rPr>
      </w:pPr>
      <w:r>
        <w:rPr>
          <w:rFonts w:hint="eastAsia" w:ascii="Times New Roman" w:hAnsi="Times New Roman" w:eastAsia="宋体" w:cs="宋体"/>
          <w:kern w:val="2"/>
          <w:sz w:val="32"/>
          <w:szCs w:val="32"/>
        </w:rPr>
        <w:t>附件</w:t>
      </w:r>
      <w:r>
        <w:rPr>
          <w:rFonts w:ascii="Times New Roman" w:hAnsi="Times New Roman" w:eastAsia="宋体" w:cs="Times New Roman"/>
          <w:kern w:val="2"/>
          <w:sz w:val="32"/>
          <w:szCs w:val="32"/>
        </w:rPr>
        <w:t>3</w:t>
      </w:r>
      <w:r>
        <w:rPr>
          <w:rFonts w:hint="eastAsia" w:ascii="Times New Roman" w:hAnsi="Times New Roman" w:eastAsia="宋体" w:cs="宋体"/>
          <w:kern w:val="2"/>
          <w:sz w:val="32"/>
          <w:szCs w:val="32"/>
        </w:rPr>
        <w:t>：</w:t>
      </w:r>
    </w:p>
    <w:p w14:paraId="671AED5E">
      <w:pPr>
        <w:widowControl w:val="0"/>
        <w:adjustRightInd/>
        <w:snapToGrid/>
        <w:spacing w:after="0" w:line="540" w:lineRule="exact"/>
        <w:ind w:firstLine="1440" w:firstLineChars="200"/>
        <w:jc w:val="both"/>
        <w:rPr>
          <w:rFonts w:ascii="Times New Roman" w:hAnsi="Times New Roman" w:eastAsia="宋体"/>
          <w:kern w:val="2"/>
          <w:sz w:val="72"/>
          <w:szCs w:val="72"/>
        </w:rPr>
      </w:pPr>
    </w:p>
    <w:p w14:paraId="39D7892A">
      <w:pPr>
        <w:widowControl w:val="0"/>
        <w:adjustRightInd/>
        <w:snapToGrid/>
        <w:spacing w:after="0" w:line="480" w:lineRule="auto"/>
        <w:jc w:val="center"/>
        <w:rPr>
          <w:rFonts w:ascii="黑体" w:hAnsi="黑体" w:eastAsia="黑体"/>
          <w:kern w:val="2"/>
          <w:sz w:val="48"/>
          <w:szCs w:val="48"/>
        </w:rPr>
      </w:pPr>
      <w:r>
        <w:rPr>
          <w:rFonts w:hint="eastAsia" w:ascii="黑体" w:hAnsi="黑体" w:eastAsia="黑体" w:cs="黑体"/>
          <w:kern w:val="2"/>
          <w:sz w:val="48"/>
          <w:szCs w:val="48"/>
        </w:rPr>
        <w:t>保定市徐水区</w:t>
      </w:r>
      <w:r>
        <w:rPr>
          <w:rFonts w:hint="eastAsia" w:ascii="黑体" w:hAnsi="黑体" w:eastAsia="黑体" w:cs="黑体"/>
          <w:color w:val="auto"/>
          <w:kern w:val="2"/>
          <w:sz w:val="48"/>
          <w:szCs w:val="48"/>
        </w:rPr>
        <w:t>总工会</w:t>
      </w:r>
      <w:r>
        <w:rPr>
          <w:rFonts w:ascii="黑体" w:hAnsi="黑体" w:eastAsia="黑体" w:cs="黑体"/>
          <w:kern w:val="2"/>
          <w:sz w:val="48"/>
          <w:szCs w:val="48"/>
        </w:rPr>
        <w:t>2019</w:t>
      </w:r>
      <w:r>
        <w:rPr>
          <w:rFonts w:hint="eastAsia" w:ascii="黑体" w:hAnsi="黑体" w:eastAsia="黑体" w:cs="黑体"/>
          <w:kern w:val="2"/>
          <w:sz w:val="48"/>
          <w:szCs w:val="48"/>
        </w:rPr>
        <w:t>年部门</w:t>
      </w:r>
    </w:p>
    <w:p w14:paraId="0B5682E3">
      <w:pPr>
        <w:widowControl w:val="0"/>
        <w:adjustRightInd/>
        <w:snapToGrid/>
        <w:spacing w:after="0" w:line="480" w:lineRule="auto"/>
        <w:jc w:val="center"/>
        <w:rPr>
          <w:rFonts w:ascii="黑体" w:hAnsi="黑体" w:eastAsia="黑体"/>
          <w:kern w:val="2"/>
          <w:sz w:val="48"/>
          <w:szCs w:val="48"/>
        </w:rPr>
      </w:pPr>
      <w:r>
        <w:rPr>
          <w:rFonts w:hint="eastAsia" w:ascii="黑体" w:hAnsi="黑体" w:eastAsia="黑体" w:cs="黑体"/>
          <w:kern w:val="2"/>
          <w:sz w:val="48"/>
          <w:szCs w:val="48"/>
        </w:rPr>
        <w:t>整体支出绩效评价自评报告</w:t>
      </w:r>
    </w:p>
    <w:p w14:paraId="1B39A805">
      <w:pPr>
        <w:widowControl w:val="0"/>
        <w:adjustRightInd/>
        <w:snapToGrid/>
        <w:spacing w:after="0" w:line="540" w:lineRule="exact"/>
        <w:ind w:firstLine="1440" w:firstLineChars="200"/>
        <w:jc w:val="both"/>
        <w:rPr>
          <w:rFonts w:hint="eastAsia" w:ascii="Times New Roman" w:hAnsi="Times New Roman" w:eastAsia="宋体"/>
          <w:kern w:val="2"/>
          <w:sz w:val="72"/>
          <w:szCs w:val="72"/>
          <w:lang w:eastAsia="zh-CN"/>
        </w:rPr>
      </w:pPr>
    </w:p>
    <w:p w14:paraId="5C95E169">
      <w:pPr>
        <w:widowControl w:val="0"/>
        <w:adjustRightInd/>
        <w:snapToGrid/>
        <w:spacing w:after="0" w:line="540" w:lineRule="exact"/>
        <w:ind w:firstLine="1440" w:firstLineChars="200"/>
        <w:jc w:val="both"/>
        <w:rPr>
          <w:rFonts w:ascii="Times New Roman" w:hAnsi="Times New Roman" w:eastAsia="宋体"/>
          <w:kern w:val="2"/>
          <w:sz w:val="72"/>
          <w:szCs w:val="72"/>
        </w:rPr>
      </w:pPr>
    </w:p>
    <w:p w14:paraId="70B159C0">
      <w:pPr>
        <w:widowControl w:val="0"/>
        <w:adjustRightInd/>
        <w:snapToGrid/>
        <w:spacing w:after="0" w:line="540" w:lineRule="exact"/>
        <w:ind w:firstLine="1440" w:firstLineChars="200"/>
        <w:jc w:val="both"/>
        <w:rPr>
          <w:rFonts w:ascii="Times New Roman" w:hAnsi="Times New Roman" w:eastAsia="宋体"/>
          <w:kern w:val="2"/>
          <w:sz w:val="72"/>
          <w:szCs w:val="72"/>
        </w:rPr>
      </w:pPr>
    </w:p>
    <w:p w14:paraId="4E992AF5">
      <w:pPr>
        <w:widowControl w:val="0"/>
        <w:adjustRightInd/>
        <w:snapToGrid/>
        <w:spacing w:after="0" w:line="540" w:lineRule="exact"/>
        <w:ind w:firstLine="1440" w:firstLineChars="200"/>
        <w:jc w:val="both"/>
        <w:rPr>
          <w:rFonts w:ascii="Times New Roman" w:hAnsi="Times New Roman" w:eastAsia="宋体"/>
          <w:kern w:val="2"/>
          <w:sz w:val="72"/>
          <w:szCs w:val="72"/>
        </w:rPr>
      </w:pPr>
    </w:p>
    <w:p w14:paraId="7FA75E1E">
      <w:pPr>
        <w:widowControl w:val="0"/>
        <w:adjustRightInd/>
        <w:snapToGrid/>
        <w:spacing w:after="0" w:line="540" w:lineRule="exact"/>
        <w:ind w:firstLine="1440" w:firstLineChars="200"/>
        <w:jc w:val="both"/>
        <w:rPr>
          <w:rFonts w:ascii="Times New Roman" w:hAnsi="Times New Roman" w:eastAsia="宋体"/>
          <w:kern w:val="2"/>
          <w:sz w:val="72"/>
          <w:szCs w:val="72"/>
        </w:rPr>
      </w:pPr>
    </w:p>
    <w:p w14:paraId="415DEBED">
      <w:pPr>
        <w:widowControl w:val="0"/>
        <w:adjustRightInd/>
        <w:snapToGrid/>
        <w:spacing w:after="0" w:line="540" w:lineRule="exact"/>
        <w:ind w:firstLine="1440" w:firstLineChars="200"/>
        <w:jc w:val="both"/>
        <w:rPr>
          <w:rFonts w:ascii="Times New Roman" w:hAnsi="Times New Roman" w:eastAsia="宋体"/>
          <w:kern w:val="2"/>
          <w:sz w:val="72"/>
          <w:szCs w:val="72"/>
        </w:rPr>
      </w:pPr>
    </w:p>
    <w:p w14:paraId="0D6A8DA9">
      <w:pPr>
        <w:widowControl w:val="0"/>
        <w:adjustRightInd/>
        <w:snapToGrid/>
        <w:spacing w:after="0" w:line="540" w:lineRule="exact"/>
        <w:ind w:firstLine="1440" w:firstLineChars="200"/>
        <w:jc w:val="both"/>
        <w:rPr>
          <w:rFonts w:ascii="Times New Roman" w:hAnsi="Times New Roman" w:eastAsia="宋体"/>
          <w:kern w:val="2"/>
          <w:sz w:val="72"/>
          <w:szCs w:val="72"/>
        </w:rPr>
      </w:pPr>
    </w:p>
    <w:p w14:paraId="160652BB">
      <w:pPr>
        <w:widowControl w:val="0"/>
        <w:adjustRightInd/>
        <w:snapToGrid/>
        <w:spacing w:after="0" w:line="540" w:lineRule="exact"/>
        <w:ind w:firstLine="1440" w:firstLineChars="200"/>
        <w:jc w:val="both"/>
        <w:rPr>
          <w:rFonts w:ascii="Times New Roman" w:hAnsi="Times New Roman" w:eastAsia="宋体"/>
          <w:kern w:val="2"/>
          <w:sz w:val="72"/>
          <w:szCs w:val="72"/>
        </w:rPr>
      </w:pPr>
    </w:p>
    <w:p w14:paraId="2ABC9561">
      <w:pPr>
        <w:widowControl w:val="0"/>
        <w:adjustRightInd/>
        <w:snapToGrid/>
        <w:spacing w:after="0" w:line="540" w:lineRule="exact"/>
        <w:ind w:firstLine="1440" w:firstLineChars="200"/>
        <w:jc w:val="both"/>
        <w:rPr>
          <w:rFonts w:ascii="Times New Roman" w:hAnsi="Times New Roman" w:eastAsia="宋体"/>
          <w:kern w:val="2"/>
          <w:sz w:val="72"/>
          <w:szCs w:val="72"/>
        </w:rPr>
      </w:pPr>
    </w:p>
    <w:p w14:paraId="7C8120EB">
      <w:pPr>
        <w:widowControl w:val="0"/>
        <w:adjustRightInd/>
        <w:snapToGrid/>
        <w:spacing w:after="0" w:line="540" w:lineRule="exact"/>
        <w:ind w:firstLine="1440" w:firstLineChars="200"/>
        <w:jc w:val="both"/>
        <w:rPr>
          <w:rFonts w:ascii="Times New Roman" w:hAnsi="Times New Roman" w:eastAsia="宋体"/>
          <w:kern w:val="2"/>
          <w:sz w:val="72"/>
          <w:szCs w:val="72"/>
        </w:rPr>
      </w:pPr>
    </w:p>
    <w:p w14:paraId="633B6F8F">
      <w:pPr>
        <w:widowControl w:val="0"/>
        <w:adjustRightInd/>
        <w:snapToGrid/>
        <w:spacing w:after="0" w:line="540" w:lineRule="exact"/>
        <w:ind w:firstLine="1440" w:firstLineChars="200"/>
        <w:jc w:val="both"/>
        <w:rPr>
          <w:rFonts w:ascii="Times New Roman" w:hAnsi="Times New Roman" w:eastAsia="宋体"/>
          <w:kern w:val="2"/>
          <w:sz w:val="72"/>
          <w:szCs w:val="72"/>
        </w:rPr>
      </w:pPr>
    </w:p>
    <w:p w14:paraId="621E3F37">
      <w:pPr>
        <w:widowControl w:val="0"/>
        <w:adjustRightInd/>
        <w:snapToGrid/>
        <w:spacing w:after="0" w:line="540" w:lineRule="exact"/>
        <w:ind w:firstLine="1440" w:firstLineChars="200"/>
        <w:jc w:val="both"/>
        <w:rPr>
          <w:rFonts w:ascii="Times New Roman" w:hAnsi="Times New Roman" w:eastAsia="宋体"/>
          <w:kern w:val="2"/>
          <w:sz w:val="72"/>
          <w:szCs w:val="72"/>
        </w:rPr>
      </w:pPr>
    </w:p>
    <w:p w14:paraId="1657E376">
      <w:pPr>
        <w:widowControl w:val="0"/>
        <w:adjustRightInd/>
        <w:snapToGrid/>
        <w:spacing w:after="0" w:line="540" w:lineRule="exact"/>
        <w:ind w:firstLine="1440" w:firstLineChars="200"/>
        <w:jc w:val="both"/>
        <w:rPr>
          <w:rFonts w:ascii="Times New Roman" w:hAnsi="Times New Roman" w:eastAsia="宋体"/>
          <w:kern w:val="2"/>
          <w:sz w:val="72"/>
          <w:szCs w:val="72"/>
        </w:rPr>
      </w:pPr>
    </w:p>
    <w:p w14:paraId="4937827A">
      <w:pPr>
        <w:widowControl w:val="0"/>
        <w:adjustRightInd/>
        <w:snapToGrid/>
        <w:spacing w:after="0" w:line="540" w:lineRule="exact"/>
        <w:ind w:firstLine="720" w:firstLineChars="200"/>
        <w:jc w:val="center"/>
        <w:rPr>
          <w:rFonts w:ascii="宋体" w:hAnsi="宋体" w:eastAsia="宋体"/>
          <w:kern w:val="2"/>
          <w:sz w:val="36"/>
          <w:szCs w:val="36"/>
        </w:rPr>
      </w:pPr>
      <w:r>
        <w:rPr>
          <w:rFonts w:ascii="宋体" w:hAnsi="宋体" w:eastAsia="宋体" w:cs="宋体"/>
          <w:kern w:val="2"/>
          <w:sz w:val="36"/>
          <w:szCs w:val="36"/>
        </w:rPr>
        <w:t>2020</w:t>
      </w:r>
      <w:r>
        <w:rPr>
          <w:rFonts w:hint="eastAsia" w:ascii="宋体" w:hAnsi="宋体" w:eastAsia="宋体" w:cs="宋体"/>
          <w:kern w:val="2"/>
          <w:sz w:val="36"/>
          <w:szCs w:val="36"/>
        </w:rPr>
        <w:t>年</w:t>
      </w:r>
      <w:r>
        <w:rPr>
          <w:rFonts w:ascii="宋体" w:hAnsi="宋体" w:eastAsia="宋体" w:cs="宋体"/>
          <w:kern w:val="2"/>
          <w:sz w:val="36"/>
          <w:szCs w:val="36"/>
        </w:rPr>
        <w:t>8</w:t>
      </w:r>
      <w:r>
        <w:rPr>
          <w:rFonts w:hint="eastAsia" w:ascii="宋体" w:hAnsi="宋体" w:eastAsia="宋体" w:cs="宋体"/>
          <w:kern w:val="2"/>
          <w:sz w:val="36"/>
          <w:szCs w:val="36"/>
        </w:rPr>
        <w:t>月</w:t>
      </w:r>
    </w:p>
    <w:p w14:paraId="3831E6DB">
      <w:pPr>
        <w:widowControl w:val="0"/>
        <w:adjustRightInd/>
        <w:snapToGrid/>
        <w:spacing w:after="0" w:line="540" w:lineRule="exact"/>
        <w:ind w:firstLine="1440" w:firstLineChars="200"/>
        <w:jc w:val="both"/>
        <w:rPr>
          <w:rFonts w:ascii="Times New Roman" w:hAnsi="Times New Roman" w:eastAsia="宋体"/>
          <w:kern w:val="2"/>
          <w:sz w:val="72"/>
          <w:szCs w:val="72"/>
        </w:rPr>
      </w:pPr>
    </w:p>
    <w:p w14:paraId="07CC623D">
      <w:pPr>
        <w:widowControl w:val="0"/>
        <w:adjustRightInd/>
        <w:snapToGrid/>
        <w:spacing w:after="0" w:line="540" w:lineRule="exact"/>
        <w:ind w:firstLine="1440" w:firstLineChars="200"/>
        <w:jc w:val="both"/>
        <w:rPr>
          <w:rFonts w:ascii="Times New Roman" w:hAnsi="Times New Roman" w:eastAsia="宋体"/>
          <w:kern w:val="2"/>
          <w:sz w:val="72"/>
          <w:szCs w:val="72"/>
        </w:rPr>
      </w:pPr>
    </w:p>
    <w:p w14:paraId="41E6C3DC">
      <w:pPr>
        <w:widowControl w:val="0"/>
        <w:adjustRightInd/>
        <w:snapToGrid/>
        <w:spacing w:after="0" w:line="540" w:lineRule="exact"/>
        <w:ind w:firstLine="1440" w:firstLineChars="200"/>
        <w:jc w:val="both"/>
        <w:rPr>
          <w:rFonts w:ascii="Times New Roman" w:hAnsi="Times New Roman" w:eastAsia="宋体"/>
          <w:kern w:val="2"/>
          <w:sz w:val="72"/>
          <w:szCs w:val="72"/>
        </w:rPr>
      </w:pPr>
    </w:p>
    <w:p w14:paraId="68647CB5">
      <w:pPr>
        <w:pStyle w:val="71"/>
        <w:ind w:firstLine="883" w:firstLineChars="200"/>
        <w:jc w:val="center"/>
        <w:rPr>
          <w:rFonts w:cs="Tahoma"/>
          <w:color w:val="auto"/>
          <w:sz w:val="44"/>
          <w:szCs w:val="44"/>
          <w:lang w:val="zh-CN"/>
        </w:rPr>
      </w:pPr>
      <w:r>
        <w:rPr>
          <w:rFonts w:hint="eastAsia" w:cs="宋体"/>
          <w:color w:val="auto"/>
          <w:sz w:val="44"/>
          <w:szCs w:val="44"/>
          <w:lang w:val="zh-CN"/>
        </w:rPr>
        <w:t>目</w:t>
      </w:r>
      <w:r>
        <w:rPr>
          <w:color w:val="auto"/>
          <w:sz w:val="44"/>
          <w:szCs w:val="44"/>
          <w:lang w:val="zh-CN"/>
        </w:rPr>
        <w:t xml:space="preserve">    </w:t>
      </w:r>
      <w:r>
        <w:rPr>
          <w:rFonts w:hint="eastAsia" w:cs="宋体"/>
          <w:color w:val="auto"/>
          <w:sz w:val="44"/>
          <w:szCs w:val="44"/>
          <w:lang w:val="zh-CN"/>
        </w:rPr>
        <w:t>录</w:t>
      </w:r>
    </w:p>
    <w:p w14:paraId="01C0AD38">
      <w:pPr>
        <w:pStyle w:val="18"/>
        <w:tabs>
          <w:tab w:val="right" w:leader="dot" w:pos="8312"/>
        </w:tabs>
        <w:spacing w:line="312" w:lineRule="auto"/>
        <w:ind w:left="0" w:leftChars="0"/>
        <w:rPr>
          <w:rFonts w:ascii="宋体" w:cs="Tahoma"/>
          <w:b/>
          <w:bCs/>
          <w:sz w:val="24"/>
          <w:szCs w:val="24"/>
        </w:rPr>
      </w:pPr>
      <w:r>
        <w:rPr>
          <w:rFonts w:ascii="宋体" w:hAnsi="宋体" w:cs="宋体"/>
          <w:sz w:val="24"/>
          <w:szCs w:val="24"/>
        </w:rPr>
        <w:fldChar w:fldCharType="begin"/>
      </w:r>
      <w:r>
        <w:rPr>
          <w:rFonts w:ascii="宋体" w:hAnsi="宋体" w:cs="宋体"/>
          <w:sz w:val="24"/>
          <w:szCs w:val="24"/>
        </w:rPr>
        <w:instrText xml:space="preserve"> TOC \o "1-3" \h \z \u </w:instrText>
      </w:r>
      <w:r>
        <w:rPr>
          <w:rFonts w:ascii="宋体" w:hAnsi="宋体" w:cs="宋体"/>
          <w:sz w:val="24"/>
          <w:szCs w:val="24"/>
        </w:rPr>
        <w:fldChar w:fldCharType="separate"/>
      </w:r>
      <w:r>
        <w:fldChar w:fldCharType="begin"/>
      </w:r>
      <w:r>
        <w:instrText xml:space="preserve"> HYPERLINK \l "_Toc25184" </w:instrText>
      </w:r>
      <w:r>
        <w:fldChar w:fldCharType="separate"/>
      </w:r>
      <w:r>
        <w:rPr>
          <w:rFonts w:hint="eastAsia" w:ascii="宋体" w:hAnsi="宋体" w:cs="宋体"/>
          <w:b/>
          <w:bCs/>
          <w:sz w:val="24"/>
          <w:szCs w:val="24"/>
        </w:rPr>
        <w:t>第一部分</w:t>
      </w:r>
      <w:r>
        <w:rPr>
          <w:rFonts w:ascii="宋体" w:hAnsi="宋体" w:cs="宋体"/>
          <w:b/>
          <w:bCs/>
          <w:sz w:val="24"/>
          <w:szCs w:val="24"/>
        </w:rPr>
        <w:t xml:space="preserve">   </w:t>
      </w:r>
      <w:r>
        <w:rPr>
          <w:rFonts w:hint="eastAsia" w:ascii="宋体" w:hAnsi="宋体" w:cs="宋体"/>
          <w:b/>
          <w:bCs/>
          <w:sz w:val="24"/>
          <w:szCs w:val="24"/>
        </w:rPr>
        <w:t>摘</w:t>
      </w:r>
      <w:r>
        <w:rPr>
          <w:rFonts w:ascii="宋体" w:hAnsi="宋体" w:cs="宋体"/>
          <w:b/>
          <w:bCs/>
          <w:sz w:val="24"/>
          <w:szCs w:val="24"/>
        </w:rPr>
        <w:t xml:space="preserve">  </w:t>
      </w:r>
      <w:r>
        <w:rPr>
          <w:rFonts w:hint="eastAsia" w:ascii="宋体" w:hAnsi="宋体" w:cs="宋体"/>
          <w:b/>
          <w:bCs/>
          <w:sz w:val="24"/>
          <w:szCs w:val="24"/>
        </w:rPr>
        <w:t>要</w:t>
      </w:r>
      <w:r>
        <w:rPr>
          <w:rFonts w:ascii="宋体" w:cs="Tahoma"/>
          <w:b/>
          <w:bCs/>
          <w:sz w:val="24"/>
          <w:szCs w:val="24"/>
        </w:rPr>
        <w:tab/>
      </w:r>
      <w:r>
        <w:rPr>
          <w:rFonts w:ascii="宋体" w:hAnsi="宋体" w:cs="宋体"/>
          <w:b/>
          <w:bCs/>
          <w:sz w:val="24"/>
          <w:szCs w:val="24"/>
        </w:rPr>
        <w:fldChar w:fldCharType="begin"/>
      </w:r>
      <w:r>
        <w:rPr>
          <w:rFonts w:ascii="宋体" w:hAnsi="宋体" w:cs="宋体"/>
          <w:b/>
          <w:bCs/>
          <w:sz w:val="24"/>
          <w:szCs w:val="24"/>
        </w:rPr>
        <w:instrText xml:space="preserve"> PAGEREF _Toc25184 </w:instrText>
      </w:r>
      <w:r>
        <w:rPr>
          <w:rFonts w:ascii="宋体" w:hAnsi="宋体" w:cs="宋体"/>
          <w:b/>
          <w:bCs/>
          <w:sz w:val="24"/>
          <w:szCs w:val="24"/>
        </w:rPr>
        <w:fldChar w:fldCharType="separate"/>
      </w:r>
      <w:r>
        <w:rPr>
          <w:rFonts w:ascii="宋体" w:hAnsi="宋体" w:cs="宋体"/>
          <w:b/>
          <w:bCs/>
          <w:sz w:val="24"/>
          <w:szCs w:val="24"/>
        </w:rPr>
        <w:t>1</w:t>
      </w:r>
      <w:r>
        <w:rPr>
          <w:rFonts w:ascii="宋体" w:hAnsi="宋体" w:cs="宋体"/>
          <w:b/>
          <w:bCs/>
          <w:sz w:val="24"/>
          <w:szCs w:val="24"/>
        </w:rPr>
        <w:fldChar w:fldCharType="end"/>
      </w:r>
      <w:r>
        <w:rPr>
          <w:rFonts w:ascii="宋体" w:hAnsi="宋体" w:cs="宋体"/>
          <w:b/>
          <w:bCs/>
          <w:sz w:val="24"/>
          <w:szCs w:val="24"/>
        </w:rPr>
        <w:fldChar w:fldCharType="end"/>
      </w:r>
    </w:p>
    <w:p w14:paraId="72844185">
      <w:pPr>
        <w:pStyle w:val="18"/>
        <w:tabs>
          <w:tab w:val="right" w:leader="dot" w:pos="8312"/>
        </w:tabs>
        <w:spacing w:line="312" w:lineRule="auto"/>
        <w:ind w:left="0" w:leftChars="0"/>
        <w:rPr>
          <w:rFonts w:ascii="宋体" w:cs="Tahoma"/>
          <w:sz w:val="24"/>
          <w:szCs w:val="24"/>
        </w:rPr>
      </w:pPr>
      <w:r>
        <w:fldChar w:fldCharType="begin"/>
      </w:r>
      <w:r>
        <w:instrText xml:space="preserve"> HYPERLINK \l "_Toc4346" </w:instrText>
      </w:r>
      <w:r>
        <w:fldChar w:fldCharType="separate"/>
      </w:r>
      <w:r>
        <w:rPr>
          <w:rFonts w:hint="eastAsia" w:ascii="宋体" w:hAnsi="宋体" w:cs="宋体"/>
          <w:b/>
          <w:bCs/>
          <w:sz w:val="24"/>
          <w:szCs w:val="24"/>
        </w:rPr>
        <w:t>第二部分</w:t>
      </w:r>
      <w:r>
        <w:rPr>
          <w:rFonts w:ascii="宋体" w:hAnsi="宋体" w:cs="宋体"/>
          <w:b/>
          <w:bCs/>
          <w:sz w:val="24"/>
          <w:szCs w:val="24"/>
        </w:rPr>
        <w:t xml:space="preserve">   </w:t>
      </w:r>
      <w:r>
        <w:rPr>
          <w:rFonts w:hint="eastAsia" w:ascii="宋体" w:hAnsi="宋体" w:cs="宋体"/>
          <w:b/>
          <w:bCs/>
          <w:sz w:val="24"/>
          <w:szCs w:val="24"/>
        </w:rPr>
        <w:t>绩效评价报告</w:t>
      </w:r>
      <w:r>
        <w:rPr>
          <w:rFonts w:ascii="宋体" w:cs="Tahoma"/>
          <w:b/>
          <w:bCs/>
          <w:sz w:val="24"/>
          <w:szCs w:val="24"/>
        </w:rPr>
        <w:tab/>
      </w:r>
      <w:r>
        <w:rPr>
          <w:rFonts w:ascii="宋体" w:hAnsi="宋体" w:cs="宋体"/>
          <w:b/>
          <w:bCs/>
          <w:sz w:val="24"/>
          <w:szCs w:val="24"/>
        </w:rPr>
        <w:fldChar w:fldCharType="begin"/>
      </w:r>
      <w:r>
        <w:rPr>
          <w:rFonts w:ascii="宋体" w:hAnsi="宋体" w:cs="宋体"/>
          <w:b/>
          <w:bCs/>
          <w:sz w:val="24"/>
          <w:szCs w:val="24"/>
        </w:rPr>
        <w:instrText xml:space="preserve"> PAGEREF _Toc4346 </w:instrText>
      </w:r>
      <w:r>
        <w:rPr>
          <w:rFonts w:ascii="宋体" w:hAnsi="宋体" w:cs="宋体"/>
          <w:b/>
          <w:bCs/>
          <w:sz w:val="24"/>
          <w:szCs w:val="24"/>
        </w:rPr>
        <w:fldChar w:fldCharType="separate"/>
      </w:r>
      <w:r>
        <w:rPr>
          <w:rFonts w:ascii="宋体" w:hAnsi="宋体" w:cs="宋体"/>
          <w:b/>
          <w:bCs/>
          <w:sz w:val="24"/>
          <w:szCs w:val="24"/>
        </w:rPr>
        <w:t>4</w:t>
      </w:r>
      <w:r>
        <w:rPr>
          <w:rFonts w:ascii="宋体" w:hAnsi="宋体" w:cs="宋体"/>
          <w:b/>
          <w:bCs/>
          <w:sz w:val="24"/>
          <w:szCs w:val="24"/>
        </w:rPr>
        <w:fldChar w:fldCharType="end"/>
      </w:r>
      <w:r>
        <w:rPr>
          <w:rFonts w:ascii="宋体" w:hAnsi="宋体" w:cs="宋体"/>
          <w:b/>
          <w:bCs/>
          <w:sz w:val="24"/>
          <w:szCs w:val="24"/>
        </w:rPr>
        <w:fldChar w:fldCharType="end"/>
      </w:r>
    </w:p>
    <w:p w14:paraId="541E6F59">
      <w:pPr>
        <w:pStyle w:val="18"/>
        <w:tabs>
          <w:tab w:val="right" w:leader="dot" w:pos="8312"/>
        </w:tabs>
        <w:spacing w:line="312" w:lineRule="auto"/>
        <w:ind w:left="0" w:leftChars="0"/>
        <w:rPr>
          <w:rFonts w:ascii="宋体" w:cs="Tahoma"/>
          <w:b/>
          <w:bCs/>
          <w:sz w:val="24"/>
          <w:szCs w:val="24"/>
        </w:rPr>
      </w:pPr>
      <w:r>
        <w:fldChar w:fldCharType="begin"/>
      </w:r>
      <w:r>
        <w:instrText xml:space="preserve"> HYPERLINK \l "_Toc427" </w:instrText>
      </w:r>
      <w:r>
        <w:fldChar w:fldCharType="separate"/>
      </w:r>
      <w:r>
        <w:rPr>
          <w:rFonts w:hint="eastAsia" w:ascii="宋体" w:hAnsi="宋体" w:cs="宋体"/>
          <w:b/>
          <w:bCs/>
          <w:sz w:val="24"/>
          <w:szCs w:val="24"/>
        </w:rPr>
        <w:t>一、保定市徐水区</w:t>
      </w:r>
      <w:r>
        <w:rPr>
          <w:rFonts w:hint="eastAsia" w:ascii="宋体" w:hAnsi="宋体" w:cs="宋体"/>
          <w:b/>
          <w:bCs/>
          <w:color w:val="auto"/>
          <w:sz w:val="24"/>
          <w:szCs w:val="24"/>
        </w:rPr>
        <w:t>总工会</w:t>
      </w:r>
      <w:r>
        <w:rPr>
          <w:rFonts w:hint="eastAsia" w:ascii="宋体" w:hAnsi="宋体" w:cs="宋体"/>
          <w:b/>
          <w:bCs/>
          <w:sz w:val="24"/>
          <w:szCs w:val="24"/>
        </w:rPr>
        <w:t>基本情况</w:t>
      </w:r>
      <w:r>
        <w:rPr>
          <w:rFonts w:ascii="宋体" w:cs="Tahoma"/>
          <w:b/>
          <w:bCs/>
          <w:sz w:val="24"/>
          <w:szCs w:val="24"/>
        </w:rPr>
        <w:tab/>
      </w:r>
      <w:r>
        <w:rPr>
          <w:rFonts w:ascii="宋体" w:hAnsi="宋体" w:cs="宋体"/>
          <w:b/>
          <w:bCs/>
          <w:sz w:val="24"/>
          <w:szCs w:val="24"/>
        </w:rPr>
        <w:fldChar w:fldCharType="begin"/>
      </w:r>
      <w:r>
        <w:rPr>
          <w:rFonts w:ascii="宋体" w:hAnsi="宋体" w:cs="宋体"/>
          <w:b/>
          <w:bCs/>
          <w:sz w:val="24"/>
          <w:szCs w:val="24"/>
        </w:rPr>
        <w:instrText xml:space="preserve"> PAGEREF _Toc427 </w:instrText>
      </w:r>
      <w:r>
        <w:rPr>
          <w:rFonts w:ascii="宋体" w:hAnsi="宋体" w:cs="宋体"/>
          <w:b/>
          <w:bCs/>
          <w:sz w:val="24"/>
          <w:szCs w:val="24"/>
        </w:rPr>
        <w:fldChar w:fldCharType="separate"/>
      </w:r>
      <w:r>
        <w:rPr>
          <w:rFonts w:ascii="宋体" w:hAnsi="宋体" w:cs="宋体"/>
          <w:b/>
          <w:bCs/>
          <w:sz w:val="24"/>
          <w:szCs w:val="24"/>
        </w:rPr>
        <w:t>5</w:t>
      </w:r>
      <w:r>
        <w:rPr>
          <w:rFonts w:ascii="宋体" w:hAnsi="宋体" w:cs="宋体"/>
          <w:b/>
          <w:bCs/>
          <w:sz w:val="24"/>
          <w:szCs w:val="24"/>
        </w:rPr>
        <w:fldChar w:fldCharType="end"/>
      </w:r>
      <w:r>
        <w:rPr>
          <w:rFonts w:ascii="宋体" w:hAnsi="宋体" w:cs="宋体"/>
          <w:b/>
          <w:bCs/>
          <w:sz w:val="24"/>
          <w:szCs w:val="24"/>
        </w:rPr>
        <w:fldChar w:fldCharType="end"/>
      </w:r>
    </w:p>
    <w:p w14:paraId="4F7A33EB">
      <w:pPr>
        <w:pStyle w:val="11"/>
        <w:tabs>
          <w:tab w:val="right" w:leader="dot" w:pos="8312"/>
        </w:tabs>
        <w:spacing w:line="312" w:lineRule="auto"/>
        <w:ind w:left="0" w:leftChars="0" w:firstLine="280" w:firstLineChars="100"/>
        <w:rPr>
          <w:rFonts w:ascii="宋体" w:cs="Tahoma"/>
          <w:sz w:val="24"/>
          <w:szCs w:val="24"/>
        </w:rPr>
      </w:pPr>
      <w:r>
        <w:fldChar w:fldCharType="begin"/>
      </w:r>
      <w:r>
        <w:instrText xml:space="preserve"> HYPERLINK \l "_Toc11473" </w:instrText>
      </w:r>
      <w:r>
        <w:fldChar w:fldCharType="separate"/>
      </w:r>
      <w:r>
        <w:rPr>
          <w:rFonts w:hint="eastAsia" w:ascii="宋体" w:hAnsi="宋体" w:cs="宋体"/>
          <w:sz w:val="24"/>
          <w:szCs w:val="24"/>
        </w:rPr>
        <w:t>（一）部门职责和工作活动</w:t>
      </w:r>
      <w:r>
        <w:rPr>
          <w:rFonts w:ascii="宋体" w:cs="Tahoma"/>
          <w:sz w:val="24"/>
          <w:szCs w:val="24"/>
        </w:rPr>
        <w:tab/>
      </w:r>
      <w:r>
        <w:rPr>
          <w:rFonts w:ascii="宋体" w:hAnsi="宋体" w:cs="宋体"/>
          <w:sz w:val="24"/>
          <w:szCs w:val="24"/>
        </w:rPr>
        <w:fldChar w:fldCharType="begin"/>
      </w:r>
      <w:r>
        <w:rPr>
          <w:rFonts w:ascii="宋体" w:hAnsi="宋体" w:cs="宋体"/>
          <w:sz w:val="24"/>
          <w:szCs w:val="24"/>
        </w:rPr>
        <w:instrText xml:space="preserve"> PAGEREF _Toc11473 </w:instrText>
      </w:r>
      <w:r>
        <w:rPr>
          <w:rFonts w:ascii="宋体" w:hAnsi="宋体" w:cs="宋体"/>
          <w:sz w:val="24"/>
          <w:szCs w:val="24"/>
        </w:rPr>
        <w:fldChar w:fldCharType="separate"/>
      </w:r>
      <w:r>
        <w:rPr>
          <w:rFonts w:ascii="宋体" w:hAnsi="宋体" w:cs="宋体"/>
          <w:sz w:val="24"/>
          <w:szCs w:val="24"/>
        </w:rPr>
        <w:t>5</w:t>
      </w:r>
      <w:r>
        <w:rPr>
          <w:rFonts w:ascii="宋体" w:hAnsi="宋体" w:cs="宋体"/>
          <w:sz w:val="24"/>
          <w:szCs w:val="24"/>
        </w:rPr>
        <w:fldChar w:fldCharType="end"/>
      </w:r>
      <w:r>
        <w:rPr>
          <w:rFonts w:ascii="宋体" w:hAnsi="宋体" w:cs="宋体"/>
          <w:sz w:val="24"/>
          <w:szCs w:val="24"/>
        </w:rPr>
        <w:fldChar w:fldCharType="end"/>
      </w:r>
    </w:p>
    <w:p w14:paraId="42963405">
      <w:pPr>
        <w:pStyle w:val="11"/>
        <w:tabs>
          <w:tab w:val="right" w:leader="dot" w:pos="8312"/>
        </w:tabs>
        <w:spacing w:line="312" w:lineRule="auto"/>
        <w:ind w:left="0" w:leftChars="0" w:firstLine="280" w:firstLineChars="100"/>
        <w:rPr>
          <w:rFonts w:ascii="宋体" w:cs="Tahoma"/>
          <w:sz w:val="24"/>
          <w:szCs w:val="24"/>
        </w:rPr>
      </w:pPr>
      <w:r>
        <w:fldChar w:fldCharType="begin"/>
      </w:r>
      <w:r>
        <w:instrText xml:space="preserve"> HYPERLINK \l "_Toc7075" </w:instrText>
      </w:r>
      <w:r>
        <w:fldChar w:fldCharType="separate"/>
      </w:r>
      <w:r>
        <w:rPr>
          <w:rFonts w:hint="eastAsia" w:ascii="宋体" w:hAnsi="宋体" w:cs="宋体"/>
          <w:sz w:val="24"/>
          <w:szCs w:val="24"/>
        </w:rPr>
        <w:t>（二）部门年度发展规划总体目标和职责分类绩效目标</w:t>
      </w:r>
      <w:r>
        <w:rPr>
          <w:rFonts w:ascii="宋体" w:cs="Tahoma"/>
          <w:sz w:val="24"/>
          <w:szCs w:val="24"/>
        </w:rPr>
        <w:tab/>
      </w:r>
      <w:r>
        <w:rPr>
          <w:rFonts w:ascii="宋体" w:hAnsi="宋体" w:cs="宋体"/>
          <w:sz w:val="24"/>
          <w:szCs w:val="24"/>
        </w:rPr>
        <w:fldChar w:fldCharType="begin"/>
      </w:r>
      <w:r>
        <w:rPr>
          <w:rFonts w:ascii="宋体" w:hAnsi="宋体" w:cs="宋体"/>
          <w:sz w:val="24"/>
          <w:szCs w:val="24"/>
        </w:rPr>
        <w:instrText xml:space="preserve"> PAGEREF _Toc7075 </w:instrText>
      </w:r>
      <w:r>
        <w:rPr>
          <w:rFonts w:ascii="宋体" w:hAnsi="宋体" w:cs="宋体"/>
          <w:sz w:val="24"/>
          <w:szCs w:val="24"/>
        </w:rPr>
        <w:fldChar w:fldCharType="separate"/>
      </w:r>
      <w:r>
        <w:rPr>
          <w:rFonts w:ascii="宋体" w:hAnsi="宋体" w:cs="宋体"/>
          <w:sz w:val="24"/>
          <w:szCs w:val="24"/>
        </w:rPr>
        <w:t>7</w:t>
      </w:r>
      <w:r>
        <w:rPr>
          <w:rFonts w:ascii="宋体" w:hAnsi="宋体" w:cs="宋体"/>
          <w:sz w:val="24"/>
          <w:szCs w:val="24"/>
        </w:rPr>
        <w:fldChar w:fldCharType="end"/>
      </w:r>
      <w:r>
        <w:rPr>
          <w:rFonts w:ascii="宋体" w:hAnsi="宋体" w:cs="宋体"/>
          <w:sz w:val="24"/>
          <w:szCs w:val="24"/>
        </w:rPr>
        <w:fldChar w:fldCharType="end"/>
      </w:r>
    </w:p>
    <w:p w14:paraId="34A5D133">
      <w:pPr>
        <w:pStyle w:val="11"/>
        <w:tabs>
          <w:tab w:val="right" w:leader="dot" w:pos="8312"/>
        </w:tabs>
        <w:spacing w:line="312" w:lineRule="auto"/>
        <w:ind w:left="0" w:leftChars="0" w:firstLine="280" w:firstLineChars="100"/>
        <w:rPr>
          <w:rFonts w:ascii="宋体" w:cs="Tahoma"/>
          <w:sz w:val="24"/>
          <w:szCs w:val="24"/>
        </w:rPr>
      </w:pPr>
      <w:r>
        <w:fldChar w:fldCharType="begin"/>
      </w:r>
      <w:r>
        <w:instrText xml:space="preserve"> HYPERLINK \l "_Toc1678" </w:instrText>
      </w:r>
      <w:r>
        <w:fldChar w:fldCharType="separate"/>
      </w:r>
      <w:r>
        <w:rPr>
          <w:rFonts w:hint="eastAsia" w:ascii="宋体" w:hAnsi="宋体" w:cs="宋体"/>
          <w:sz w:val="24"/>
          <w:szCs w:val="24"/>
        </w:rPr>
        <w:t>（三）部门预算收入及决算收入</w:t>
      </w:r>
      <w:r>
        <w:rPr>
          <w:rFonts w:ascii="宋体" w:cs="Tahoma"/>
          <w:sz w:val="24"/>
          <w:szCs w:val="24"/>
        </w:rPr>
        <w:tab/>
      </w:r>
      <w:r>
        <w:rPr>
          <w:rFonts w:ascii="宋体" w:hAnsi="宋体" w:cs="宋体"/>
          <w:sz w:val="24"/>
          <w:szCs w:val="24"/>
        </w:rPr>
        <w:fldChar w:fldCharType="begin"/>
      </w:r>
      <w:r>
        <w:rPr>
          <w:rFonts w:ascii="宋体" w:hAnsi="宋体" w:cs="宋体"/>
          <w:sz w:val="24"/>
          <w:szCs w:val="24"/>
        </w:rPr>
        <w:instrText xml:space="preserve"> PAGEREF _Toc1678 </w:instrText>
      </w:r>
      <w:r>
        <w:rPr>
          <w:rFonts w:ascii="宋体" w:hAnsi="宋体" w:cs="宋体"/>
          <w:sz w:val="24"/>
          <w:szCs w:val="24"/>
        </w:rPr>
        <w:fldChar w:fldCharType="separate"/>
      </w:r>
      <w:r>
        <w:rPr>
          <w:rFonts w:ascii="宋体" w:hAnsi="宋体" w:cs="宋体"/>
          <w:sz w:val="24"/>
          <w:szCs w:val="24"/>
        </w:rPr>
        <w:t>7</w:t>
      </w:r>
      <w:r>
        <w:rPr>
          <w:rFonts w:ascii="宋体" w:hAnsi="宋体" w:cs="宋体"/>
          <w:sz w:val="24"/>
          <w:szCs w:val="24"/>
        </w:rPr>
        <w:fldChar w:fldCharType="end"/>
      </w:r>
      <w:r>
        <w:rPr>
          <w:rFonts w:ascii="宋体" w:hAnsi="宋体" w:cs="宋体"/>
          <w:sz w:val="24"/>
          <w:szCs w:val="24"/>
        </w:rPr>
        <w:fldChar w:fldCharType="end"/>
      </w:r>
    </w:p>
    <w:p w14:paraId="77794231">
      <w:pPr>
        <w:pStyle w:val="11"/>
        <w:tabs>
          <w:tab w:val="right" w:leader="dot" w:pos="8312"/>
        </w:tabs>
        <w:spacing w:line="312" w:lineRule="auto"/>
        <w:ind w:left="0" w:leftChars="0" w:firstLine="280" w:firstLineChars="100"/>
        <w:rPr>
          <w:rFonts w:ascii="宋体" w:cs="Tahoma"/>
          <w:sz w:val="24"/>
          <w:szCs w:val="24"/>
        </w:rPr>
      </w:pPr>
      <w:r>
        <w:fldChar w:fldCharType="begin"/>
      </w:r>
      <w:r>
        <w:instrText xml:space="preserve"> HYPERLINK \l "_Toc18197" </w:instrText>
      </w:r>
      <w:r>
        <w:fldChar w:fldCharType="separate"/>
      </w:r>
      <w:r>
        <w:rPr>
          <w:rFonts w:hint="eastAsia" w:ascii="宋体" w:hAnsi="宋体" w:cs="宋体"/>
          <w:sz w:val="24"/>
          <w:szCs w:val="24"/>
        </w:rPr>
        <w:t>（四）预算支出及决算支出</w:t>
      </w:r>
      <w:r>
        <w:rPr>
          <w:rFonts w:ascii="宋体" w:cs="Tahoma"/>
          <w:sz w:val="24"/>
          <w:szCs w:val="24"/>
        </w:rPr>
        <w:tab/>
      </w:r>
      <w:r>
        <w:rPr>
          <w:rFonts w:ascii="宋体" w:hAnsi="宋体" w:cs="宋体"/>
          <w:sz w:val="24"/>
          <w:szCs w:val="24"/>
        </w:rPr>
        <w:fldChar w:fldCharType="begin"/>
      </w:r>
      <w:r>
        <w:rPr>
          <w:rFonts w:ascii="宋体" w:hAnsi="宋体" w:cs="宋体"/>
          <w:sz w:val="24"/>
          <w:szCs w:val="24"/>
        </w:rPr>
        <w:instrText xml:space="preserve"> PAGEREF _Toc18197 </w:instrText>
      </w:r>
      <w:r>
        <w:rPr>
          <w:rFonts w:ascii="宋体" w:hAnsi="宋体" w:cs="宋体"/>
          <w:sz w:val="24"/>
          <w:szCs w:val="24"/>
        </w:rPr>
        <w:fldChar w:fldCharType="separate"/>
      </w:r>
      <w:r>
        <w:rPr>
          <w:rFonts w:ascii="宋体" w:hAnsi="宋体" w:cs="宋体"/>
          <w:sz w:val="24"/>
          <w:szCs w:val="24"/>
        </w:rPr>
        <w:t>9</w:t>
      </w:r>
      <w:r>
        <w:rPr>
          <w:rFonts w:ascii="宋体" w:hAnsi="宋体" w:cs="宋体"/>
          <w:sz w:val="24"/>
          <w:szCs w:val="24"/>
        </w:rPr>
        <w:fldChar w:fldCharType="end"/>
      </w:r>
      <w:r>
        <w:rPr>
          <w:rFonts w:ascii="宋体" w:hAnsi="宋体" w:cs="宋体"/>
          <w:sz w:val="24"/>
          <w:szCs w:val="24"/>
        </w:rPr>
        <w:fldChar w:fldCharType="end"/>
      </w:r>
    </w:p>
    <w:p w14:paraId="67CDF890">
      <w:pPr>
        <w:pStyle w:val="11"/>
        <w:tabs>
          <w:tab w:val="right" w:leader="dot" w:pos="8312"/>
        </w:tabs>
        <w:spacing w:line="312" w:lineRule="auto"/>
        <w:ind w:left="0" w:leftChars="0" w:firstLine="280" w:firstLineChars="100"/>
        <w:rPr>
          <w:rFonts w:ascii="宋体" w:cs="Tahoma"/>
          <w:sz w:val="24"/>
          <w:szCs w:val="24"/>
        </w:rPr>
      </w:pPr>
      <w:r>
        <w:fldChar w:fldCharType="begin"/>
      </w:r>
      <w:r>
        <w:instrText xml:space="preserve"> HYPERLINK \l "_Toc19291" </w:instrText>
      </w:r>
      <w:r>
        <w:fldChar w:fldCharType="separate"/>
      </w:r>
      <w:r>
        <w:rPr>
          <w:rFonts w:hint="eastAsia" w:ascii="宋体" w:hAnsi="宋体" w:cs="宋体"/>
          <w:sz w:val="24"/>
          <w:szCs w:val="24"/>
        </w:rPr>
        <w:t>（五）“三公”经费预算安排及支出情况</w:t>
      </w:r>
      <w:r>
        <w:rPr>
          <w:rFonts w:ascii="宋体" w:cs="Tahoma"/>
          <w:sz w:val="24"/>
          <w:szCs w:val="24"/>
        </w:rPr>
        <w:tab/>
      </w:r>
      <w:r>
        <w:rPr>
          <w:rFonts w:ascii="宋体" w:hAnsi="宋体" w:cs="宋体"/>
          <w:sz w:val="24"/>
          <w:szCs w:val="24"/>
        </w:rPr>
        <w:fldChar w:fldCharType="begin"/>
      </w:r>
      <w:r>
        <w:rPr>
          <w:rFonts w:ascii="宋体" w:hAnsi="宋体" w:cs="宋体"/>
          <w:sz w:val="24"/>
          <w:szCs w:val="24"/>
        </w:rPr>
        <w:instrText xml:space="preserve"> PAGEREF _Toc19291 </w:instrText>
      </w:r>
      <w:r>
        <w:rPr>
          <w:rFonts w:ascii="宋体" w:hAnsi="宋体" w:cs="宋体"/>
          <w:sz w:val="24"/>
          <w:szCs w:val="24"/>
        </w:rPr>
        <w:fldChar w:fldCharType="separate"/>
      </w:r>
      <w:r>
        <w:rPr>
          <w:rFonts w:hint="eastAsia" w:ascii="宋体" w:hAnsi="宋体" w:cs="宋体"/>
          <w:b/>
          <w:bCs/>
          <w:sz w:val="24"/>
          <w:szCs w:val="24"/>
        </w:rPr>
        <w:t>错误！未定义书签。</w:t>
      </w:r>
      <w:r>
        <w:rPr>
          <w:rFonts w:ascii="宋体" w:hAnsi="宋体" w:cs="宋体"/>
          <w:sz w:val="24"/>
          <w:szCs w:val="24"/>
        </w:rPr>
        <w:fldChar w:fldCharType="end"/>
      </w:r>
      <w:r>
        <w:rPr>
          <w:rFonts w:ascii="宋体" w:hAnsi="宋体" w:cs="宋体"/>
          <w:sz w:val="24"/>
          <w:szCs w:val="24"/>
        </w:rPr>
        <w:fldChar w:fldCharType="end"/>
      </w:r>
    </w:p>
    <w:p w14:paraId="56E3DC44">
      <w:pPr>
        <w:pStyle w:val="18"/>
        <w:tabs>
          <w:tab w:val="right" w:leader="dot" w:pos="8312"/>
        </w:tabs>
        <w:spacing w:line="312" w:lineRule="auto"/>
        <w:ind w:left="0" w:leftChars="0"/>
        <w:rPr>
          <w:rFonts w:ascii="宋体" w:cs="Tahoma"/>
          <w:b/>
          <w:bCs/>
          <w:sz w:val="24"/>
          <w:szCs w:val="24"/>
        </w:rPr>
      </w:pPr>
      <w:r>
        <w:fldChar w:fldCharType="begin"/>
      </w:r>
      <w:r>
        <w:instrText xml:space="preserve"> HYPERLINK \l "_Toc20454" </w:instrText>
      </w:r>
      <w:r>
        <w:fldChar w:fldCharType="separate"/>
      </w:r>
      <w:r>
        <w:rPr>
          <w:rFonts w:hint="eastAsia" w:ascii="宋体" w:hAnsi="宋体" w:cs="宋体"/>
          <w:b/>
          <w:bCs/>
          <w:sz w:val="24"/>
          <w:szCs w:val="24"/>
        </w:rPr>
        <w:t>二、部门整体支出绩效评价指标体系设定情况</w:t>
      </w:r>
      <w:r>
        <w:rPr>
          <w:rFonts w:ascii="宋体" w:cs="Tahoma"/>
          <w:b/>
          <w:bCs/>
          <w:sz w:val="24"/>
          <w:szCs w:val="24"/>
        </w:rPr>
        <w:tab/>
      </w:r>
      <w:r>
        <w:rPr>
          <w:rFonts w:ascii="宋体" w:hAnsi="宋体" w:cs="宋体"/>
          <w:b/>
          <w:bCs/>
          <w:sz w:val="24"/>
          <w:szCs w:val="24"/>
        </w:rPr>
        <w:fldChar w:fldCharType="begin"/>
      </w:r>
      <w:r>
        <w:rPr>
          <w:rFonts w:ascii="宋体" w:hAnsi="宋体" w:cs="宋体"/>
          <w:b/>
          <w:bCs/>
          <w:sz w:val="24"/>
          <w:szCs w:val="24"/>
        </w:rPr>
        <w:instrText xml:space="preserve"> PAGEREF _Toc20454 </w:instrText>
      </w:r>
      <w:r>
        <w:rPr>
          <w:rFonts w:ascii="宋体" w:hAnsi="宋体" w:cs="宋体"/>
          <w:b/>
          <w:bCs/>
          <w:sz w:val="24"/>
          <w:szCs w:val="24"/>
        </w:rPr>
        <w:fldChar w:fldCharType="separate"/>
      </w:r>
      <w:r>
        <w:rPr>
          <w:rFonts w:ascii="宋体" w:hAnsi="宋体" w:cs="宋体"/>
          <w:b/>
          <w:bCs/>
          <w:sz w:val="24"/>
          <w:szCs w:val="24"/>
        </w:rPr>
        <w:t>11</w:t>
      </w:r>
      <w:r>
        <w:rPr>
          <w:rFonts w:ascii="宋体" w:hAnsi="宋体" w:cs="宋体"/>
          <w:b/>
          <w:bCs/>
          <w:sz w:val="24"/>
          <w:szCs w:val="24"/>
        </w:rPr>
        <w:fldChar w:fldCharType="end"/>
      </w:r>
      <w:r>
        <w:rPr>
          <w:rFonts w:ascii="宋体" w:hAnsi="宋体" w:cs="宋体"/>
          <w:b/>
          <w:bCs/>
          <w:sz w:val="24"/>
          <w:szCs w:val="24"/>
        </w:rPr>
        <w:fldChar w:fldCharType="end"/>
      </w:r>
    </w:p>
    <w:p w14:paraId="4D4AFFB7">
      <w:pPr>
        <w:pStyle w:val="18"/>
        <w:tabs>
          <w:tab w:val="right" w:leader="dot" w:pos="8312"/>
        </w:tabs>
        <w:spacing w:line="312" w:lineRule="auto"/>
        <w:ind w:left="0" w:leftChars="0" w:firstLine="300" w:firstLineChars="100"/>
        <w:rPr>
          <w:rFonts w:ascii="宋体" w:cs="Tahoma"/>
          <w:sz w:val="24"/>
          <w:szCs w:val="24"/>
        </w:rPr>
      </w:pPr>
      <w:r>
        <w:fldChar w:fldCharType="begin"/>
      </w:r>
      <w:r>
        <w:instrText xml:space="preserve"> HYPERLINK \l "_Toc9569" </w:instrText>
      </w:r>
      <w:r>
        <w:fldChar w:fldCharType="separate"/>
      </w:r>
      <w:r>
        <w:rPr>
          <w:rFonts w:hint="eastAsia" w:ascii="宋体" w:hAnsi="宋体" w:cs="宋体"/>
          <w:sz w:val="24"/>
          <w:szCs w:val="24"/>
        </w:rPr>
        <w:t>（一）投入</w:t>
      </w:r>
      <w:r>
        <w:rPr>
          <w:rFonts w:ascii="宋体" w:cs="Tahoma"/>
          <w:sz w:val="24"/>
          <w:szCs w:val="24"/>
        </w:rPr>
        <w:tab/>
      </w:r>
      <w:r>
        <w:rPr>
          <w:rFonts w:ascii="宋体" w:hAnsi="宋体" w:cs="宋体"/>
          <w:sz w:val="24"/>
          <w:szCs w:val="24"/>
        </w:rPr>
        <w:fldChar w:fldCharType="begin"/>
      </w:r>
      <w:r>
        <w:rPr>
          <w:rFonts w:ascii="宋体" w:hAnsi="宋体" w:cs="宋体"/>
          <w:sz w:val="24"/>
          <w:szCs w:val="24"/>
        </w:rPr>
        <w:instrText xml:space="preserve"> PAGEREF _Toc9569 </w:instrText>
      </w:r>
      <w:r>
        <w:rPr>
          <w:rFonts w:ascii="宋体" w:hAnsi="宋体" w:cs="宋体"/>
          <w:sz w:val="24"/>
          <w:szCs w:val="24"/>
        </w:rPr>
        <w:fldChar w:fldCharType="separate"/>
      </w:r>
      <w:r>
        <w:rPr>
          <w:rFonts w:ascii="宋体" w:hAnsi="宋体" w:cs="宋体"/>
          <w:sz w:val="24"/>
          <w:szCs w:val="24"/>
        </w:rPr>
        <w:t>12</w:t>
      </w:r>
      <w:r>
        <w:rPr>
          <w:rFonts w:ascii="宋体" w:hAnsi="宋体" w:cs="宋体"/>
          <w:sz w:val="24"/>
          <w:szCs w:val="24"/>
        </w:rPr>
        <w:fldChar w:fldCharType="end"/>
      </w:r>
      <w:r>
        <w:rPr>
          <w:rFonts w:ascii="宋体" w:hAnsi="宋体" w:cs="宋体"/>
          <w:sz w:val="24"/>
          <w:szCs w:val="24"/>
        </w:rPr>
        <w:fldChar w:fldCharType="end"/>
      </w:r>
    </w:p>
    <w:p w14:paraId="43074BC3">
      <w:pPr>
        <w:pStyle w:val="11"/>
        <w:tabs>
          <w:tab w:val="right" w:leader="dot" w:pos="8312"/>
        </w:tabs>
        <w:spacing w:line="312" w:lineRule="auto"/>
        <w:ind w:left="0" w:leftChars="0" w:firstLine="280" w:firstLineChars="100"/>
        <w:rPr>
          <w:rFonts w:ascii="宋体" w:cs="Tahoma"/>
          <w:sz w:val="24"/>
          <w:szCs w:val="24"/>
        </w:rPr>
      </w:pPr>
      <w:r>
        <w:fldChar w:fldCharType="begin"/>
      </w:r>
      <w:r>
        <w:instrText xml:space="preserve"> HYPERLINK \l "_Toc30221" </w:instrText>
      </w:r>
      <w:r>
        <w:fldChar w:fldCharType="separate"/>
      </w:r>
      <w:r>
        <w:rPr>
          <w:rFonts w:hint="eastAsia" w:ascii="宋体" w:hAnsi="宋体" w:cs="宋体"/>
          <w:sz w:val="24"/>
          <w:szCs w:val="24"/>
        </w:rPr>
        <w:t>（二）过程</w:t>
      </w:r>
      <w:r>
        <w:rPr>
          <w:rFonts w:ascii="宋体" w:cs="Tahoma"/>
          <w:sz w:val="24"/>
          <w:szCs w:val="24"/>
        </w:rPr>
        <w:tab/>
      </w:r>
      <w:r>
        <w:rPr>
          <w:rFonts w:ascii="宋体" w:hAnsi="宋体" w:cs="宋体"/>
          <w:sz w:val="24"/>
          <w:szCs w:val="24"/>
        </w:rPr>
        <w:fldChar w:fldCharType="begin"/>
      </w:r>
      <w:r>
        <w:rPr>
          <w:rFonts w:ascii="宋体" w:hAnsi="宋体" w:cs="宋体"/>
          <w:sz w:val="24"/>
          <w:szCs w:val="24"/>
        </w:rPr>
        <w:instrText xml:space="preserve"> PAGEREF _Toc30221 </w:instrText>
      </w:r>
      <w:r>
        <w:rPr>
          <w:rFonts w:ascii="宋体" w:hAnsi="宋体" w:cs="宋体"/>
          <w:sz w:val="24"/>
          <w:szCs w:val="24"/>
        </w:rPr>
        <w:fldChar w:fldCharType="separate"/>
      </w:r>
      <w:r>
        <w:rPr>
          <w:rFonts w:ascii="宋体" w:hAnsi="宋体" w:cs="宋体"/>
          <w:sz w:val="24"/>
          <w:szCs w:val="24"/>
        </w:rPr>
        <w:t>12</w:t>
      </w:r>
      <w:r>
        <w:rPr>
          <w:rFonts w:ascii="宋体" w:hAnsi="宋体" w:cs="宋体"/>
          <w:sz w:val="24"/>
          <w:szCs w:val="24"/>
        </w:rPr>
        <w:fldChar w:fldCharType="end"/>
      </w:r>
      <w:r>
        <w:rPr>
          <w:rFonts w:ascii="宋体" w:hAnsi="宋体" w:cs="宋体"/>
          <w:sz w:val="24"/>
          <w:szCs w:val="24"/>
        </w:rPr>
        <w:fldChar w:fldCharType="end"/>
      </w:r>
    </w:p>
    <w:p w14:paraId="1D7DAE59">
      <w:pPr>
        <w:pStyle w:val="11"/>
        <w:tabs>
          <w:tab w:val="right" w:leader="dot" w:pos="8312"/>
        </w:tabs>
        <w:spacing w:line="312" w:lineRule="auto"/>
        <w:ind w:left="0" w:leftChars="0" w:firstLine="280" w:firstLineChars="100"/>
        <w:rPr>
          <w:rFonts w:ascii="宋体" w:cs="Tahoma"/>
          <w:sz w:val="24"/>
          <w:szCs w:val="24"/>
        </w:rPr>
      </w:pPr>
      <w:r>
        <w:fldChar w:fldCharType="begin"/>
      </w:r>
      <w:r>
        <w:instrText xml:space="preserve"> HYPERLINK \l "_Toc24932" </w:instrText>
      </w:r>
      <w:r>
        <w:fldChar w:fldCharType="separate"/>
      </w:r>
      <w:r>
        <w:rPr>
          <w:rFonts w:hint="eastAsia" w:ascii="宋体" w:hAnsi="宋体" w:cs="宋体"/>
          <w:sz w:val="24"/>
          <w:szCs w:val="24"/>
        </w:rPr>
        <w:t>（三）产出</w:t>
      </w:r>
      <w:r>
        <w:rPr>
          <w:rFonts w:ascii="宋体" w:cs="Tahoma"/>
          <w:sz w:val="24"/>
          <w:szCs w:val="24"/>
        </w:rPr>
        <w:tab/>
      </w:r>
      <w:r>
        <w:rPr>
          <w:rFonts w:ascii="宋体" w:hAnsi="宋体" w:cs="宋体"/>
          <w:sz w:val="24"/>
          <w:szCs w:val="24"/>
        </w:rPr>
        <w:fldChar w:fldCharType="begin"/>
      </w:r>
      <w:r>
        <w:rPr>
          <w:rFonts w:ascii="宋体" w:hAnsi="宋体" w:cs="宋体"/>
          <w:sz w:val="24"/>
          <w:szCs w:val="24"/>
        </w:rPr>
        <w:instrText xml:space="preserve"> PAGEREF _Toc24932 </w:instrText>
      </w:r>
      <w:r>
        <w:rPr>
          <w:rFonts w:ascii="宋体" w:hAnsi="宋体" w:cs="宋体"/>
          <w:sz w:val="24"/>
          <w:szCs w:val="24"/>
        </w:rPr>
        <w:fldChar w:fldCharType="separate"/>
      </w:r>
      <w:r>
        <w:rPr>
          <w:rFonts w:ascii="宋体" w:hAnsi="宋体" w:cs="宋体"/>
          <w:sz w:val="24"/>
          <w:szCs w:val="24"/>
        </w:rPr>
        <w:t>13</w:t>
      </w:r>
      <w:r>
        <w:rPr>
          <w:rFonts w:ascii="宋体" w:hAnsi="宋体" w:cs="宋体"/>
          <w:sz w:val="24"/>
          <w:szCs w:val="24"/>
        </w:rPr>
        <w:fldChar w:fldCharType="end"/>
      </w:r>
      <w:r>
        <w:rPr>
          <w:rFonts w:ascii="宋体" w:hAnsi="宋体" w:cs="宋体"/>
          <w:sz w:val="24"/>
          <w:szCs w:val="24"/>
        </w:rPr>
        <w:fldChar w:fldCharType="end"/>
      </w:r>
    </w:p>
    <w:p w14:paraId="723F35D0">
      <w:pPr>
        <w:pStyle w:val="11"/>
        <w:tabs>
          <w:tab w:val="right" w:leader="dot" w:pos="8312"/>
        </w:tabs>
        <w:spacing w:line="312" w:lineRule="auto"/>
        <w:ind w:left="0" w:leftChars="0" w:firstLine="280" w:firstLineChars="100"/>
        <w:rPr>
          <w:rFonts w:ascii="宋体" w:cs="Tahoma"/>
          <w:sz w:val="24"/>
          <w:szCs w:val="24"/>
        </w:rPr>
      </w:pPr>
      <w:r>
        <w:fldChar w:fldCharType="begin"/>
      </w:r>
      <w:r>
        <w:instrText xml:space="preserve"> HYPERLINK \l "_Toc21821" </w:instrText>
      </w:r>
      <w:r>
        <w:fldChar w:fldCharType="separate"/>
      </w:r>
      <w:r>
        <w:rPr>
          <w:rFonts w:hint="eastAsia" w:ascii="宋体" w:hAnsi="宋体" w:cs="宋体"/>
          <w:sz w:val="24"/>
          <w:szCs w:val="24"/>
        </w:rPr>
        <w:t>（四）效果</w:t>
      </w:r>
      <w:r>
        <w:rPr>
          <w:rFonts w:ascii="宋体" w:cs="Tahoma"/>
          <w:sz w:val="24"/>
          <w:szCs w:val="24"/>
        </w:rPr>
        <w:tab/>
      </w:r>
      <w:r>
        <w:rPr>
          <w:rFonts w:ascii="宋体" w:hAnsi="宋体" w:cs="宋体"/>
          <w:sz w:val="24"/>
          <w:szCs w:val="24"/>
        </w:rPr>
        <w:fldChar w:fldCharType="begin"/>
      </w:r>
      <w:r>
        <w:rPr>
          <w:rFonts w:ascii="宋体" w:hAnsi="宋体" w:cs="宋体"/>
          <w:sz w:val="24"/>
          <w:szCs w:val="24"/>
        </w:rPr>
        <w:instrText xml:space="preserve"> PAGEREF _Toc21821 </w:instrText>
      </w:r>
      <w:r>
        <w:rPr>
          <w:rFonts w:ascii="宋体" w:hAnsi="宋体" w:cs="宋体"/>
          <w:sz w:val="24"/>
          <w:szCs w:val="24"/>
        </w:rPr>
        <w:fldChar w:fldCharType="separate"/>
      </w:r>
      <w:r>
        <w:rPr>
          <w:rFonts w:ascii="宋体" w:hAnsi="宋体" w:cs="宋体"/>
          <w:sz w:val="24"/>
          <w:szCs w:val="24"/>
        </w:rPr>
        <w:t>13</w:t>
      </w:r>
      <w:r>
        <w:rPr>
          <w:rFonts w:ascii="宋体" w:hAnsi="宋体" w:cs="宋体"/>
          <w:sz w:val="24"/>
          <w:szCs w:val="24"/>
        </w:rPr>
        <w:fldChar w:fldCharType="end"/>
      </w:r>
      <w:r>
        <w:rPr>
          <w:rFonts w:ascii="宋体" w:hAnsi="宋体" w:cs="宋体"/>
          <w:sz w:val="24"/>
          <w:szCs w:val="24"/>
        </w:rPr>
        <w:fldChar w:fldCharType="end"/>
      </w:r>
    </w:p>
    <w:p w14:paraId="19C45CAB">
      <w:pPr>
        <w:pStyle w:val="18"/>
        <w:tabs>
          <w:tab w:val="right" w:leader="dot" w:pos="8312"/>
        </w:tabs>
        <w:spacing w:line="312" w:lineRule="auto"/>
        <w:ind w:left="0" w:leftChars="0"/>
        <w:rPr>
          <w:rFonts w:ascii="宋体" w:cs="Tahoma"/>
          <w:b/>
          <w:bCs/>
          <w:sz w:val="24"/>
          <w:szCs w:val="24"/>
        </w:rPr>
      </w:pPr>
      <w:r>
        <w:fldChar w:fldCharType="begin"/>
      </w:r>
      <w:r>
        <w:instrText xml:space="preserve"> HYPERLINK \l "_Toc11842" </w:instrText>
      </w:r>
      <w:r>
        <w:fldChar w:fldCharType="separate"/>
      </w:r>
      <w:r>
        <w:rPr>
          <w:rFonts w:hint="eastAsia" w:ascii="宋体" w:hAnsi="宋体" w:cs="宋体"/>
          <w:b/>
          <w:bCs/>
          <w:sz w:val="24"/>
          <w:szCs w:val="24"/>
        </w:rPr>
        <w:t>三、综合绩效评价工作情况</w:t>
      </w:r>
      <w:r>
        <w:rPr>
          <w:rFonts w:ascii="宋体" w:cs="Tahoma"/>
          <w:b/>
          <w:bCs/>
          <w:sz w:val="24"/>
          <w:szCs w:val="24"/>
        </w:rPr>
        <w:tab/>
      </w:r>
      <w:r>
        <w:rPr>
          <w:rFonts w:ascii="宋体" w:hAnsi="宋体" w:cs="宋体"/>
          <w:b/>
          <w:bCs/>
          <w:sz w:val="24"/>
          <w:szCs w:val="24"/>
        </w:rPr>
        <w:fldChar w:fldCharType="begin"/>
      </w:r>
      <w:r>
        <w:rPr>
          <w:rFonts w:ascii="宋体" w:hAnsi="宋体" w:cs="宋体"/>
          <w:b/>
          <w:bCs/>
          <w:sz w:val="24"/>
          <w:szCs w:val="24"/>
        </w:rPr>
        <w:instrText xml:space="preserve"> PAGEREF _Toc11842 </w:instrText>
      </w:r>
      <w:r>
        <w:rPr>
          <w:rFonts w:ascii="宋体" w:hAnsi="宋体" w:cs="宋体"/>
          <w:b/>
          <w:bCs/>
          <w:sz w:val="24"/>
          <w:szCs w:val="24"/>
        </w:rPr>
        <w:fldChar w:fldCharType="separate"/>
      </w:r>
      <w:r>
        <w:rPr>
          <w:rFonts w:ascii="宋体" w:hAnsi="宋体" w:cs="宋体"/>
          <w:b/>
          <w:bCs/>
          <w:sz w:val="24"/>
          <w:szCs w:val="24"/>
        </w:rPr>
        <w:t>13</w:t>
      </w:r>
      <w:r>
        <w:rPr>
          <w:rFonts w:ascii="宋体" w:hAnsi="宋体" w:cs="宋体"/>
          <w:b/>
          <w:bCs/>
          <w:sz w:val="24"/>
          <w:szCs w:val="24"/>
        </w:rPr>
        <w:fldChar w:fldCharType="end"/>
      </w:r>
      <w:r>
        <w:rPr>
          <w:rFonts w:ascii="宋体" w:hAnsi="宋体" w:cs="宋体"/>
          <w:b/>
          <w:bCs/>
          <w:sz w:val="24"/>
          <w:szCs w:val="24"/>
        </w:rPr>
        <w:fldChar w:fldCharType="end"/>
      </w:r>
    </w:p>
    <w:p w14:paraId="7960EFBE">
      <w:pPr>
        <w:pStyle w:val="11"/>
        <w:tabs>
          <w:tab w:val="right" w:leader="dot" w:pos="8312"/>
        </w:tabs>
        <w:spacing w:line="312" w:lineRule="auto"/>
        <w:ind w:left="0" w:leftChars="0" w:firstLine="280" w:firstLineChars="100"/>
        <w:rPr>
          <w:rFonts w:ascii="宋体" w:cs="Tahoma"/>
          <w:sz w:val="24"/>
          <w:szCs w:val="24"/>
        </w:rPr>
      </w:pPr>
      <w:r>
        <w:fldChar w:fldCharType="begin"/>
      </w:r>
      <w:r>
        <w:instrText xml:space="preserve"> HYPERLINK \l "_Toc17138" </w:instrText>
      </w:r>
      <w:r>
        <w:fldChar w:fldCharType="separate"/>
      </w:r>
      <w:r>
        <w:rPr>
          <w:rFonts w:hint="eastAsia" w:ascii="宋体" w:hAnsi="宋体" w:cs="宋体"/>
          <w:sz w:val="24"/>
          <w:szCs w:val="24"/>
        </w:rPr>
        <w:t>（一）绩效评价目的</w:t>
      </w:r>
      <w:r>
        <w:rPr>
          <w:rFonts w:ascii="宋体" w:cs="Tahoma"/>
          <w:sz w:val="24"/>
          <w:szCs w:val="24"/>
        </w:rPr>
        <w:tab/>
      </w:r>
      <w:r>
        <w:rPr>
          <w:rFonts w:ascii="宋体" w:hAnsi="宋体" w:cs="宋体"/>
          <w:sz w:val="24"/>
          <w:szCs w:val="24"/>
        </w:rPr>
        <w:fldChar w:fldCharType="begin"/>
      </w:r>
      <w:r>
        <w:rPr>
          <w:rFonts w:ascii="宋体" w:hAnsi="宋体" w:cs="宋体"/>
          <w:sz w:val="24"/>
          <w:szCs w:val="24"/>
        </w:rPr>
        <w:instrText xml:space="preserve"> PAGEREF _Toc17138 </w:instrText>
      </w:r>
      <w:r>
        <w:rPr>
          <w:rFonts w:ascii="宋体" w:hAnsi="宋体" w:cs="宋体"/>
          <w:sz w:val="24"/>
          <w:szCs w:val="24"/>
        </w:rPr>
        <w:fldChar w:fldCharType="separate"/>
      </w:r>
      <w:r>
        <w:rPr>
          <w:rFonts w:ascii="宋体" w:hAnsi="宋体" w:cs="宋体"/>
          <w:sz w:val="24"/>
          <w:szCs w:val="24"/>
        </w:rPr>
        <w:t>13</w:t>
      </w:r>
      <w:r>
        <w:rPr>
          <w:rFonts w:ascii="宋体" w:hAnsi="宋体" w:cs="宋体"/>
          <w:sz w:val="24"/>
          <w:szCs w:val="24"/>
        </w:rPr>
        <w:fldChar w:fldCharType="end"/>
      </w:r>
      <w:r>
        <w:rPr>
          <w:rFonts w:ascii="宋体" w:hAnsi="宋体" w:cs="宋体"/>
          <w:sz w:val="24"/>
          <w:szCs w:val="24"/>
        </w:rPr>
        <w:fldChar w:fldCharType="end"/>
      </w:r>
    </w:p>
    <w:p w14:paraId="55145999">
      <w:pPr>
        <w:pStyle w:val="11"/>
        <w:tabs>
          <w:tab w:val="right" w:leader="dot" w:pos="8312"/>
        </w:tabs>
        <w:spacing w:line="312" w:lineRule="auto"/>
        <w:ind w:left="0" w:leftChars="0" w:firstLine="280" w:firstLineChars="100"/>
        <w:rPr>
          <w:rFonts w:ascii="宋体" w:cs="Tahoma"/>
          <w:sz w:val="24"/>
          <w:szCs w:val="24"/>
        </w:rPr>
      </w:pPr>
      <w:r>
        <w:fldChar w:fldCharType="begin"/>
      </w:r>
      <w:r>
        <w:instrText xml:space="preserve"> HYPERLINK \l "_Toc11607" </w:instrText>
      </w:r>
      <w:r>
        <w:fldChar w:fldCharType="separate"/>
      </w:r>
      <w:r>
        <w:rPr>
          <w:rFonts w:hint="eastAsia" w:ascii="宋体" w:hAnsi="宋体" w:cs="宋体"/>
          <w:sz w:val="24"/>
          <w:szCs w:val="24"/>
        </w:rPr>
        <w:t>（二）绩效评价依据</w:t>
      </w:r>
      <w:r>
        <w:rPr>
          <w:rFonts w:ascii="宋体" w:cs="Tahoma"/>
          <w:sz w:val="24"/>
          <w:szCs w:val="24"/>
        </w:rPr>
        <w:tab/>
      </w:r>
      <w:r>
        <w:rPr>
          <w:rFonts w:ascii="宋体" w:hAnsi="宋体" w:cs="宋体"/>
          <w:sz w:val="24"/>
          <w:szCs w:val="24"/>
        </w:rPr>
        <w:fldChar w:fldCharType="begin"/>
      </w:r>
      <w:r>
        <w:rPr>
          <w:rFonts w:ascii="宋体" w:hAnsi="宋体" w:cs="宋体"/>
          <w:sz w:val="24"/>
          <w:szCs w:val="24"/>
        </w:rPr>
        <w:instrText xml:space="preserve"> PAGEREF _Toc11607 </w:instrText>
      </w:r>
      <w:r>
        <w:rPr>
          <w:rFonts w:ascii="宋体" w:hAnsi="宋体" w:cs="宋体"/>
          <w:sz w:val="24"/>
          <w:szCs w:val="24"/>
        </w:rPr>
        <w:fldChar w:fldCharType="separate"/>
      </w:r>
      <w:r>
        <w:rPr>
          <w:rFonts w:ascii="宋体" w:hAnsi="宋体" w:cs="宋体"/>
          <w:sz w:val="24"/>
          <w:szCs w:val="24"/>
        </w:rPr>
        <w:t>14</w:t>
      </w:r>
      <w:r>
        <w:rPr>
          <w:rFonts w:ascii="宋体" w:hAnsi="宋体" w:cs="宋体"/>
          <w:sz w:val="24"/>
          <w:szCs w:val="24"/>
        </w:rPr>
        <w:fldChar w:fldCharType="end"/>
      </w:r>
      <w:r>
        <w:rPr>
          <w:rFonts w:ascii="宋体" w:hAnsi="宋体" w:cs="宋体"/>
          <w:sz w:val="24"/>
          <w:szCs w:val="24"/>
        </w:rPr>
        <w:fldChar w:fldCharType="end"/>
      </w:r>
    </w:p>
    <w:p w14:paraId="31144986">
      <w:pPr>
        <w:pStyle w:val="11"/>
        <w:tabs>
          <w:tab w:val="right" w:leader="dot" w:pos="8312"/>
        </w:tabs>
        <w:spacing w:line="312" w:lineRule="auto"/>
        <w:ind w:left="0" w:leftChars="0" w:firstLine="280" w:firstLineChars="100"/>
        <w:rPr>
          <w:rFonts w:ascii="宋体" w:cs="Tahoma"/>
          <w:sz w:val="24"/>
          <w:szCs w:val="24"/>
        </w:rPr>
      </w:pPr>
      <w:r>
        <w:fldChar w:fldCharType="begin"/>
      </w:r>
      <w:r>
        <w:instrText xml:space="preserve"> HYPERLINK \l "_Toc7609" </w:instrText>
      </w:r>
      <w:r>
        <w:fldChar w:fldCharType="separate"/>
      </w:r>
      <w:r>
        <w:rPr>
          <w:rFonts w:hint="eastAsia" w:ascii="宋体" w:hAnsi="宋体" w:cs="宋体"/>
          <w:sz w:val="24"/>
          <w:szCs w:val="24"/>
        </w:rPr>
        <w:t>（三）绩效评价内容</w:t>
      </w:r>
      <w:r>
        <w:rPr>
          <w:rFonts w:ascii="宋体" w:cs="Tahoma"/>
          <w:sz w:val="24"/>
          <w:szCs w:val="24"/>
        </w:rPr>
        <w:tab/>
      </w:r>
      <w:r>
        <w:rPr>
          <w:rFonts w:ascii="宋体" w:hAnsi="宋体" w:cs="宋体"/>
          <w:sz w:val="24"/>
          <w:szCs w:val="24"/>
        </w:rPr>
        <w:fldChar w:fldCharType="begin"/>
      </w:r>
      <w:r>
        <w:rPr>
          <w:rFonts w:ascii="宋体" w:hAnsi="宋体" w:cs="宋体"/>
          <w:sz w:val="24"/>
          <w:szCs w:val="24"/>
        </w:rPr>
        <w:instrText xml:space="preserve"> PAGEREF _Toc7609 </w:instrText>
      </w:r>
      <w:r>
        <w:rPr>
          <w:rFonts w:ascii="宋体" w:hAnsi="宋体" w:cs="宋体"/>
          <w:sz w:val="24"/>
          <w:szCs w:val="24"/>
        </w:rPr>
        <w:fldChar w:fldCharType="separate"/>
      </w:r>
      <w:r>
        <w:rPr>
          <w:rFonts w:ascii="宋体" w:hAnsi="宋体" w:cs="宋体"/>
          <w:sz w:val="24"/>
          <w:szCs w:val="24"/>
        </w:rPr>
        <w:t>15</w:t>
      </w:r>
      <w:r>
        <w:rPr>
          <w:rFonts w:ascii="宋体" w:hAnsi="宋体" w:cs="宋体"/>
          <w:sz w:val="24"/>
          <w:szCs w:val="24"/>
        </w:rPr>
        <w:fldChar w:fldCharType="end"/>
      </w:r>
      <w:r>
        <w:rPr>
          <w:rFonts w:ascii="宋体" w:hAnsi="宋体" w:cs="宋体"/>
          <w:sz w:val="24"/>
          <w:szCs w:val="24"/>
        </w:rPr>
        <w:fldChar w:fldCharType="end"/>
      </w:r>
    </w:p>
    <w:p w14:paraId="4BD38E11">
      <w:pPr>
        <w:pStyle w:val="11"/>
        <w:tabs>
          <w:tab w:val="right" w:leader="dot" w:pos="8312"/>
        </w:tabs>
        <w:spacing w:line="312" w:lineRule="auto"/>
        <w:ind w:left="0" w:leftChars="0" w:firstLine="280" w:firstLineChars="100"/>
        <w:rPr>
          <w:rFonts w:ascii="宋体" w:cs="Tahoma"/>
          <w:sz w:val="24"/>
          <w:szCs w:val="24"/>
        </w:rPr>
      </w:pPr>
      <w:r>
        <w:fldChar w:fldCharType="begin"/>
      </w:r>
      <w:r>
        <w:instrText xml:space="preserve"> HYPERLINK \l "_Toc789" </w:instrText>
      </w:r>
      <w:r>
        <w:fldChar w:fldCharType="separate"/>
      </w:r>
      <w:r>
        <w:rPr>
          <w:rFonts w:hint="eastAsia" w:ascii="宋体" w:hAnsi="宋体" w:cs="宋体"/>
          <w:sz w:val="24"/>
          <w:szCs w:val="24"/>
        </w:rPr>
        <w:t>（四）绩效评价原则</w:t>
      </w:r>
      <w:r>
        <w:rPr>
          <w:rFonts w:ascii="宋体" w:cs="Tahoma"/>
          <w:sz w:val="24"/>
          <w:szCs w:val="24"/>
        </w:rPr>
        <w:tab/>
      </w:r>
      <w:r>
        <w:rPr>
          <w:rFonts w:ascii="宋体" w:hAnsi="宋体" w:cs="宋体"/>
          <w:sz w:val="24"/>
          <w:szCs w:val="24"/>
        </w:rPr>
        <w:fldChar w:fldCharType="begin"/>
      </w:r>
      <w:r>
        <w:rPr>
          <w:rFonts w:ascii="宋体" w:hAnsi="宋体" w:cs="宋体"/>
          <w:sz w:val="24"/>
          <w:szCs w:val="24"/>
        </w:rPr>
        <w:instrText xml:space="preserve"> PAGEREF _Toc789 </w:instrText>
      </w:r>
      <w:r>
        <w:rPr>
          <w:rFonts w:ascii="宋体" w:hAnsi="宋体" w:cs="宋体"/>
          <w:sz w:val="24"/>
          <w:szCs w:val="24"/>
        </w:rPr>
        <w:fldChar w:fldCharType="separate"/>
      </w:r>
      <w:r>
        <w:rPr>
          <w:rFonts w:ascii="宋体" w:hAnsi="宋体" w:cs="宋体"/>
          <w:sz w:val="24"/>
          <w:szCs w:val="24"/>
        </w:rPr>
        <w:t>15</w:t>
      </w:r>
      <w:r>
        <w:rPr>
          <w:rFonts w:ascii="宋体" w:hAnsi="宋体" w:cs="宋体"/>
          <w:sz w:val="24"/>
          <w:szCs w:val="24"/>
        </w:rPr>
        <w:fldChar w:fldCharType="end"/>
      </w:r>
      <w:r>
        <w:rPr>
          <w:rFonts w:ascii="宋体" w:hAnsi="宋体" w:cs="宋体"/>
          <w:sz w:val="24"/>
          <w:szCs w:val="24"/>
        </w:rPr>
        <w:fldChar w:fldCharType="end"/>
      </w:r>
    </w:p>
    <w:p w14:paraId="25C96B7D">
      <w:pPr>
        <w:pStyle w:val="11"/>
        <w:tabs>
          <w:tab w:val="right" w:leader="dot" w:pos="8312"/>
        </w:tabs>
        <w:spacing w:line="312" w:lineRule="auto"/>
        <w:ind w:left="0" w:leftChars="0" w:firstLine="280" w:firstLineChars="100"/>
        <w:rPr>
          <w:rFonts w:ascii="宋体" w:cs="Tahoma"/>
          <w:sz w:val="24"/>
          <w:szCs w:val="24"/>
        </w:rPr>
      </w:pPr>
      <w:r>
        <w:fldChar w:fldCharType="begin"/>
      </w:r>
      <w:r>
        <w:instrText xml:space="preserve"> HYPERLINK \l "_Toc8171" </w:instrText>
      </w:r>
      <w:r>
        <w:fldChar w:fldCharType="separate"/>
      </w:r>
      <w:r>
        <w:rPr>
          <w:rFonts w:hint="eastAsia" w:ascii="宋体" w:hAnsi="宋体" w:cs="宋体"/>
          <w:sz w:val="24"/>
          <w:szCs w:val="24"/>
        </w:rPr>
        <w:t>（五）绩效评价方法</w:t>
      </w:r>
      <w:r>
        <w:rPr>
          <w:rFonts w:ascii="宋体" w:cs="Tahoma"/>
          <w:sz w:val="24"/>
          <w:szCs w:val="24"/>
        </w:rPr>
        <w:tab/>
      </w:r>
      <w:r>
        <w:rPr>
          <w:rFonts w:ascii="宋体" w:hAnsi="宋体" w:cs="宋体"/>
          <w:sz w:val="24"/>
          <w:szCs w:val="24"/>
        </w:rPr>
        <w:fldChar w:fldCharType="begin"/>
      </w:r>
      <w:r>
        <w:rPr>
          <w:rFonts w:ascii="宋体" w:hAnsi="宋体" w:cs="宋体"/>
          <w:sz w:val="24"/>
          <w:szCs w:val="24"/>
        </w:rPr>
        <w:instrText xml:space="preserve"> PAGEREF _Toc8171 </w:instrText>
      </w:r>
      <w:r>
        <w:rPr>
          <w:rFonts w:ascii="宋体" w:hAnsi="宋体" w:cs="宋体"/>
          <w:sz w:val="24"/>
          <w:szCs w:val="24"/>
        </w:rPr>
        <w:fldChar w:fldCharType="separate"/>
      </w:r>
      <w:r>
        <w:rPr>
          <w:rFonts w:ascii="宋体" w:hAnsi="宋体" w:cs="宋体"/>
          <w:sz w:val="24"/>
          <w:szCs w:val="24"/>
        </w:rPr>
        <w:t>16</w:t>
      </w:r>
      <w:r>
        <w:rPr>
          <w:rFonts w:ascii="宋体" w:hAnsi="宋体" w:cs="宋体"/>
          <w:sz w:val="24"/>
          <w:szCs w:val="24"/>
        </w:rPr>
        <w:fldChar w:fldCharType="end"/>
      </w:r>
      <w:r>
        <w:rPr>
          <w:rFonts w:ascii="宋体" w:hAnsi="宋体" w:cs="宋体"/>
          <w:sz w:val="24"/>
          <w:szCs w:val="24"/>
        </w:rPr>
        <w:fldChar w:fldCharType="end"/>
      </w:r>
    </w:p>
    <w:p w14:paraId="513DC0DE">
      <w:pPr>
        <w:pStyle w:val="11"/>
        <w:tabs>
          <w:tab w:val="right" w:leader="dot" w:pos="8312"/>
        </w:tabs>
        <w:spacing w:line="312" w:lineRule="auto"/>
        <w:ind w:left="0" w:leftChars="0" w:firstLine="280" w:firstLineChars="100"/>
        <w:rPr>
          <w:rFonts w:ascii="宋体" w:cs="Tahoma"/>
          <w:sz w:val="24"/>
          <w:szCs w:val="24"/>
        </w:rPr>
      </w:pPr>
      <w:r>
        <w:fldChar w:fldCharType="begin"/>
      </w:r>
      <w:r>
        <w:instrText xml:space="preserve"> HYPERLINK \l "_Toc20821" </w:instrText>
      </w:r>
      <w:r>
        <w:fldChar w:fldCharType="separate"/>
      </w:r>
      <w:r>
        <w:rPr>
          <w:rFonts w:hint="eastAsia" w:ascii="宋体" w:hAnsi="宋体" w:cs="宋体"/>
          <w:sz w:val="24"/>
          <w:szCs w:val="24"/>
        </w:rPr>
        <w:t>（六）绩效评价工作过程</w:t>
      </w:r>
      <w:r>
        <w:rPr>
          <w:rFonts w:ascii="宋体" w:cs="Tahoma"/>
          <w:sz w:val="24"/>
          <w:szCs w:val="24"/>
        </w:rPr>
        <w:tab/>
      </w:r>
      <w:r>
        <w:rPr>
          <w:rFonts w:ascii="宋体" w:hAnsi="宋体" w:cs="宋体"/>
          <w:sz w:val="24"/>
          <w:szCs w:val="24"/>
        </w:rPr>
        <w:fldChar w:fldCharType="begin"/>
      </w:r>
      <w:r>
        <w:rPr>
          <w:rFonts w:ascii="宋体" w:hAnsi="宋体" w:cs="宋体"/>
          <w:sz w:val="24"/>
          <w:szCs w:val="24"/>
        </w:rPr>
        <w:instrText xml:space="preserve"> PAGEREF _Toc20821 </w:instrText>
      </w:r>
      <w:r>
        <w:rPr>
          <w:rFonts w:ascii="宋体" w:hAnsi="宋体" w:cs="宋体"/>
          <w:sz w:val="24"/>
          <w:szCs w:val="24"/>
        </w:rPr>
        <w:fldChar w:fldCharType="separate"/>
      </w:r>
      <w:r>
        <w:rPr>
          <w:rFonts w:ascii="宋体" w:hAnsi="宋体" w:cs="宋体"/>
          <w:sz w:val="24"/>
          <w:szCs w:val="24"/>
        </w:rPr>
        <w:t>17</w:t>
      </w:r>
      <w:r>
        <w:rPr>
          <w:rFonts w:ascii="宋体" w:hAnsi="宋体" w:cs="宋体"/>
          <w:sz w:val="24"/>
          <w:szCs w:val="24"/>
        </w:rPr>
        <w:fldChar w:fldCharType="end"/>
      </w:r>
      <w:r>
        <w:rPr>
          <w:rFonts w:ascii="宋体" w:hAnsi="宋体" w:cs="宋体"/>
          <w:sz w:val="24"/>
          <w:szCs w:val="24"/>
        </w:rPr>
        <w:fldChar w:fldCharType="end"/>
      </w:r>
    </w:p>
    <w:p w14:paraId="2430F2D0">
      <w:pPr>
        <w:pStyle w:val="18"/>
        <w:tabs>
          <w:tab w:val="right" w:leader="dot" w:pos="8312"/>
        </w:tabs>
        <w:spacing w:line="312" w:lineRule="auto"/>
        <w:ind w:left="0" w:leftChars="0"/>
        <w:rPr>
          <w:rFonts w:ascii="宋体" w:cs="Tahoma"/>
          <w:b/>
          <w:bCs/>
          <w:sz w:val="24"/>
          <w:szCs w:val="24"/>
        </w:rPr>
      </w:pPr>
      <w:r>
        <w:fldChar w:fldCharType="begin"/>
      </w:r>
      <w:r>
        <w:instrText xml:space="preserve"> HYPERLINK \l "_Toc6467" </w:instrText>
      </w:r>
      <w:r>
        <w:fldChar w:fldCharType="separate"/>
      </w:r>
      <w:r>
        <w:rPr>
          <w:rFonts w:hint="eastAsia" w:ascii="宋体" w:hAnsi="宋体" w:cs="宋体"/>
          <w:b/>
          <w:bCs/>
          <w:sz w:val="24"/>
          <w:szCs w:val="24"/>
        </w:rPr>
        <w:t>四、绩效评价评分情况</w:t>
      </w:r>
      <w:r>
        <w:rPr>
          <w:rFonts w:ascii="宋体" w:cs="Tahoma"/>
          <w:b/>
          <w:bCs/>
          <w:sz w:val="24"/>
          <w:szCs w:val="24"/>
        </w:rPr>
        <w:tab/>
      </w:r>
      <w:r>
        <w:rPr>
          <w:rFonts w:ascii="宋体" w:hAnsi="宋体" w:cs="宋体"/>
          <w:b/>
          <w:bCs/>
          <w:sz w:val="24"/>
          <w:szCs w:val="24"/>
        </w:rPr>
        <w:fldChar w:fldCharType="begin"/>
      </w:r>
      <w:r>
        <w:rPr>
          <w:rFonts w:ascii="宋体" w:hAnsi="宋体" w:cs="宋体"/>
          <w:b/>
          <w:bCs/>
          <w:sz w:val="24"/>
          <w:szCs w:val="24"/>
        </w:rPr>
        <w:instrText xml:space="preserve"> PAGEREF _Toc6467 </w:instrText>
      </w:r>
      <w:r>
        <w:rPr>
          <w:rFonts w:ascii="宋体" w:hAnsi="宋体" w:cs="宋体"/>
          <w:b/>
          <w:bCs/>
          <w:sz w:val="24"/>
          <w:szCs w:val="24"/>
        </w:rPr>
        <w:fldChar w:fldCharType="separate"/>
      </w:r>
      <w:r>
        <w:rPr>
          <w:rFonts w:ascii="宋体" w:hAnsi="宋体" w:cs="宋体"/>
          <w:b/>
          <w:bCs/>
          <w:sz w:val="24"/>
          <w:szCs w:val="24"/>
        </w:rPr>
        <w:t>18</w:t>
      </w:r>
      <w:r>
        <w:rPr>
          <w:rFonts w:ascii="宋体" w:hAnsi="宋体" w:cs="宋体"/>
          <w:b/>
          <w:bCs/>
          <w:sz w:val="24"/>
          <w:szCs w:val="24"/>
        </w:rPr>
        <w:fldChar w:fldCharType="end"/>
      </w:r>
      <w:r>
        <w:rPr>
          <w:rFonts w:ascii="宋体" w:hAnsi="宋体" w:cs="宋体"/>
          <w:b/>
          <w:bCs/>
          <w:sz w:val="24"/>
          <w:szCs w:val="24"/>
        </w:rPr>
        <w:fldChar w:fldCharType="end"/>
      </w:r>
    </w:p>
    <w:p w14:paraId="3CDEF147">
      <w:pPr>
        <w:pStyle w:val="11"/>
        <w:tabs>
          <w:tab w:val="right" w:leader="dot" w:pos="8312"/>
        </w:tabs>
        <w:spacing w:line="312" w:lineRule="auto"/>
        <w:ind w:left="0" w:leftChars="0" w:firstLine="280" w:firstLineChars="100"/>
        <w:rPr>
          <w:rFonts w:ascii="宋体" w:cs="Tahoma"/>
          <w:sz w:val="24"/>
          <w:szCs w:val="24"/>
        </w:rPr>
      </w:pPr>
      <w:r>
        <w:fldChar w:fldCharType="begin"/>
      </w:r>
      <w:r>
        <w:instrText xml:space="preserve"> HYPERLINK \l "_Toc4390" </w:instrText>
      </w:r>
      <w:r>
        <w:fldChar w:fldCharType="separate"/>
      </w:r>
      <w:r>
        <w:rPr>
          <w:rFonts w:hint="eastAsia" w:ascii="宋体" w:hAnsi="宋体" w:cs="宋体"/>
          <w:sz w:val="24"/>
          <w:szCs w:val="24"/>
        </w:rPr>
        <w:t>（一）投入</w:t>
      </w:r>
      <w:r>
        <w:rPr>
          <w:rFonts w:ascii="宋体" w:cs="Tahoma"/>
          <w:sz w:val="24"/>
          <w:szCs w:val="24"/>
        </w:rPr>
        <w:tab/>
      </w:r>
      <w:r>
        <w:rPr>
          <w:rFonts w:ascii="宋体" w:hAnsi="宋体" w:cs="宋体"/>
          <w:sz w:val="24"/>
          <w:szCs w:val="24"/>
        </w:rPr>
        <w:fldChar w:fldCharType="begin"/>
      </w:r>
      <w:r>
        <w:rPr>
          <w:rFonts w:ascii="宋体" w:hAnsi="宋体" w:cs="宋体"/>
          <w:sz w:val="24"/>
          <w:szCs w:val="24"/>
        </w:rPr>
        <w:instrText xml:space="preserve"> PAGEREF _Toc4390 </w:instrText>
      </w:r>
      <w:r>
        <w:rPr>
          <w:rFonts w:ascii="宋体" w:hAnsi="宋体" w:cs="宋体"/>
          <w:sz w:val="24"/>
          <w:szCs w:val="24"/>
        </w:rPr>
        <w:fldChar w:fldCharType="separate"/>
      </w:r>
      <w:r>
        <w:rPr>
          <w:rFonts w:ascii="宋体" w:hAnsi="宋体" w:cs="宋体"/>
          <w:sz w:val="24"/>
          <w:szCs w:val="24"/>
        </w:rPr>
        <w:t>19</w:t>
      </w:r>
      <w:r>
        <w:rPr>
          <w:rFonts w:ascii="宋体" w:hAnsi="宋体" w:cs="宋体"/>
          <w:sz w:val="24"/>
          <w:szCs w:val="24"/>
        </w:rPr>
        <w:fldChar w:fldCharType="end"/>
      </w:r>
      <w:r>
        <w:rPr>
          <w:rFonts w:ascii="宋体" w:hAnsi="宋体" w:cs="宋体"/>
          <w:sz w:val="24"/>
          <w:szCs w:val="24"/>
        </w:rPr>
        <w:fldChar w:fldCharType="end"/>
      </w:r>
    </w:p>
    <w:p w14:paraId="1384FB1B">
      <w:pPr>
        <w:pStyle w:val="11"/>
        <w:tabs>
          <w:tab w:val="right" w:leader="dot" w:pos="8312"/>
        </w:tabs>
        <w:spacing w:line="312" w:lineRule="auto"/>
        <w:ind w:left="0" w:leftChars="0" w:firstLine="280" w:firstLineChars="100"/>
        <w:rPr>
          <w:rFonts w:ascii="宋体" w:cs="Tahoma"/>
          <w:sz w:val="24"/>
          <w:szCs w:val="24"/>
        </w:rPr>
      </w:pPr>
      <w:r>
        <w:fldChar w:fldCharType="begin"/>
      </w:r>
      <w:r>
        <w:instrText xml:space="preserve"> HYPERLINK \l "_Toc19940" </w:instrText>
      </w:r>
      <w:r>
        <w:fldChar w:fldCharType="separate"/>
      </w:r>
      <w:r>
        <w:rPr>
          <w:rFonts w:hint="eastAsia" w:ascii="宋体" w:hAnsi="宋体" w:cs="宋体"/>
          <w:sz w:val="24"/>
          <w:szCs w:val="24"/>
        </w:rPr>
        <w:t>（二）过程</w:t>
      </w:r>
      <w:r>
        <w:rPr>
          <w:rFonts w:ascii="宋体" w:cs="Tahoma"/>
          <w:sz w:val="24"/>
          <w:szCs w:val="24"/>
        </w:rPr>
        <w:tab/>
      </w:r>
      <w:r>
        <w:rPr>
          <w:rFonts w:ascii="宋体" w:hAnsi="宋体" w:cs="宋体"/>
          <w:sz w:val="24"/>
          <w:szCs w:val="24"/>
        </w:rPr>
        <w:fldChar w:fldCharType="begin"/>
      </w:r>
      <w:r>
        <w:rPr>
          <w:rFonts w:ascii="宋体" w:hAnsi="宋体" w:cs="宋体"/>
          <w:sz w:val="24"/>
          <w:szCs w:val="24"/>
        </w:rPr>
        <w:instrText xml:space="preserve"> PAGEREF _Toc19940 </w:instrText>
      </w:r>
      <w:r>
        <w:rPr>
          <w:rFonts w:ascii="宋体" w:hAnsi="宋体" w:cs="宋体"/>
          <w:sz w:val="24"/>
          <w:szCs w:val="24"/>
        </w:rPr>
        <w:fldChar w:fldCharType="separate"/>
      </w:r>
      <w:r>
        <w:rPr>
          <w:rFonts w:ascii="宋体" w:hAnsi="宋体" w:cs="宋体"/>
          <w:sz w:val="24"/>
          <w:szCs w:val="24"/>
        </w:rPr>
        <w:t>23</w:t>
      </w:r>
      <w:r>
        <w:rPr>
          <w:rFonts w:ascii="宋体" w:hAnsi="宋体" w:cs="宋体"/>
          <w:sz w:val="24"/>
          <w:szCs w:val="24"/>
        </w:rPr>
        <w:fldChar w:fldCharType="end"/>
      </w:r>
      <w:r>
        <w:rPr>
          <w:rFonts w:ascii="宋体" w:hAnsi="宋体" w:cs="宋体"/>
          <w:sz w:val="24"/>
          <w:szCs w:val="24"/>
        </w:rPr>
        <w:fldChar w:fldCharType="end"/>
      </w:r>
    </w:p>
    <w:p w14:paraId="16298480">
      <w:pPr>
        <w:pStyle w:val="11"/>
        <w:tabs>
          <w:tab w:val="right" w:leader="dot" w:pos="8312"/>
        </w:tabs>
        <w:spacing w:line="312" w:lineRule="auto"/>
        <w:ind w:left="0" w:leftChars="0" w:firstLine="280" w:firstLineChars="100"/>
        <w:rPr>
          <w:rFonts w:ascii="宋体" w:cs="Tahoma"/>
          <w:sz w:val="24"/>
          <w:szCs w:val="24"/>
        </w:rPr>
      </w:pPr>
      <w:r>
        <w:fldChar w:fldCharType="begin"/>
      </w:r>
      <w:r>
        <w:instrText xml:space="preserve"> HYPERLINK \l "_Toc12330" </w:instrText>
      </w:r>
      <w:r>
        <w:fldChar w:fldCharType="separate"/>
      </w:r>
      <w:r>
        <w:rPr>
          <w:rFonts w:hint="eastAsia" w:ascii="宋体" w:hAnsi="宋体" w:cs="宋体"/>
          <w:sz w:val="24"/>
          <w:szCs w:val="24"/>
        </w:rPr>
        <w:t>（三）产出</w:t>
      </w:r>
      <w:r>
        <w:rPr>
          <w:rFonts w:ascii="宋体" w:cs="Tahoma"/>
          <w:sz w:val="24"/>
          <w:szCs w:val="24"/>
        </w:rPr>
        <w:tab/>
      </w:r>
      <w:r>
        <w:rPr>
          <w:rFonts w:ascii="宋体" w:hAnsi="宋体" w:cs="宋体"/>
          <w:sz w:val="24"/>
          <w:szCs w:val="24"/>
        </w:rPr>
        <w:fldChar w:fldCharType="begin"/>
      </w:r>
      <w:r>
        <w:rPr>
          <w:rFonts w:ascii="宋体" w:hAnsi="宋体" w:cs="宋体"/>
          <w:sz w:val="24"/>
          <w:szCs w:val="24"/>
        </w:rPr>
        <w:instrText xml:space="preserve"> PAGEREF _Toc12330 </w:instrText>
      </w:r>
      <w:r>
        <w:rPr>
          <w:rFonts w:ascii="宋体" w:hAnsi="宋体" w:cs="宋体"/>
          <w:sz w:val="24"/>
          <w:szCs w:val="24"/>
        </w:rPr>
        <w:fldChar w:fldCharType="separate"/>
      </w:r>
      <w:r>
        <w:rPr>
          <w:rFonts w:ascii="宋体" w:hAnsi="宋体" w:cs="宋体"/>
          <w:sz w:val="24"/>
          <w:szCs w:val="24"/>
        </w:rPr>
        <w:t>31</w:t>
      </w:r>
      <w:r>
        <w:rPr>
          <w:rFonts w:ascii="宋体" w:hAnsi="宋体" w:cs="宋体"/>
          <w:sz w:val="24"/>
          <w:szCs w:val="24"/>
        </w:rPr>
        <w:fldChar w:fldCharType="end"/>
      </w:r>
      <w:r>
        <w:rPr>
          <w:rFonts w:ascii="宋体" w:hAnsi="宋体" w:cs="宋体"/>
          <w:sz w:val="24"/>
          <w:szCs w:val="24"/>
        </w:rPr>
        <w:fldChar w:fldCharType="end"/>
      </w:r>
    </w:p>
    <w:p w14:paraId="357F7A42">
      <w:pPr>
        <w:pStyle w:val="11"/>
        <w:tabs>
          <w:tab w:val="right" w:leader="dot" w:pos="8312"/>
        </w:tabs>
        <w:spacing w:line="312" w:lineRule="auto"/>
        <w:ind w:left="0" w:leftChars="0" w:firstLine="280" w:firstLineChars="100"/>
        <w:rPr>
          <w:rFonts w:ascii="宋体" w:cs="Tahoma"/>
          <w:sz w:val="24"/>
          <w:szCs w:val="24"/>
        </w:rPr>
      </w:pPr>
      <w:r>
        <w:fldChar w:fldCharType="begin"/>
      </w:r>
      <w:r>
        <w:instrText xml:space="preserve"> HYPERLINK \l "_Toc28363" </w:instrText>
      </w:r>
      <w:r>
        <w:fldChar w:fldCharType="separate"/>
      </w:r>
      <w:r>
        <w:rPr>
          <w:rFonts w:hint="eastAsia" w:ascii="宋体" w:hAnsi="宋体" w:cs="宋体"/>
          <w:sz w:val="24"/>
          <w:szCs w:val="24"/>
        </w:rPr>
        <w:t>（四）效果</w:t>
      </w:r>
      <w:r>
        <w:rPr>
          <w:rFonts w:ascii="宋体" w:cs="Tahoma"/>
          <w:sz w:val="24"/>
          <w:szCs w:val="24"/>
        </w:rPr>
        <w:tab/>
      </w:r>
      <w:r>
        <w:rPr>
          <w:rFonts w:ascii="宋体" w:hAnsi="宋体" w:cs="宋体"/>
          <w:sz w:val="24"/>
          <w:szCs w:val="24"/>
        </w:rPr>
        <w:fldChar w:fldCharType="begin"/>
      </w:r>
      <w:r>
        <w:rPr>
          <w:rFonts w:ascii="宋体" w:hAnsi="宋体" w:cs="宋体"/>
          <w:sz w:val="24"/>
          <w:szCs w:val="24"/>
        </w:rPr>
        <w:instrText xml:space="preserve"> PAGEREF _Toc28363 </w:instrText>
      </w:r>
      <w:r>
        <w:rPr>
          <w:rFonts w:ascii="宋体" w:hAnsi="宋体" w:cs="宋体"/>
          <w:sz w:val="24"/>
          <w:szCs w:val="24"/>
        </w:rPr>
        <w:fldChar w:fldCharType="separate"/>
      </w:r>
      <w:r>
        <w:rPr>
          <w:rFonts w:ascii="宋体" w:hAnsi="宋体" w:cs="宋体"/>
          <w:sz w:val="24"/>
          <w:szCs w:val="24"/>
        </w:rPr>
        <w:t>32</w:t>
      </w:r>
      <w:r>
        <w:rPr>
          <w:rFonts w:ascii="宋体" w:hAnsi="宋体" w:cs="宋体"/>
          <w:sz w:val="24"/>
          <w:szCs w:val="24"/>
        </w:rPr>
        <w:fldChar w:fldCharType="end"/>
      </w:r>
      <w:r>
        <w:rPr>
          <w:rFonts w:ascii="宋体" w:hAnsi="宋体" w:cs="宋体"/>
          <w:sz w:val="24"/>
          <w:szCs w:val="24"/>
        </w:rPr>
        <w:fldChar w:fldCharType="end"/>
      </w:r>
    </w:p>
    <w:p w14:paraId="4E0D5D61">
      <w:pPr>
        <w:pStyle w:val="18"/>
        <w:tabs>
          <w:tab w:val="right" w:leader="dot" w:pos="8312"/>
        </w:tabs>
        <w:spacing w:line="312" w:lineRule="auto"/>
        <w:ind w:left="0" w:leftChars="0"/>
        <w:rPr>
          <w:rFonts w:ascii="宋体" w:cs="Tahoma"/>
          <w:sz w:val="24"/>
          <w:szCs w:val="24"/>
        </w:rPr>
      </w:pPr>
      <w:r>
        <w:fldChar w:fldCharType="begin"/>
      </w:r>
      <w:r>
        <w:instrText xml:space="preserve"> HYPERLINK \l "_Toc13757" </w:instrText>
      </w:r>
      <w:r>
        <w:fldChar w:fldCharType="separate"/>
      </w:r>
      <w:r>
        <w:rPr>
          <w:rFonts w:hint="eastAsia" w:ascii="宋体" w:hAnsi="宋体" w:cs="宋体"/>
          <w:b/>
          <w:bCs/>
          <w:sz w:val="24"/>
          <w:szCs w:val="24"/>
        </w:rPr>
        <w:t>五、绩效评价发现的问题</w:t>
      </w:r>
      <w:r>
        <w:rPr>
          <w:rFonts w:ascii="宋体" w:cs="Tahoma"/>
          <w:b/>
          <w:bCs/>
          <w:sz w:val="24"/>
          <w:szCs w:val="24"/>
        </w:rPr>
        <w:tab/>
      </w:r>
      <w:r>
        <w:rPr>
          <w:rFonts w:ascii="宋体" w:hAnsi="宋体" w:cs="宋体"/>
          <w:b/>
          <w:bCs/>
          <w:sz w:val="24"/>
          <w:szCs w:val="24"/>
        </w:rPr>
        <w:fldChar w:fldCharType="begin"/>
      </w:r>
      <w:r>
        <w:rPr>
          <w:rFonts w:ascii="宋体" w:hAnsi="宋体" w:cs="宋体"/>
          <w:b/>
          <w:bCs/>
          <w:sz w:val="24"/>
          <w:szCs w:val="24"/>
        </w:rPr>
        <w:instrText xml:space="preserve"> PAGEREF _Toc13757 </w:instrText>
      </w:r>
      <w:r>
        <w:rPr>
          <w:rFonts w:ascii="宋体" w:hAnsi="宋体" w:cs="宋体"/>
          <w:b/>
          <w:bCs/>
          <w:sz w:val="24"/>
          <w:szCs w:val="24"/>
        </w:rPr>
        <w:fldChar w:fldCharType="separate"/>
      </w:r>
      <w:r>
        <w:rPr>
          <w:rFonts w:ascii="宋体" w:hAnsi="宋体" w:cs="宋体"/>
          <w:b/>
          <w:bCs/>
          <w:sz w:val="24"/>
          <w:szCs w:val="24"/>
        </w:rPr>
        <w:t>34</w:t>
      </w:r>
      <w:r>
        <w:rPr>
          <w:rFonts w:ascii="宋体" w:hAnsi="宋体" w:cs="宋体"/>
          <w:b/>
          <w:bCs/>
          <w:sz w:val="24"/>
          <w:szCs w:val="24"/>
        </w:rPr>
        <w:fldChar w:fldCharType="end"/>
      </w:r>
      <w:r>
        <w:rPr>
          <w:rFonts w:ascii="宋体" w:hAnsi="宋体" w:cs="宋体"/>
          <w:b/>
          <w:bCs/>
          <w:sz w:val="24"/>
          <w:szCs w:val="24"/>
        </w:rPr>
        <w:fldChar w:fldCharType="end"/>
      </w:r>
    </w:p>
    <w:p w14:paraId="41B9BCD1">
      <w:pPr>
        <w:pStyle w:val="18"/>
        <w:tabs>
          <w:tab w:val="right" w:leader="dot" w:pos="8312"/>
        </w:tabs>
        <w:spacing w:line="312" w:lineRule="auto"/>
        <w:ind w:left="0" w:leftChars="0"/>
        <w:rPr>
          <w:rFonts w:cs="Tahoma"/>
          <w:b/>
          <w:bCs/>
        </w:rPr>
      </w:pPr>
      <w:r>
        <w:fldChar w:fldCharType="begin"/>
      </w:r>
      <w:r>
        <w:instrText xml:space="preserve"> HYPERLINK \l "_Toc20723" </w:instrText>
      </w:r>
      <w:r>
        <w:fldChar w:fldCharType="separate"/>
      </w:r>
      <w:r>
        <w:rPr>
          <w:rFonts w:hint="eastAsia" w:ascii="宋体" w:hAnsi="宋体" w:cs="宋体"/>
          <w:b/>
          <w:bCs/>
          <w:sz w:val="24"/>
          <w:szCs w:val="24"/>
        </w:rPr>
        <w:t>六、绩效评价意见及建议</w:t>
      </w:r>
      <w:r>
        <w:rPr>
          <w:rFonts w:ascii="宋体" w:cs="Tahoma"/>
          <w:b/>
          <w:bCs/>
          <w:sz w:val="24"/>
          <w:szCs w:val="24"/>
        </w:rPr>
        <w:tab/>
      </w:r>
      <w:r>
        <w:rPr>
          <w:rFonts w:ascii="宋体" w:hAnsi="宋体" w:cs="宋体"/>
          <w:b/>
          <w:bCs/>
          <w:sz w:val="24"/>
          <w:szCs w:val="24"/>
        </w:rPr>
        <w:fldChar w:fldCharType="begin"/>
      </w:r>
      <w:r>
        <w:rPr>
          <w:rFonts w:ascii="宋体" w:hAnsi="宋体" w:cs="宋体"/>
          <w:b/>
          <w:bCs/>
          <w:sz w:val="24"/>
          <w:szCs w:val="24"/>
        </w:rPr>
        <w:instrText xml:space="preserve"> PAGEREF _Toc20723 </w:instrText>
      </w:r>
      <w:r>
        <w:rPr>
          <w:rFonts w:ascii="宋体" w:hAnsi="宋体" w:cs="宋体"/>
          <w:b/>
          <w:bCs/>
          <w:sz w:val="24"/>
          <w:szCs w:val="24"/>
        </w:rPr>
        <w:fldChar w:fldCharType="separate"/>
      </w:r>
      <w:r>
        <w:rPr>
          <w:rFonts w:ascii="宋体" w:hAnsi="宋体" w:cs="宋体"/>
          <w:b/>
          <w:bCs/>
          <w:sz w:val="24"/>
          <w:szCs w:val="24"/>
        </w:rPr>
        <w:t>34</w:t>
      </w:r>
      <w:r>
        <w:rPr>
          <w:rFonts w:ascii="宋体" w:hAnsi="宋体" w:cs="宋体"/>
          <w:b/>
          <w:bCs/>
          <w:sz w:val="24"/>
          <w:szCs w:val="24"/>
        </w:rPr>
        <w:fldChar w:fldCharType="end"/>
      </w:r>
      <w:r>
        <w:rPr>
          <w:rFonts w:ascii="宋体" w:hAnsi="宋体" w:cs="宋体"/>
          <w:b/>
          <w:bCs/>
          <w:sz w:val="24"/>
          <w:szCs w:val="24"/>
        </w:rPr>
        <w:fldChar w:fldCharType="end"/>
      </w:r>
    </w:p>
    <w:p w14:paraId="5CA8C70B">
      <w:pPr>
        <w:spacing w:line="312" w:lineRule="auto"/>
        <w:ind w:firstLine="480" w:firstLineChars="200"/>
        <w:jc w:val="both"/>
        <w:sectPr>
          <w:footerReference r:id="rId4" w:type="default"/>
          <w:pgSz w:w="11906" w:h="16838"/>
          <w:pgMar w:top="1440" w:right="1797" w:bottom="1191" w:left="1797" w:header="709" w:footer="709" w:gutter="0"/>
          <w:pgNumType w:start="1"/>
          <w:cols w:space="708" w:num="1"/>
          <w:docGrid w:linePitch="360" w:charSpace="0"/>
        </w:sectPr>
      </w:pPr>
      <w:r>
        <w:rPr>
          <w:rFonts w:ascii="宋体" w:hAnsi="宋体" w:cs="宋体"/>
          <w:sz w:val="24"/>
          <w:szCs w:val="24"/>
        </w:rPr>
        <w:fldChar w:fldCharType="end"/>
      </w:r>
    </w:p>
    <w:p w14:paraId="59BD2594">
      <w:pPr>
        <w:pStyle w:val="3"/>
        <w:spacing w:line="540" w:lineRule="exact"/>
        <w:jc w:val="center"/>
        <w:rPr>
          <w:rFonts w:ascii="黑体" w:cs="Tahoma"/>
          <w:b w:val="0"/>
          <w:bCs w:val="0"/>
          <w:color w:val="auto"/>
        </w:rPr>
      </w:pPr>
      <w:bookmarkStart w:id="0" w:name="_Toc25184"/>
      <w:r>
        <w:rPr>
          <w:rFonts w:hint="eastAsia" w:ascii="黑体" w:hAnsi="黑体" w:cs="黑体"/>
          <w:b w:val="0"/>
          <w:bCs w:val="0"/>
          <w:color w:val="auto"/>
        </w:rPr>
        <w:t>第一部分</w:t>
      </w:r>
      <w:r>
        <w:rPr>
          <w:rFonts w:ascii="黑体" w:hAnsi="黑体" w:cs="黑体"/>
          <w:b w:val="0"/>
          <w:bCs w:val="0"/>
          <w:color w:val="auto"/>
        </w:rPr>
        <w:t xml:space="preserve">   </w:t>
      </w:r>
      <w:r>
        <w:rPr>
          <w:rFonts w:hint="eastAsia" w:ascii="黑体" w:hAnsi="黑体" w:cs="黑体"/>
          <w:b w:val="0"/>
          <w:bCs w:val="0"/>
          <w:color w:val="auto"/>
        </w:rPr>
        <w:t>摘</w:t>
      </w:r>
      <w:r>
        <w:rPr>
          <w:rFonts w:ascii="黑体" w:hAnsi="黑体" w:cs="黑体"/>
          <w:b w:val="0"/>
          <w:bCs w:val="0"/>
          <w:color w:val="auto"/>
        </w:rPr>
        <w:t xml:space="preserve">  </w:t>
      </w:r>
      <w:r>
        <w:rPr>
          <w:rFonts w:hint="eastAsia" w:ascii="黑体" w:hAnsi="黑体" w:cs="黑体"/>
          <w:b w:val="0"/>
          <w:bCs w:val="0"/>
          <w:color w:val="auto"/>
        </w:rPr>
        <w:t>要</w:t>
      </w:r>
      <w:bookmarkEnd w:id="0"/>
    </w:p>
    <w:p w14:paraId="0E396535">
      <w:pPr>
        <w:spacing w:after="0" w:line="360" w:lineRule="auto"/>
        <w:ind w:firstLine="640" w:firstLineChars="200"/>
        <w:jc w:val="both"/>
        <w:textAlignment w:val="baseline"/>
        <w:rPr>
          <w:rFonts w:ascii="仿宋_GB2312" w:eastAsia="仿宋_GB2312"/>
          <w:color w:val="auto"/>
          <w:sz w:val="32"/>
          <w:szCs w:val="32"/>
        </w:rPr>
      </w:pPr>
      <w:r>
        <w:rPr>
          <w:rFonts w:hint="eastAsia" w:ascii="仿宋_GB2312" w:eastAsia="仿宋_GB2312" w:cs="仿宋_GB2312"/>
          <w:color w:val="auto"/>
          <w:sz w:val="32"/>
          <w:szCs w:val="32"/>
        </w:rPr>
        <w:t>为深入贯彻落实中共中央国务院《关于全面实施预算绩效管理的意见》、中共河北省委河北省人民政府《关于全面实施预算绩效管理的实施意见》、河北省财政厅《全面实施预算绩效管理推进工作方案》的精神，进一步加强和规范预算绩效运行监控工作，确保绩效目标如期保质保量实现，提高预算执行效率和财政资金使用效益，我单位对</w:t>
      </w:r>
      <w:r>
        <w:rPr>
          <w:rFonts w:ascii="仿宋_GB2312" w:eastAsia="仿宋_GB2312" w:cs="仿宋_GB2312"/>
          <w:color w:val="auto"/>
          <w:sz w:val="32"/>
          <w:szCs w:val="32"/>
        </w:rPr>
        <w:t>2019</w:t>
      </w:r>
      <w:r>
        <w:rPr>
          <w:rFonts w:hint="eastAsia" w:ascii="仿宋_GB2312" w:eastAsia="仿宋_GB2312" w:cs="仿宋_GB2312"/>
          <w:color w:val="auto"/>
          <w:sz w:val="32"/>
          <w:szCs w:val="32"/>
        </w:rPr>
        <w:t>年部门整体支出情况开展了绩效自评价工作。</w:t>
      </w:r>
    </w:p>
    <w:p w14:paraId="3276C2CC">
      <w:pPr>
        <w:spacing w:after="0" w:line="360" w:lineRule="auto"/>
        <w:ind w:firstLine="640" w:firstLineChars="200"/>
        <w:jc w:val="both"/>
        <w:textAlignment w:val="baseline"/>
        <w:rPr>
          <w:rFonts w:ascii="仿宋_GB2312" w:eastAsia="仿宋_GB2312"/>
          <w:color w:val="auto"/>
          <w:sz w:val="32"/>
          <w:szCs w:val="32"/>
        </w:rPr>
      </w:pPr>
      <w:r>
        <w:rPr>
          <w:rFonts w:hint="eastAsia" w:ascii="仿宋_GB2312" w:eastAsia="仿宋_GB2312" w:cs="仿宋_GB2312"/>
          <w:color w:val="auto"/>
          <w:sz w:val="32"/>
          <w:szCs w:val="32"/>
        </w:rPr>
        <w:t>保定市徐水区总工会为正科级行政单位，经费保障形式部分为财政拨款，下设</w:t>
      </w:r>
      <w:r>
        <w:rPr>
          <w:rFonts w:ascii="仿宋_GB2312" w:eastAsia="仿宋_GB2312" w:cs="仿宋_GB2312"/>
          <w:color w:val="auto"/>
          <w:sz w:val="32"/>
          <w:szCs w:val="32"/>
        </w:rPr>
        <w:t>1</w:t>
      </w:r>
      <w:r>
        <w:rPr>
          <w:rFonts w:hint="eastAsia" w:ascii="仿宋_GB2312" w:eastAsia="仿宋_GB2312" w:cs="仿宋_GB2312"/>
          <w:color w:val="auto"/>
          <w:sz w:val="32"/>
          <w:szCs w:val="32"/>
        </w:rPr>
        <w:t>个综合股室，主要职责进一步突出和履行维护职工合法权益；指导各级工会组织开展以职工代表大会为基本制度的民主选举、民主决策、民主管理和民主监督等工作。负责全区工会工作。</w:t>
      </w:r>
    </w:p>
    <w:p w14:paraId="46F73B4D">
      <w:pPr>
        <w:spacing w:after="0" w:line="360" w:lineRule="auto"/>
        <w:ind w:firstLine="640" w:firstLineChars="200"/>
        <w:jc w:val="both"/>
        <w:textAlignment w:val="baseline"/>
        <w:rPr>
          <w:rFonts w:ascii="仿宋_GB2312" w:eastAsia="仿宋_GB2312"/>
          <w:color w:val="auto"/>
          <w:sz w:val="32"/>
          <w:szCs w:val="32"/>
        </w:rPr>
      </w:pPr>
      <w:r>
        <w:rPr>
          <w:rFonts w:hint="eastAsia" w:ascii="仿宋_GB2312" w:eastAsia="仿宋_GB2312" w:cs="仿宋_GB2312"/>
          <w:color w:val="auto"/>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14:paraId="0225BD90">
      <w:pPr>
        <w:spacing w:after="0" w:line="360" w:lineRule="auto"/>
        <w:ind w:firstLine="640" w:firstLineChars="200"/>
        <w:jc w:val="both"/>
        <w:textAlignment w:val="baseline"/>
        <w:rPr>
          <w:rFonts w:ascii="仿宋_GB2312" w:eastAsia="仿宋_GB2312"/>
          <w:color w:val="auto"/>
          <w:sz w:val="32"/>
          <w:szCs w:val="32"/>
        </w:rPr>
      </w:pPr>
      <w:r>
        <w:rPr>
          <w:rFonts w:hint="eastAsia" w:ascii="仿宋_GB2312" w:eastAsia="仿宋_GB2312" w:cs="仿宋_GB2312"/>
          <w:color w:val="auto"/>
          <w:sz w:val="32"/>
          <w:szCs w:val="32"/>
        </w:rPr>
        <w:t>评价工作经过了前期准备、绩效评价实施方案和指标体系制定、组织实施、绩效评价报告撰写四个阶段。</w:t>
      </w:r>
    </w:p>
    <w:p w14:paraId="689DB273">
      <w:pPr>
        <w:spacing w:after="0" w:line="360" w:lineRule="auto"/>
        <w:ind w:firstLine="640" w:firstLineChars="200"/>
        <w:jc w:val="both"/>
        <w:textAlignment w:val="baseline"/>
        <w:rPr>
          <w:rFonts w:ascii="仿宋_GB2312" w:eastAsia="仿宋_GB2312"/>
          <w:color w:val="auto"/>
          <w:sz w:val="32"/>
          <w:szCs w:val="32"/>
        </w:rPr>
      </w:pPr>
      <w:r>
        <w:rPr>
          <w:rFonts w:hint="eastAsia" w:ascii="仿宋_GB2312" w:eastAsia="仿宋_GB2312" w:cs="仿宋_GB2312"/>
          <w:color w:val="auto"/>
          <w:sz w:val="32"/>
          <w:szCs w:val="32"/>
        </w:rPr>
        <w:t>按照中共河北省委河北省人民政府《关于全面实施预算绩效管理的实施意见》的相关规定，以河北省财政厅《全面实施预算绩效管理推进工作方案》、《保定市徐水区部门预算绩效运行监控工作规程》中的相关工作要求作为评价标准，采取定量和定性评价相结合的方法，对资料进行审核、分析，实事求是、客观公正地完成了保定市徐水区总工会</w:t>
      </w:r>
      <w:r>
        <w:rPr>
          <w:rFonts w:ascii="仿宋_GB2312" w:eastAsia="仿宋_GB2312" w:cs="仿宋_GB2312"/>
          <w:color w:val="auto"/>
          <w:sz w:val="32"/>
          <w:szCs w:val="32"/>
        </w:rPr>
        <w:t>2019</w:t>
      </w:r>
      <w:r>
        <w:rPr>
          <w:rFonts w:hint="eastAsia" w:ascii="仿宋_GB2312" w:eastAsia="仿宋_GB2312" w:cs="仿宋_GB2312"/>
          <w:color w:val="auto"/>
          <w:sz w:val="32"/>
          <w:szCs w:val="32"/>
        </w:rPr>
        <w:t>年部门整体支出绩效评价工作。</w:t>
      </w:r>
    </w:p>
    <w:p w14:paraId="10AADA19">
      <w:pPr>
        <w:spacing w:after="0" w:line="360" w:lineRule="auto"/>
        <w:ind w:firstLine="640" w:firstLineChars="200"/>
        <w:jc w:val="both"/>
        <w:textAlignment w:val="baseline"/>
        <w:rPr>
          <w:rFonts w:ascii="仿宋_GB2312" w:eastAsia="仿宋_GB2312"/>
          <w:color w:val="auto"/>
          <w:sz w:val="32"/>
          <w:szCs w:val="32"/>
        </w:rPr>
      </w:pPr>
      <w:r>
        <w:rPr>
          <w:rFonts w:hint="eastAsia" w:ascii="仿宋_GB2312" w:eastAsia="仿宋_GB2312" w:cs="仿宋_GB2312"/>
          <w:color w:val="auto"/>
          <w:sz w:val="32"/>
          <w:szCs w:val="32"/>
        </w:rPr>
        <w:t>区总工会单位</w:t>
      </w:r>
      <w:r>
        <w:rPr>
          <w:rFonts w:ascii="仿宋_GB2312" w:eastAsia="仿宋_GB2312" w:cs="仿宋_GB2312"/>
          <w:color w:val="auto"/>
          <w:sz w:val="32"/>
          <w:szCs w:val="32"/>
        </w:rPr>
        <w:t>2019</w:t>
      </w:r>
      <w:r>
        <w:rPr>
          <w:rFonts w:hint="eastAsia" w:ascii="仿宋_GB2312" w:eastAsia="仿宋_GB2312" w:cs="仿宋_GB2312"/>
          <w:color w:val="auto"/>
          <w:sz w:val="32"/>
          <w:szCs w:val="32"/>
        </w:rPr>
        <w:t>年部门整体支出绩效评价指标体系共设置</w:t>
      </w:r>
      <w:r>
        <w:rPr>
          <w:rFonts w:ascii="仿宋_GB2312" w:eastAsia="仿宋_GB2312" w:cs="仿宋_GB2312"/>
          <w:color w:val="auto"/>
          <w:sz w:val="32"/>
          <w:szCs w:val="32"/>
        </w:rPr>
        <w:t>4</w:t>
      </w:r>
      <w:r>
        <w:rPr>
          <w:rFonts w:hint="eastAsia" w:ascii="仿宋_GB2312" w:eastAsia="仿宋_GB2312" w:cs="仿宋_GB2312"/>
          <w:color w:val="auto"/>
          <w:sz w:val="32"/>
          <w:szCs w:val="32"/>
        </w:rPr>
        <w:t>个一级指标、</w:t>
      </w:r>
      <w:r>
        <w:rPr>
          <w:rFonts w:ascii="仿宋_GB2312" w:eastAsia="仿宋_GB2312" w:cs="仿宋_GB2312"/>
          <w:color w:val="auto"/>
          <w:sz w:val="32"/>
          <w:szCs w:val="32"/>
        </w:rPr>
        <w:t>7</w:t>
      </w:r>
      <w:r>
        <w:rPr>
          <w:rFonts w:hint="eastAsia" w:ascii="仿宋_GB2312" w:eastAsia="仿宋_GB2312" w:cs="仿宋_GB2312"/>
          <w:color w:val="auto"/>
          <w:sz w:val="32"/>
          <w:szCs w:val="32"/>
        </w:rPr>
        <w:t>个二级指标、</w:t>
      </w:r>
      <w:r>
        <w:rPr>
          <w:rFonts w:ascii="仿宋_GB2312" w:eastAsia="仿宋_GB2312" w:cs="仿宋_GB2312"/>
          <w:color w:val="auto"/>
          <w:sz w:val="32"/>
          <w:szCs w:val="32"/>
        </w:rPr>
        <w:t>27</w:t>
      </w:r>
      <w:r>
        <w:rPr>
          <w:rFonts w:hint="eastAsia" w:ascii="仿宋_GB2312" w:eastAsia="仿宋_GB2312" w:cs="仿宋_GB2312"/>
          <w:color w:val="auto"/>
          <w:sz w:val="32"/>
          <w:szCs w:val="32"/>
        </w:rPr>
        <w:t>个三级指标，从投入、过程、产出、效果四个方面对区总工会单位部门整体支出情况评分定级。指标体系设定满分为</w:t>
      </w:r>
      <w:r>
        <w:rPr>
          <w:rFonts w:ascii="仿宋_GB2312" w:eastAsia="仿宋_GB2312" w:cs="仿宋_GB2312"/>
          <w:color w:val="auto"/>
          <w:sz w:val="32"/>
          <w:szCs w:val="32"/>
        </w:rPr>
        <w:t>100</w:t>
      </w:r>
      <w:r>
        <w:rPr>
          <w:rFonts w:hint="eastAsia" w:ascii="仿宋_GB2312" w:eastAsia="仿宋_GB2312" w:cs="仿宋_GB2312"/>
          <w:color w:val="auto"/>
          <w:sz w:val="32"/>
          <w:szCs w:val="32"/>
        </w:rPr>
        <w:t>分，绩效评价分值≥</w:t>
      </w:r>
      <w:r>
        <w:rPr>
          <w:rFonts w:ascii="仿宋_GB2312" w:eastAsia="仿宋_GB2312" w:cs="仿宋_GB2312"/>
          <w:color w:val="auto"/>
          <w:sz w:val="32"/>
          <w:szCs w:val="32"/>
        </w:rPr>
        <w:t>90</w:t>
      </w:r>
      <w:r>
        <w:rPr>
          <w:rFonts w:hint="eastAsia" w:ascii="仿宋_GB2312" w:eastAsia="仿宋_GB2312" w:cs="仿宋_GB2312"/>
          <w:color w:val="auto"/>
          <w:sz w:val="32"/>
          <w:szCs w:val="32"/>
        </w:rPr>
        <w:t>为“优”；</w:t>
      </w:r>
      <w:r>
        <w:rPr>
          <w:rFonts w:ascii="仿宋_GB2312" w:eastAsia="仿宋_GB2312" w:cs="仿宋_GB2312"/>
          <w:color w:val="auto"/>
          <w:sz w:val="32"/>
          <w:szCs w:val="32"/>
        </w:rPr>
        <w:t>80</w:t>
      </w:r>
      <w:r>
        <w:rPr>
          <w:rFonts w:hint="eastAsia" w:ascii="仿宋_GB2312" w:eastAsia="仿宋_GB2312" w:cs="仿宋_GB2312"/>
          <w:color w:val="auto"/>
          <w:sz w:val="32"/>
          <w:szCs w:val="32"/>
        </w:rPr>
        <w:t>≤分值＜</w:t>
      </w:r>
      <w:r>
        <w:rPr>
          <w:rFonts w:ascii="仿宋_GB2312" w:eastAsia="仿宋_GB2312" w:cs="仿宋_GB2312"/>
          <w:color w:val="auto"/>
          <w:sz w:val="32"/>
          <w:szCs w:val="32"/>
        </w:rPr>
        <w:t>90</w:t>
      </w:r>
      <w:r>
        <w:rPr>
          <w:rFonts w:hint="eastAsia" w:ascii="仿宋_GB2312" w:eastAsia="仿宋_GB2312" w:cs="仿宋_GB2312"/>
          <w:color w:val="auto"/>
          <w:sz w:val="32"/>
          <w:szCs w:val="32"/>
        </w:rPr>
        <w:t>为“良”；</w:t>
      </w:r>
      <w:r>
        <w:rPr>
          <w:rFonts w:ascii="仿宋_GB2312" w:eastAsia="仿宋_GB2312" w:cs="仿宋_GB2312"/>
          <w:color w:val="auto"/>
          <w:sz w:val="32"/>
          <w:szCs w:val="32"/>
        </w:rPr>
        <w:t>60</w:t>
      </w:r>
      <w:r>
        <w:rPr>
          <w:rFonts w:hint="eastAsia" w:ascii="仿宋_GB2312" w:eastAsia="仿宋_GB2312" w:cs="仿宋_GB2312"/>
          <w:color w:val="auto"/>
          <w:sz w:val="32"/>
          <w:szCs w:val="32"/>
        </w:rPr>
        <w:t>≤分值＜</w:t>
      </w:r>
      <w:r>
        <w:rPr>
          <w:rFonts w:ascii="仿宋_GB2312" w:eastAsia="仿宋_GB2312" w:cs="仿宋_GB2312"/>
          <w:color w:val="auto"/>
          <w:sz w:val="32"/>
          <w:szCs w:val="32"/>
        </w:rPr>
        <w:t>80</w:t>
      </w:r>
      <w:r>
        <w:rPr>
          <w:rFonts w:hint="eastAsia" w:ascii="仿宋_GB2312" w:eastAsia="仿宋_GB2312" w:cs="仿宋_GB2312"/>
          <w:color w:val="auto"/>
          <w:sz w:val="32"/>
          <w:szCs w:val="32"/>
        </w:rPr>
        <w:t>为“合格”；</w:t>
      </w:r>
      <w:r>
        <w:rPr>
          <w:rFonts w:ascii="仿宋_GB2312" w:eastAsia="仿宋_GB2312" w:cs="仿宋_GB2312"/>
          <w:color w:val="auto"/>
          <w:sz w:val="32"/>
          <w:szCs w:val="32"/>
        </w:rPr>
        <w:t>60</w:t>
      </w:r>
      <w:r>
        <w:rPr>
          <w:rFonts w:hint="eastAsia" w:ascii="仿宋_GB2312" w:eastAsia="仿宋_GB2312" w:cs="仿宋_GB2312"/>
          <w:color w:val="auto"/>
          <w:sz w:val="32"/>
          <w:szCs w:val="32"/>
        </w:rPr>
        <w:t>分以下为“差”。</w:t>
      </w:r>
    </w:p>
    <w:p w14:paraId="31629127">
      <w:pPr>
        <w:spacing w:after="0" w:line="360" w:lineRule="auto"/>
        <w:ind w:firstLine="640" w:firstLineChars="200"/>
        <w:jc w:val="both"/>
        <w:textAlignment w:val="baseline"/>
        <w:rPr>
          <w:rFonts w:ascii="仿宋_GB2312" w:eastAsia="仿宋_GB2312"/>
          <w:color w:val="auto"/>
          <w:sz w:val="32"/>
          <w:szCs w:val="32"/>
        </w:rPr>
      </w:pPr>
      <w:r>
        <w:rPr>
          <w:rFonts w:hint="eastAsia" w:ascii="仿宋_GB2312" w:eastAsia="仿宋_GB2312" w:cs="仿宋_GB2312"/>
          <w:color w:val="auto"/>
          <w:sz w:val="32"/>
          <w:szCs w:val="32"/>
        </w:rPr>
        <w:t>区总工会单位</w:t>
      </w:r>
      <w:r>
        <w:rPr>
          <w:rFonts w:ascii="仿宋_GB2312" w:eastAsia="仿宋_GB2312" w:cs="仿宋_GB2312"/>
          <w:color w:val="auto"/>
          <w:sz w:val="32"/>
          <w:szCs w:val="32"/>
        </w:rPr>
        <w:t>2019</w:t>
      </w:r>
      <w:r>
        <w:rPr>
          <w:rFonts w:hint="eastAsia" w:ascii="仿宋_GB2312" w:eastAsia="仿宋_GB2312" w:cs="仿宋_GB2312"/>
          <w:color w:val="auto"/>
          <w:sz w:val="32"/>
          <w:szCs w:val="32"/>
        </w:rPr>
        <w:t>年部门整体支出综合评价得分为</w:t>
      </w:r>
      <w:r>
        <w:rPr>
          <w:rFonts w:ascii="仿宋_GB2312" w:eastAsia="仿宋_GB2312" w:cs="仿宋_GB2312"/>
          <w:color w:val="auto"/>
          <w:sz w:val="32"/>
          <w:szCs w:val="32"/>
        </w:rPr>
        <w:t>94</w:t>
      </w:r>
      <w:r>
        <w:rPr>
          <w:rFonts w:hint="eastAsia" w:ascii="仿宋_GB2312" w:eastAsia="仿宋_GB2312" w:cs="仿宋_GB2312"/>
          <w:color w:val="auto"/>
          <w:sz w:val="32"/>
          <w:szCs w:val="32"/>
        </w:rPr>
        <w:t>分，评价等级为“优”。</w:t>
      </w:r>
    </w:p>
    <w:p w14:paraId="1EEC1152">
      <w:pPr>
        <w:spacing w:after="0" w:line="360" w:lineRule="auto"/>
        <w:ind w:firstLine="640" w:firstLineChars="200"/>
        <w:jc w:val="both"/>
        <w:textAlignment w:val="baseline"/>
        <w:rPr>
          <w:rFonts w:ascii="仿宋_GB2312" w:eastAsia="仿宋_GB2312"/>
          <w:color w:val="auto"/>
          <w:sz w:val="32"/>
          <w:szCs w:val="32"/>
        </w:rPr>
      </w:pPr>
      <w:r>
        <w:rPr>
          <w:rFonts w:hint="eastAsia" w:ascii="仿宋_GB2312" w:eastAsia="仿宋_GB2312" w:cs="仿宋_GB2312"/>
          <w:color w:val="auto"/>
          <w:sz w:val="32"/>
          <w:szCs w:val="32"/>
        </w:rPr>
        <w:t>经评价，区总工会</w:t>
      </w:r>
      <w:r>
        <w:rPr>
          <w:rFonts w:ascii="仿宋_GB2312" w:eastAsia="仿宋_GB2312" w:cs="仿宋_GB2312"/>
          <w:color w:val="auto"/>
          <w:sz w:val="32"/>
          <w:szCs w:val="32"/>
        </w:rPr>
        <w:t>2019</w:t>
      </w:r>
      <w:r>
        <w:rPr>
          <w:rFonts w:hint="eastAsia" w:ascii="仿宋_GB2312" w:eastAsia="仿宋_GB2312" w:cs="仿宋_GB2312"/>
          <w:color w:val="auto"/>
          <w:sz w:val="32"/>
          <w:szCs w:val="32"/>
        </w:rPr>
        <w:t>年部门预算编制完整性、项目预算细化率、在职人员控制率、收入完成率、财政拨款支出完成率、资金使用合规性、决算真实性、管理制度健全性、预决算信息公开、资产管理规范性、绩效自评覆盖率、绩效评价优等率、结转结余率、部门整体效益等指标完成情况较好。</w:t>
      </w:r>
    </w:p>
    <w:p w14:paraId="1EA907EC">
      <w:pPr>
        <w:spacing w:after="0" w:line="360" w:lineRule="auto"/>
        <w:ind w:firstLine="640" w:firstLineChars="200"/>
        <w:jc w:val="both"/>
        <w:textAlignment w:val="baseline"/>
        <w:rPr>
          <w:rFonts w:ascii="仿宋_GB2312" w:eastAsia="仿宋_GB2312"/>
          <w:color w:val="auto"/>
          <w:sz w:val="32"/>
          <w:szCs w:val="32"/>
        </w:rPr>
      </w:pPr>
      <w:r>
        <w:rPr>
          <w:rFonts w:hint="eastAsia" w:ascii="仿宋_GB2312" w:eastAsia="仿宋_GB2312" w:cs="仿宋_GB2312"/>
          <w:color w:val="auto"/>
          <w:sz w:val="32"/>
          <w:szCs w:val="32"/>
        </w:rPr>
        <w:t>通过本次绩效评价工作，发现我单位在以下几个方面存在一些不足之处，具体如下：</w:t>
      </w:r>
    </w:p>
    <w:p w14:paraId="349698D2">
      <w:pPr>
        <w:spacing w:after="0" w:line="360" w:lineRule="auto"/>
        <w:ind w:firstLine="640" w:firstLineChars="200"/>
        <w:jc w:val="both"/>
        <w:textAlignment w:val="baseline"/>
        <w:rPr>
          <w:rFonts w:ascii="仿宋_GB2312" w:eastAsia="仿宋_GB2312"/>
          <w:color w:val="auto"/>
          <w:sz w:val="32"/>
          <w:szCs w:val="32"/>
        </w:rPr>
      </w:pPr>
      <w:r>
        <w:rPr>
          <w:rFonts w:ascii="仿宋_GB2312" w:eastAsia="仿宋_GB2312" w:cs="仿宋_GB2312"/>
          <w:color w:val="auto"/>
          <w:sz w:val="32"/>
          <w:szCs w:val="32"/>
        </w:rPr>
        <w:t>1.</w:t>
      </w:r>
      <w:r>
        <w:rPr>
          <w:rFonts w:hint="eastAsia" w:ascii="仿宋_GB2312" w:eastAsia="仿宋_GB2312" w:cs="仿宋_GB2312"/>
          <w:color w:val="auto"/>
          <w:sz w:val="32"/>
          <w:szCs w:val="32"/>
        </w:rPr>
        <w:t>绩效指标方面</w:t>
      </w:r>
    </w:p>
    <w:p w14:paraId="72928040">
      <w:pPr>
        <w:spacing w:after="0" w:line="360" w:lineRule="auto"/>
        <w:ind w:firstLine="640" w:firstLineChars="200"/>
        <w:jc w:val="both"/>
        <w:textAlignment w:val="baseline"/>
        <w:rPr>
          <w:rFonts w:ascii="仿宋_GB2312" w:eastAsia="仿宋_GB2312"/>
          <w:color w:val="auto"/>
          <w:sz w:val="32"/>
          <w:szCs w:val="32"/>
        </w:rPr>
      </w:pPr>
      <w:r>
        <w:rPr>
          <w:rFonts w:ascii="仿宋_GB2312" w:eastAsia="仿宋_GB2312" w:cs="仿宋_GB2312"/>
          <w:color w:val="auto"/>
          <w:sz w:val="32"/>
          <w:szCs w:val="32"/>
        </w:rPr>
        <w:t>2.</w:t>
      </w:r>
      <w:r>
        <w:rPr>
          <w:rFonts w:hint="eastAsia" w:ascii="仿宋_GB2312" w:eastAsia="仿宋_GB2312" w:cs="仿宋_GB2312"/>
          <w:color w:val="auto"/>
          <w:sz w:val="32"/>
          <w:szCs w:val="32"/>
        </w:rPr>
        <w:t>预算决算比较</w:t>
      </w:r>
    </w:p>
    <w:p w14:paraId="7D8B6725">
      <w:pPr>
        <w:spacing w:after="0" w:line="360" w:lineRule="auto"/>
        <w:ind w:firstLine="640" w:firstLineChars="200"/>
        <w:jc w:val="both"/>
        <w:textAlignment w:val="baseline"/>
        <w:rPr>
          <w:rFonts w:ascii="仿宋_GB2312" w:eastAsia="仿宋_GB2312"/>
          <w:color w:val="auto"/>
          <w:sz w:val="32"/>
          <w:szCs w:val="32"/>
        </w:rPr>
      </w:pPr>
      <w:r>
        <w:rPr>
          <w:rFonts w:ascii="仿宋_GB2312" w:eastAsia="仿宋_GB2312" w:cs="仿宋_GB2312"/>
          <w:color w:val="auto"/>
          <w:sz w:val="32"/>
          <w:szCs w:val="32"/>
        </w:rPr>
        <w:t>3.</w:t>
      </w:r>
      <w:r>
        <w:rPr>
          <w:rFonts w:hint="eastAsia" w:ascii="仿宋_GB2312" w:eastAsia="仿宋_GB2312" w:cs="仿宋_GB2312"/>
          <w:color w:val="auto"/>
          <w:sz w:val="32"/>
          <w:szCs w:val="32"/>
        </w:rPr>
        <w:t>项目资金使用率</w:t>
      </w:r>
    </w:p>
    <w:p w14:paraId="7236BA04">
      <w:pPr>
        <w:spacing w:after="0" w:line="360" w:lineRule="auto"/>
        <w:ind w:firstLine="640" w:firstLineChars="200"/>
        <w:jc w:val="both"/>
        <w:textAlignment w:val="baseline"/>
        <w:rPr>
          <w:rFonts w:ascii="仿宋_GB2312" w:eastAsia="仿宋_GB2312"/>
          <w:color w:val="auto"/>
          <w:sz w:val="32"/>
          <w:szCs w:val="32"/>
        </w:rPr>
      </w:pPr>
      <w:r>
        <w:rPr>
          <w:rFonts w:ascii="仿宋_GB2312" w:eastAsia="仿宋_GB2312" w:cs="仿宋_GB2312"/>
          <w:color w:val="auto"/>
          <w:sz w:val="32"/>
          <w:szCs w:val="32"/>
        </w:rPr>
        <w:t>4.</w:t>
      </w:r>
      <w:r>
        <w:rPr>
          <w:rFonts w:hint="eastAsia" w:ascii="仿宋_GB2312" w:eastAsia="仿宋_GB2312" w:cs="仿宋_GB2312"/>
          <w:color w:val="auto"/>
          <w:sz w:val="32"/>
          <w:szCs w:val="32"/>
        </w:rPr>
        <w:t>部分基础数据信息方面</w:t>
      </w:r>
    </w:p>
    <w:p w14:paraId="605ADB8C">
      <w:pPr>
        <w:spacing w:after="0" w:line="360" w:lineRule="auto"/>
        <w:ind w:firstLine="640" w:firstLineChars="200"/>
        <w:jc w:val="both"/>
        <w:textAlignment w:val="baseline"/>
        <w:rPr>
          <w:rFonts w:ascii="仿宋_GB2312" w:eastAsia="仿宋_GB2312"/>
          <w:color w:val="auto"/>
          <w:sz w:val="32"/>
          <w:szCs w:val="32"/>
        </w:rPr>
      </w:pPr>
      <w:r>
        <w:rPr>
          <w:rFonts w:hint="eastAsia" w:ascii="仿宋_GB2312" w:eastAsia="仿宋_GB2312" w:cs="仿宋_GB2312"/>
          <w:color w:val="auto"/>
          <w:sz w:val="32"/>
          <w:szCs w:val="32"/>
        </w:rPr>
        <w:t>针对此次绩效评价过程中发现的问题，我们建议：</w:t>
      </w:r>
    </w:p>
    <w:p w14:paraId="01163942">
      <w:pPr>
        <w:spacing w:after="0" w:line="360" w:lineRule="auto"/>
        <w:ind w:firstLine="640" w:firstLineChars="200"/>
        <w:jc w:val="both"/>
        <w:textAlignment w:val="baseline"/>
        <w:rPr>
          <w:rFonts w:ascii="仿宋_GB2312" w:eastAsia="仿宋_GB2312"/>
          <w:color w:val="auto"/>
          <w:sz w:val="32"/>
          <w:szCs w:val="32"/>
        </w:rPr>
      </w:pPr>
      <w:r>
        <w:rPr>
          <w:rFonts w:ascii="仿宋_GB2312" w:eastAsia="仿宋_GB2312" w:cs="仿宋_GB2312"/>
          <w:color w:val="auto"/>
          <w:sz w:val="32"/>
          <w:szCs w:val="32"/>
        </w:rPr>
        <w:t>1.</w:t>
      </w:r>
      <w:r>
        <w:rPr>
          <w:rFonts w:hint="eastAsia" w:ascii="仿宋_GB2312" w:eastAsia="仿宋_GB2312" w:cs="仿宋_GB2312"/>
          <w:color w:val="auto"/>
          <w:sz w:val="32"/>
          <w:szCs w:val="32"/>
        </w:rPr>
        <w:t>增强绩效指标设置的明确性</w:t>
      </w:r>
    </w:p>
    <w:p w14:paraId="04514AF3">
      <w:pPr>
        <w:spacing w:after="0" w:line="360" w:lineRule="auto"/>
        <w:ind w:firstLine="640" w:firstLineChars="200"/>
        <w:jc w:val="both"/>
        <w:textAlignment w:val="baseline"/>
        <w:rPr>
          <w:rFonts w:ascii="仿宋_GB2312" w:eastAsia="仿宋_GB2312"/>
          <w:color w:val="auto"/>
          <w:sz w:val="32"/>
          <w:szCs w:val="32"/>
        </w:rPr>
      </w:pPr>
      <w:r>
        <w:rPr>
          <w:rFonts w:hint="eastAsia" w:ascii="仿宋_GB2312" w:eastAsia="仿宋_GB2312" w:cs="仿宋_GB2312"/>
          <w:color w:val="auto"/>
          <w:sz w:val="32"/>
          <w:szCs w:val="32"/>
        </w:rPr>
        <w:t>工作活动、预算项目绩效指标应当清晰、可评价、可衡量。建议在设置职责活动绩效指标时，将绩效目标细化分解为具体的工作任务数，从而使绩效目标可量化，便于对目标实现情况进行考核。</w:t>
      </w:r>
    </w:p>
    <w:p w14:paraId="61AFD69F">
      <w:pPr>
        <w:spacing w:after="0" w:line="360" w:lineRule="auto"/>
        <w:ind w:firstLine="640" w:firstLineChars="200"/>
        <w:jc w:val="both"/>
        <w:textAlignment w:val="baseline"/>
        <w:rPr>
          <w:rFonts w:ascii="仿宋_GB2312" w:eastAsia="仿宋_GB2312"/>
          <w:color w:val="auto"/>
          <w:sz w:val="32"/>
          <w:szCs w:val="32"/>
        </w:rPr>
      </w:pPr>
      <w:r>
        <w:rPr>
          <w:rFonts w:ascii="仿宋_GB2312" w:eastAsia="仿宋_GB2312" w:cs="仿宋_GB2312"/>
          <w:color w:val="auto"/>
          <w:sz w:val="32"/>
          <w:szCs w:val="32"/>
        </w:rPr>
        <w:t>2.</w:t>
      </w:r>
      <w:r>
        <w:rPr>
          <w:rFonts w:hint="eastAsia" w:ascii="仿宋_GB2312" w:eastAsia="仿宋_GB2312" w:cs="仿宋_GB2312"/>
          <w:color w:val="auto"/>
          <w:sz w:val="32"/>
          <w:szCs w:val="32"/>
        </w:rPr>
        <w:t>提高预算编制质量</w:t>
      </w:r>
    </w:p>
    <w:p w14:paraId="480D5036">
      <w:pPr>
        <w:spacing w:after="0" w:line="360" w:lineRule="auto"/>
        <w:ind w:firstLine="640" w:firstLineChars="200"/>
        <w:jc w:val="both"/>
        <w:textAlignment w:val="baseline"/>
        <w:rPr>
          <w:rFonts w:ascii="仿宋_GB2312" w:eastAsia="仿宋_GB2312"/>
          <w:color w:val="auto"/>
          <w:sz w:val="32"/>
          <w:szCs w:val="32"/>
        </w:rPr>
      </w:pPr>
      <w:r>
        <w:rPr>
          <w:rFonts w:hint="eastAsia" w:ascii="仿宋_GB2312" w:eastAsia="仿宋_GB2312" w:cs="仿宋_GB2312"/>
          <w:color w:val="auto"/>
          <w:sz w:val="32"/>
          <w:szCs w:val="32"/>
        </w:rPr>
        <w:t>部门预算编制工作要全面反映和体现部门职责，根据具体情况及时调整预算的编制，缩小预算与决算差额，减少中期预算追加，提高预算编制质量，发挥预算约束作用。</w:t>
      </w:r>
    </w:p>
    <w:p w14:paraId="4214698F">
      <w:pPr>
        <w:spacing w:after="0" w:line="360" w:lineRule="auto"/>
        <w:ind w:firstLine="640" w:firstLineChars="200"/>
        <w:jc w:val="both"/>
        <w:textAlignment w:val="baseline"/>
        <w:rPr>
          <w:rFonts w:ascii="仿宋_GB2312" w:eastAsia="仿宋_GB2312"/>
          <w:color w:val="auto"/>
          <w:sz w:val="32"/>
          <w:szCs w:val="32"/>
        </w:rPr>
      </w:pPr>
      <w:bookmarkStart w:id="1" w:name="_Toc4346"/>
      <w:r>
        <w:rPr>
          <w:rFonts w:ascii="仿宋_GB2312" w:eastAsia="仿宋_GB2312" w:cs="仿宋_GB2312"/>
          <w:color w:val="auto"/>
          <w:sz w:val="32"/>
          <w:szCs w:val="32"/>
        </w:rPr>
        <w:t>3.</w:t>
      </w:r>
      <w:r>
        <w:rPr>
          <w:rFonts w:hint="eastAsia" w:ascii="仿宋_GB2312" w:eastAsia="仿宋_GB2312" w:cs="仿宋_GB2312"/>
          <w:color w:val="auto"/>
          <w:sz w:val="32"/>
          <w:szCs w:val="32"/>
        </w:rPr>
        <w:t>提高项目资金使用率</w:t>
      </w:r>
    </w:p>
    <w:p w14:paraId="6A81AA49">
      <w:pPr>
        <w:spacing w:after="0" w:line="360" w:lineRule="auto"/>
        <w:ind w:firstLine="640" w:firstLineChars="200"/>
        <w:jc w:val="both"/>
        <w:textAlignment w:val="baseline"/>
        <w:rPr>
          <w:rFonts w:ascii="仿宋_GB2312" w:hAnsi="宋体" w:eastAsia="仿宋_GB2312"/>
          <w:color w:val="auto"/>
          <w:sz w:val="32"/>
          <w:szCs w:val="32"/>
          <w:u w:color="000000"/>
        </w:rPr>
      </w:pPr>
      <w:r>
        <w:rPr>
          <w:rFonts w:hint="eastAsia" w:ascii="仿宋_GB2312" w:hAnsi="宋体" w:eastAsia="仿宋_GB2312" w:cs="仿宋_GB2312"/>
          <w:color w:val="auto"/>
          <w:sz w:val="32"/>
          <w:szCs w:val="32"/>
          <w:u w:color="000000"/>
        </w:rPr>
        <w:t>建议区总工会对项目资金进行梳理，督促项目进度和资金拨付进度，应拨付的资金及时拨付，不具备条件的资金及时收回</w:t>
      </w:r>
    </w:p>
    <w:p w14:paraId="2B6A74F8">
      <w:pPr>
        <w:spacing w:after="0" w:line="360" w:lineRule="auto"/>
        <w:ind w:firstLine="640" w:firstLineChars="200"/>
        <w:jc w:val="both"/>
        <w:textAlignment w:val="baseline"/>
        <w:rPr>
          <w:rFonts w:ascii="仿宋_GB2312" w:eastAsia="仿宋_GB2312"/>
          <w:color w:val="auto"/>
          <w:sz w:val="32"/>
          <w:szCs w:val="32"/>
        </w:rPr>
      </w:pPr>
      <w:r>
        <w:rPr>
          <w:rFonts w:ascii="仿宋_GB2312" w:eastAsia="仿宋_GB2312" w:cs="仿宋_GB2312"/>
          <w:color w:val="auto"/>
          <w:sz w:val="32"/>
          <w:szCs w:val="32"/>
        </w:rPr>
        <w:t>4.</w:t>
      </w:r>
      <w:r>
        <w:rPr>
          <w:rFonts w:hint="eastAsia" w:ascii="仿宋_GB2312" w:eastAsia="仿宋_GB2312" w:cs="仿宋_GB2312"/>
          <w:color w:val="auto"/>
          <w:sz w:val="32"/>
          <w:szCs w:val="32"/>
        </w:rPr>
        <w:t>完善基础信息管理。</w:t>
      </w:r>
    </w:p>
    <w:p w14:paraId="0AEFDC44">
      <w:pPr>
        <w:spacing w:after="0" w:line="360" w:lineRule="auto"/>
        <w:ind w:firstLine="640" w:firstLineChars="200"/>
        <w:jc w:val="both"/>
        <w:textAlignment w:val="baseline"/>
        <w:rPr>
          <w:rFonts w:ascii="仿宋_GB2312" w:eastAsia="仿宋_GB2312"/>
          <w:color w:val="auto"/>
          <w:sz w:val="32"/>
          <w:szCs w:val="32"/>
        </w:rPr>
      </w:pPr>
      <w:r>
        <w:rPr>
          <w:rFonts w:hint="eastAsia" w:ascii="仿宋_GB2312" w:eastAsia="仿宋_GB2312" w:cs="仿宋_GB2312"/>
          <w:color w:val="auto"/>
          <w:sz w:val="32"/>
          <w:szCs w:val="32"/>
        </w:rPr>
        <w:t>建议严格按照档案管理的相关规定对基础数据信息档案资料及时归档保存，保证项目资料的完整性和可查阅性。</w:t>
      </w:r>
    </w:p>
    <w:p w14:paraId="7481BB03">
      <w:pPr>
        <w:pStyle w:val="3"/>
        <w:spacing w:line="540" w:lineRule="exact"/>
        <w:jc w:val="center"/>
        <w:rPr>
          <w:rFonts w:ascii="黑体" w:cs="Tahoma"/>
          <w:b w:val="0"/>
          <w:bCs w:val="0"/>
          <w:color w:val="auto"/>
        </w:rPr>
      </w:pPr>
      <w:r>
        <w:rPr>
          <w:rFonts w:hint="eastAsia" w:ascii="黑体" w:hAnsi="黑体" w:cs="黑体"/>
          <w:b w:val="0"/>
          <w:bCs w:val="0"/>
          <w:color w:val="auto"/>
        </w:rPr>
        <w:t>第二部分</w:t>
      </w:r>
      <w:r>
        <w:rPr>
          <w:rFonts w:ascii="黑体" w:hAnsi="黑体" w:cs="黑体"/>
          <w:b w:val="0"/>
          <w:bCs w:val="0"/>
          <w:color w:val="auto"/>
        </w:rPr>
        <w:t xml:space="preserve">   </w:t>
      </w:r>
      <w:r>
        <w:rPr>
          <w:rFonts w:hint="eastAsia" w:ascii="黑体" w:hAnsi="黑体" w:cs="黑体"/>
          <w:b w:val="0"/>
          <w:bCs w:val="0"/>
          <w:color w:val="auto"/>
        </w:rPr>
        <w:t>绩效评价报告</w:t>
      </w:r>
      <w:bookmarkEnd w:id="1"/>
    </w:p>
    <w:p w14:paraId="2294BE65">
      <w:pPr>
        <w:pStyle w:val="3"/>
        <w:spacing w:before="0" w:after="0" w:line="360" w:lineRule="auto"/>
        <w:ind w:firstLine="643" w:firstLineChars="200"/>
        <w:rPr>
          <w:rFonts w:ascii="楷体" w:hAnsi="楷体" w:eastAsia="楷体" w:cs="Tahoma"/>
          <w:color w:val="auto"/>
        </w:rPr>
      </w:pPr>
      <w:bookmarkStart w:id="2" w:name="_Toc427"/>
      <w:bookmarkStart w:id="3" w:name="_Toc492652763"/>
      <w:r>
        <w:rPr>
          <w:rFonts w:hint="eastAsia" w:ascii="楷体" w:hAnsi="楷体" w:eastAsia="楷体" w:cs="楷体"/>
          <w:color w:val="auto"/>
        </w:rPr>
        <w:t>一、保定市徐水区总工会单位基本情况</w:t>
      </w:r>
      <w:bookmarkEnd w:id="2"/>
      <w:bookmarkEnd w:id="3"/>
      <w:bookmarkStart w:id="4" w:name="_Toc492652764"/>
    </w:p>
    <w:p w14:paraId="522AB20E">
      <w:pPr>
        <w:pStyle w:val="4"/>
        <w:spacing w:before="0" w:after="0"/>
        <w:ind w:firstLine="643" w:firstLineChars="200"/>
        <w:jc w:val="both"/>
        <w:rPr>
          <w:rFonts w:ascii="仿宋_GB2312" w:hAnsi="Tahoma" w:cs="Tahoma"/>
          <w:color w:val="auto"/>
          <w:sz w:val="32"/>
          <w:szCs w:val="32"/>
        </w:rPr>
      </w:pPr>
      <w:bookmarkStart w:id="5" w:name="_Toc11473"/>
      <w:r>
        <w:rPr>
          <w:rFonts w:hint="eastAsia" w:ascii="仿宋_GB2312" w:hAnsi="Tahoma" w:cs="仿宋_GB2312"/>
          <w:color w:val="auto"/>
          <w:sz w:val="32"/>
          <w:szCs w:val="32"/>
        </w:rPr>
        <w:t>（一）部门职责和工作活动</w:t>
      </w:r>
      <w:bookmarkEnd w:id="4"/>
      <w:bookmarkEnd w:id="5"/>
    </w:p>
    <w:p w14:paraId="1D078159">
      <w:pPr>
        <w:shd w:val="clear" w:color="auto" w:fill="FFFFFF"/>
        <w:ind w:firstLine="640"/>
        <w:rPr>
          <w:color w:val="auto"/>
        </w:rPr>
      </w:pPr>
      <w:r>
        <w:rPr>
          <w:rFonts w:ascii="宋体" w:hAnsi="宋体" w:cs="宋体"/>
          <w:color w:val="auto"/>
          <w:sz w:val="24"/>
          <w:szCs w:val="24"/>
          <w:shd w:val="clear" w:color="auto" w:fill="FFFFFF"/>
        </w:rPr>
        <w:t>1.</w:t>
      </w:r>
      <w:r>
        <w:rPr>
          <w:rFonts w:hint="eastAsia" w:ascii="宋体" w:hAnsi="宋体" w:cs="微软雅黑"/>
          <w:color w:val="auto"/>
          <w:sz w:val="24"/>
          <w:szCs w:val="24"/>
          <w:shd w:val="clear" w:color="auto" w:fill="FFFFFF"/>
        </w:rPr>
        <w:t>坚持党的领导，坚持党的基本理论、基本路线、基本纲领，坚持党的工运方针，坚定不移走中国特色社会主义工会发展道路，始终保持正确的政治方向，着力增强工会组织和工会工作的政治性、先进性、群众性，引导全区广大职工和工会干部增强</w:t>
      </w:r>
      <w:r>
        <w:rPr>
          <w:rFonts w:hint="eastAsia" w:ascii="宋体" w:cs="微软雅黑"/>
          <w:color w:val="auto"/>
          <w:sz w:val="24"/>
          <w:szCs w:val="24"/>
          <w:shd w:val="clear" w:color="auto" w:fill="FFFFFF"/>
        </w:rPr>
        <w:t>“</w:t>
      </w:r>
      <w:r>
        <w:rPr>
          <w:rFonts w:hint="eastAsia" w:ascii="宋体" w:hAnsi="宋体" w:cs="微软雅黑"/>
          <w:color w:val="auto"/>
          <w:sz w:val="24"/>
          <w:szCs w:val="24"/>
          <w:shd w:val="clear" w:color="auto" w:fill="FFFFFF"/>
        </w:rPr>
        <w:t>四个意识</w:t>
      </w:r>
      <w:r>
        <w:rPr>
          <w:rFonts w:hint="eastAsia" w:ascii="宋体" w:cs="微软雅黑"/>
          <w:color w:val="auto"/>
          <w:sz w:val="24"/>
          <w:szCs w:val="24"/>
          <w:shd w:val="clear" w:color="auto" w:fill="FFFFFF"/>
        </w:rPr>
        <w:t>”</w:t>
      </w:r>
      <w:r>
        <w:rPr>
          <w:rFonts w:hint="eastAsia" w:ascii="宋体" w:hAnsi="宋体" w:cs="微软雅黑"/>
          <w:color w:val="auto"/>
          <w:sz w:val="24"/>
          <w:szCs w:val="24"/>
          <w:shd w:val="clear" w:color="auto" w:fill="FFFFFF"/>
          <w:lang w:eastAsia="zh-CN"/>
        </w:rPr>
        <w:t>、</w:t>
      </w:r>
      <w:r>
        <w:rPr>
          <w:rFonts w:hint="eastAsia" w:ascii="宋体" w:hAnsi="宋体" w:cs="微软雅黑"/>
          <w:color w:val="auto"/>
          <w:sz w:val="24"/>
          <w:szCs w:val="24"/>
          <w:shd w:val="clear" w:color="auto" w:fill="FFFFFF"/>
        </w:rPr>
        <w:t>坚定</w:t>
      </w:r>
      <w:r>
        <w:rPr>
          <w:rFonts w:hint="eastAsia" w:ascii="宋体" w:cs="微软雅黑"/>
          <w:color w:val="auto"/>
          <w:sz w:val="24"/>
          <w:szCs w:val="24"/>
          <w:shd w:val="clear" w:color="auto" w:fill="FFFFFF"/>
        </w:rPr>
        <w:t>“</w:t>
      </w:r>
      <w:r>
        <w:rPr>
          <w:rFonts w:hint="eastAsia" w:ascii="宋体" w:hAnsi="宋体" w:cs="微软雅黑"/>
          <w:color w:val="auto"/>
          <w:sz w:val="24"/>
          <w:szCs w:val="24"/>
          <w:shd w:val="clear" w:color="auto" w:fill="FFFFFF"/>
        </w:rPr>
        <w:t>四个自信</w:t>
      </w:r>
      <w:r>
        <w:rPr>
          <w:rFonts w:hint="eastAsia" w:ascii="宋体" w:cs="微软雅黑"/>
          <w:color w:val="auto"/>
          <w:sz w:val="24"/>
          <w:szCs w:val="24"/>
          <w:shd w:val="clear" w:color="auto" w:fill="FFFFFF"/>
        </w:rPr>
        <w:t>”</w:t>
      </w:r>
      <w:r>
        <w:rPr>
          <w:rFonts w:hint="eastAsia" w:ascii="宋体" w:hAnsi="宋体" w:cs="微软雅黑"/>
          <w:color w:val="auto"/>
          <w:sz w:val="24"/>
          <w:szCs w:val="24"/>
          <w:shd w:val="clear" w:color="auto" w:fill="FFFFFF"/>
          <w:lang w:eastAsia="zh-CN"/>
        </w:rPr>
        <w:t>、</w:t>
      </w:r>
      <w:bookmarkStart w:id="77" w:name="_GoBack"/>
      <w:bookmarkEnd w:id="77"/>
      <w:r>
        <w:rPr>
          <w:rFonts w:hint="eastAsia" w:ascii="宋体" w:hAnsi="宋体" w:cs="微软雅黑"/>
          <w:color w:val="auto"/>
          <w:sz w:val="24"/>
          <w:szCs w:val="24"/>
          <w:shd w:val="clear" w:color="auto" w:fill="FFFFFF"/>
        </w:rPr>
        <w:t>做到</w:t>
      </w:r>
      <w:r>
        <w:rPr>
          <w:rFonts w:hint="eastAsia" w:ascii="宋体" w:cs="微软雅黑"/>
          <w:color w:val="auto"/>
          <w:sz w:val="24"/>
          <w:szCs w:val="24"/>
          <w:shd w:val="clear" w:color="auto" w:fill="FFFFFF"/>
        </w:rPr>
        <w:t>“</w:t>
      </w:r>
      <w:r>
        <w:rPr>
          <w:rFonts w:hint="eastAsia" w:ascii="宋体" w:hAnsi="宋体" w:cs="微软雅黑"/>
          <w:color w:val="auto"/>
          <w:sz w:val="24"/>
          <w:szCs w:val="24"/>
          <w:shd w:val="clear" w:color="auto" w:fill="FFFFFF"/>
        </w:rPr>
        <w:t>两个维护</w:t>
      </w:r>
      <w:r>
        <w:rPr>
          <w:rFonts w:hint="eastAsia" w:ascii="宋体" w:cs="微软雅黑"/>
          <w:color w:val="auto"/>
          <w:sz w:val="24"/>
          <w:szCs w:val="24"/>
          <w:shd w:val="clear" w:color="auto" w:fill="FFFFFF"/>
        </w:rPr>
        <w:t>”</w:t>
      </w:r>
      <w:r>
        <w:rPr>
          <w:rFonts w:hint="eastAsia" w:ascii="宋体" w:hAnsi="宋体" w:cs="微软雅黑"/>
          <w:color w:val="auto"/>
          <w:sz w:val="24"/>
          <w:szCs w:val="24"/>
          <w:shd w:val="clear" w:color="auto" w:fill="FFFFFF"/>
        </w:rPr>
        <w:t>，坚定不移听党话、跟党走。</w:t>
      </w:r>
    </w:p>
    <w:p w14:paraId="204444C2">
      <w:pPr>
        <w:shd w:val="clear" w:color="auto" w:fill="FFFFFF"/>
        <w:ind w:firstLine="640"/>
        <w:rPr>
          <w:color w:val="auto"/>
        </w:rPr>
      </w:pPr>
      <w:r>
        <w:rPr>
          <w:rFonts w:ascii="宋体" w:hAnsi="宋体" w:cs="宋体"/>
          <w:color w:val="auto"/>
          <w:sz w:val="24"/>
          <w:szCs w:val="24"/>
          <w:shd w:val="clear" w:color="auto" w:fill="FFFFFF"/>
        </w:rPr>
        <w:t>2.</w:t>
      </w:r>
      <w:r>
        <w:rPr>
          <w:rFonts w:hint="eastAsia" w:ascii="宋体" w:hAnsi="宋体" w:cs="微软雅黑"/>
          <w:color w:val="auto"/>
          <w:sz w:val="24"/>
          <w:szCs w:val="24"/>
          <w:shd w:val="clear" w:color="auto" w:fill="FFFFFF"/>
        </w:rPr>
        <w:t>依据《工会法》和《中国工会章程》，认真履行工会参与、维护、建设、教育的基本工作职能，贯彻执行全国、全省和全市工会代表大会及区总工会常委会确定的方针、任务和作出的决议。团结带领全区各级工会为全力推动京津保地区率先联动发展建功立业。</w:t>
      </w:r>
    </w:p>
    <w:p w14:paraId="5297DCB7">
      <w:pPr>
        <w:shd w:val="clear" w:color="auto" w:fill="FFFFFF"/>
        <w:ind w:firstLine="640"/>
        <w:rPr>
          <w:color w:val="auto"/>
        </w:rPr>
      </w:pPr>
      <w:r>
        <w:rPr>
          <w:rFonts w:ascii="宋体" w:hAnsi="宋体" w:cs="宋体"/>
          <w:color w:val="auto"/>
          <w:sz w:val="24"/>
          <w:szCs w:val="24"/>
          <w:shd w:val="clear" w:color="auto" w:fill="FFFFFF"/>
        </w:rPr>
        <w:t>3.</w:t>
      </w:r>
      <w:r>
        <w:rPr>
          <w:rFonts w:hint="eastAsia" w:ascii="宋体" w:hAnsi="宋体" w:cs="微软雅黑"/>
          <w:color w:val="auto"/>
          <w:sz w:val="24"/>
          <w:szCs w:val="24"/>
          <w:shd w:val="clear" w:color="auto" w:fill="FFFFFF"/>
        </w:rPr>
        <w:t>服务全区工作大局，紧紧围绕区委、区政府中心工作，组织开展劳动和技能竞赛、技术创新活动，选树金牌工人、能工巧匠。开展劳动保护工作。做好市及市以上劳动模范和先进工作者的评选、表彰、培养、管理工作。加强网络宣传和引导，弘扬劳模精神、劳动精神、工匠精神和工人阶级伟大品格。实施职工现代职业素质提升工程，造就一支有理想守信念、懂技术会创新、敢担当讲奉献的产业工人队伍。</w:t>
      </w:r>
    </w:p>
    <w:p w14:paraId="7072D254">
      <w:pPr>
        <w:shd w:val="clear" w:color="auto" w:fill="FFFFFF"/>
        <w:ind w:firstLine="640"/>
        <w:rPr>
          <w:color w:val="auto"/>
        </w:rPr>
      </w:pPr>
      <w:r>
        <w:rPr>
          <w:rFonts w:ascii="宋体" w:hAnsi="宋体" w:cs="宋体"/>
          <w:color w:val="000000"/>
          <w:sz w:val="24"/>
          <w:szCs w:val="24"/>
          <w:shd w:val="clear" w:color="auto" w:fill="FFFFFF"/>
        </w:rPr>
        <w:t>4</w:t>
      </w:r>
      <w:r>
        <w:rPr>
          <w:rFonts w:ascii="宋体" w:hAnsi="宋体" w:cs="宋体"/>
          <w:color w:val="auto"/>
          <w:sz w:val="24"/>
          <w:szCs w:val="24"/>
          <w:shd w:val="clear" w:color="auto" w:fill="FFFFFF"/>
        </w:rPr>
        <w:t>.</w:t>
      </w:r>
      <w:r>
        <w:rPr>
          <w:rFonts w:hint="eastAsia" w:ascii="宋体" w:hAnsi="宋体" w:cs="微软雅黑"/>
          <w:color w:val="auto"/>
          <w:sz w:val="24"/>
          <w:szCs w:val="24"/>
          <w:shd w:val="clear" w:color="auto" w:fill="FFFFFF"/>
        </w:rPr>
        <w:t>依法推进全区机关和企事业单位普遍建立工会组织，指导全区基层工会加强规范化建设。切实为工会会员服务，开展对困难职工送温暖、技能培训、医疗救助、创业就业扶持等精准帮扶，加强对农民工的组织引导和维权服务。</w:t>
      </w:r>
    </w:p>
    <w:p w14:paraId="7C04AA9C">
      <w:pPr>
        <w:shd w:val="clear" w:color="auto" w:fill="FFFFFF"/>
        <w:ind w:firstLine="640"/>
        <w:rPr>
          <w:color w:val="auto"/>
        </w:rPr>
      </w:pPr>
      <w:r>
        <w:rPr>
          <w:rFonts w:ascii="宋体" w:hAnsi="宋体" w:cs="宋体"/>
          <w:color w:val="auto"/>
          <w:sz w:val="24"/>
          <w:szCs w:val="24"/>
          <w:shd w:val="clear" w:color="auto" w:fill="FFFFFF"/>
        </w:rPr>
        <w:t>5.</w:t>
      </w:r>
      <w:r>
        <w:rPr>
          <w:rFonts w:hint="eastAsia" w:ascii="宋体" w:hAnsi="宋体" w:cs="微软雅黑"/>
          <w:color w:val="auto"/>
          <w:sz w:val="24"/>
          <w:szCs w:val="24"/>
          <w:shd w:val="clear" w:color="auto" w:fill="FFFFFF"/>
        </w:rPr>
        <w:t>依法推进企事业单位普遍建立以职工代表大会为基本形式的民主管理制度，推动建立平等协商和集体合同制度，依法参加企业职工伤亡事故调查，及时了解掌握并向区委、区政府反映职工思想动态、愿望和诉求，参与涉及职工利益有关法律法规的制定、监督和执行，维护职工的经济利益、民主权利和生命健康权益，开展防范抵御等有关工作。</w:t>
      </w:r>
    </w:p>
    <w:p w14:paraId="1D73E33F">
      <w:pPr>
        <w:shd w:val="clear" w:color="auto" w:fill="FFFFFF"/>
        <w:ind w:firstLine="640"/>
        <w:rPr>
          <w:color w:val="auto"/>
        </w:rPr>
      </w:pPr>
      <w:r>
        <w:rPr>
          <w:rFonts w:ascii="宋体" w:hAnsi="宋体" w:cs="宋体"/>
          <w:color w:val="auto"/>
          <w:sz w:val="24"/>
          <w:szCs w:val="24"/>
          <w:shd w:val="clear" w:color="auto" w:fill="FFFFFF"/>
        </w:rPr>
        <w:t>6.</w:t>
      </w:r>
      <w:r>
        <w:rPr>
          <w:rFonts w:hint="eastAsia" w:ascii="宋体" w:hAnsi="宋体" w:cs="微软雅黑"/>
          <w:color w:val="auto"/>
          <w:sz w:val="24"/>
          <w:szCs w:val="24"/>
          <w:shd w:val="clear" w:color="auto" w:fill="FFFFFF"/>
        </w:rPr>
        <w:t>研究制定全区工会的组织领导体制，协助区党委管理基层工会领导干部，协助区有关局（办、企业）党委（党组）管理产业工会和直属基层工会的领导干部。研究制定全区工会干部管理制度和培训规划，负责区总机关和直属单位领导班子和干部队伍建设，组织全区工会干部教育培训工作。</w:t>
      </w:r>
    </w:p>
    <w:p w14:paraId="6B354458">
      <w:pPr>
        <w:shd w:val="clear" w:color="auto" w:fill="FFFFFF"/>
        <w:ind w:firstLine="640"/>
        <w:rPr>
          <w:color w:val="auto"/>
        </w:rPr>
      </w:pPr>
      <w:r>
        <w:rPr>
          <w:rFonts w:ascii="宋体" w:hAnsi="宋体" w:cs="宋体"/>
          <w:color w:val="auto"/>
          <w:sz w:val="24"/>
          <w:szCs w:val="24"/>
          <w:shd w:val="clear" w:color="auto" w:fill="FFFFFF"/>
        </w:rPr>
        <w:t>7.</w:t>
      </w:r>
      <w:r>
        <w:rPr>
          <w:rFonts w:hint="eastAsia" w:ascii="宋体" w:hAnsi="宋体" w:cs="微软雅黑"/>
          <w:color w:val="auto"/>
          <w:sz w:val="24"/>
          <w:szCs w:val="24"/>
          <w:shd w:val="clear" w:color="auto" w:fill="FFFFFF"/>
        </w:rPr>
        <w:t>管理使用工会经费和工会资产，开展审查审计监督。广泛发展本区工会与各工会、产业工会的友好关系。</w:t>
      </w:r>
    </w:p>
    <w:p w14:paraId="6B2AFD6C">
      <w:pPr>
        <w:shd w:val="clear" w:color="auto" w:fill="FFFFFF"/>
        <w:ind w:firstLine="640"/>
        <w:rPr>
          <w:color w:val="auto"/>
        </w:rPr>
      </w:pPr>
      <w:r>
        <w:rPr>
          <w:rFonts w:ascii="宋体" w:hAnsi="宋体" w:cs="宋体"/>
          <w:color w:val="auto"/>
          <w:sz w:val="24"/>
          <w:szCs w:val="24"/>
          <w:shd w:val="clear" w:color="auto" w:fill="FFFFFF"/>
        </w:rPr>
        <w:t>8.</w:t>
      </w:r>
      <w:r>
        <w:rPr>
          <w:rFonts w:hint="eastAsia" w:ascii="宋体" w:hAnsi="宋体" w:cs="微软雅黑"/>
          <w:color w:val="auto"/>
          <w:sz w:val="24"/>
          <w:szCs w:val="24"/>
          <w:shd w:val="clear" w:color="auto" w:fill="FFFFFF"/>
        </w:rPr>
        <w:t>承担区委、区政府及省、市总工会交办的其他工作。</w:t>
      </w:r>
    </w:p>
    <w:p w14:paraId="0C78181E">
      <w:pPr>
        <w:spacing w:after="0" w:line="360" w:lineRule="auto"/>
        <w:ind w:firstLine="640" w:firstLineChars="200"/>
        <w:jc w:val="both"/>
        <w:textAlignment w:val="baseline"/>
        <w:rPr>
          <w:rFonts w:ascii="仿宋_GB2312" w:eastAsia="仿宋_GB2312"/>
          <w:color w:val="auto"/>
          <w:sz w:val="32"/>
          <w:szCs w:val="32"/>
        </w:rPr>
      </w:pPr>
      <w:r>
        <w:rPr>
          <w:rFonts w:hint="eastAsia" w:ascii="仿宋_GB2312" w:eastAsia="仿宋_GB2312" w:cs="仿宋_GB2312"/>
          <w:color w:val="auto"/>
          <w:sz w:val="32"/>
          <w:szCs w:val="32"/>
        </w:rPr>
        <w:t>职责活动负责指导全县基层工会的组织建设，指导基层工会组织开展社会主义劳动竞赛、合理化建设、技术比赛、技术创新等群众性经济技术活动等，共</w:t>
      </w:r>
      <w:r>
        <w:rPr>
          <w:rFonts w:ascii="仿宋_GB2312" w:eastAsia="仿宋_GB2312" w:cs="仿宋_GB2312"/>
          <w:color w:val="auto"/>
          <w:sz w:val="32"/>
          <w:szCs w:val="32"/>
        </w:rPr>
        <w:t>11</w:t>
      </w:r>
      <w:r>
        <w:rPr>
          <w:rFonts w:hint="eastAsia" w:ascii="仿宋_GB2312" w:eastAsia="仿宋_GB2312" w:cs="仿宋_GB2312"/>
          <w:color w:val="auto"/>
          <w:sz w:val="32"/>
          <w:szCs w:val="32"/>
        </w:rPr>
        <w:t>部分。</w:t>
      </w:r>
    </w:p>
    <w:p w14:paraId="4190FD61">
      <w:pPr>
        <w:spacing w:after="0" w:line="360" w:lineRule="auto"/>
        <w:ind w:firstLine="380" w:firstLineChars="200"/>
        <w:jc w:val="both"/>
        <w:textAlignment w:val="baseline"/>
        <w:rPr>
          <w:rFonts w:ascii="Arial" w:hAnsi="Arial" w:cs="Arial"/>
          <w:color w:val="auto"/>
          <w:sz w:val="19"/>
          <w:szCs w:val="19"/>
        </w:rPr>
      </w:pPr>
    </w:p>
    <w:p w14:paraId="733DA43D">
      <w:pPr>
        <w:pStyle w:val="4"/>
        <w:spacing w:before="0" w:after="0"/>
        <w:ind w:firstLine="643" w:firstLineChars="200"/>
        <w:jc w:val="both"/>
        <w:rPr>
          <w:rFonts w:ascii="仿宋_GB2312" w:hAnsi="Tahoma" w:cs="Tahoma"/>
          <w:color w:val="auto"/>
          <w:sz w:val="32"/>
          <w:szCs w:val="32"/>
        </w:rPr>
      </w:pPr>
      <w:bookmarkStart w:id="6" w:name="_Toc465149499"/>
      <w:bookmarkStart w:id="7" w:name="_Toc492652765"/>
      <w:bookmarkStart w:id="8" w:name="_Toc7075"/>
      <w:r>
        <w:rPr>
          <w:rFonts w:hint="eastAsia" w:ascii="仿宋_GB2312" w:hAnsi="Tahoma" w:cs="仿宋_GB2312"/>
          <w:color w:val="auto"/>
          <w:sz w:val="32"/>
          <w:szCs w:val="32"/>
        </w:rPr>
        <w:t>（二）</w:t>
      </w:r>
      <w:bookmarkEnd w:id="6"/>
      <w:r>
        <w:rPr>
          <w:rFonts w:hint="eastAsia" w:ascii="仿宋_GB2312" w:hAnsi="Tahoma" w:cs="仿宋_GB2312"/>
          <w:color w:val="auto"/>
          <w:sz w:val="32"/>
          <w:szCs w:val="32"/>
        </w:rPr>
        <w:t>部门年度发展规划总体目标和职责分类绩效目标</w:t>
      </w:r>
      <w:bookmarkEnd w:id="7"/>
      <w:bookmarkEnd w:id="8"/>
    </w:p>
    <w:p w14:paraId="1471865C">
      <w:pPr>
        <w:spacing w:after="0" w:line="360" w:lineRule="auto"/>
        <w:ind w:firstLine="640" w:firstLineChars="200"/>
        <w:jc w:val="both"/>
        <w:textAlignment w:val="baseline"/>
        <w:rPr>
          <w:rFonts w:ascii="仿宋_GB2312" w:eastAsia="仿宋_GB2312"/>
          <w:color w:val="auto"/>
          <w:sz w:val="32"/>
          <w:szCs w:val="32"/>
        </w:rPr>
      </w:pPr>
      <w:r>
        <w:rPr>
          <w:rFonts w:hint="eastAsia" w:ascii="仿宋_GB2312" w:eastAsia="仿宋_GB2312" w:cs="仿宋_GB2312"/>
          <w:color w:val="auto"/>
          <w:sz w:val="32"/>
          <w:szCs w:val="32"/>
        </w:rPr>
        <w:t>按照</w:t>
      </w:r>
      <w:r>
        <w:rPr>
          <w:rFonts w:ascii="仿宋_GB2312" w:eastAsia="仿宋_GB2312" w:cs="仿宋_GB2312"/>
          <w:color w:val="auto"/>
          <w:sz w:val="32"/>
          <w:szCs w:val="32"/>
        </w:rPr>
        <w:t>2019</w:t>
      </w:r>
      <w:r>
        <w:rPr>
          <w:rFonts w:hint="eastAsia" w:ascii="仿宋_GB2312" w:eastAsia="仿宋_GB2312" w:cs="仿宋_GB2312"/>
          <w:color w:val="auto"/>
          <w:sz w:val="32"/>
          <w:szCs w:val="32"/>
        </w:rPr>
        <w:t>年绩效预算编制要求，区总工会设置的年度发展规划总体目标为：</w:t>
      </w:r>
    </w:p>
    <w:p w14:paraId="0B6F8603">
      <w:pPr>
        <w:spacing w:after="0" w:line="360" w:lineRule="auto"/>
        <w:ind w:firstLine="640" w:firstLineChars="200"/>
        <w:jc w:val="both"/>
        <w:textAlignment w:val="baseline"/>
        <w:rPr>
          <w:rFonts w:ascii="仿宋_GB2312" w:eastAsia="仿宋_GB2312"/>
          <w:color w:val="auto"/>
          <w:sz w:val="32"/>
          <w:szCs w:val="32"/>
        </w:rPr>
      </w:pPr>
      <w:r>
        <w:rPr>
          <w:rFonts w:hint="eastAsia" w:ascii="仿宋_GB2312" w:eastAsia="仿宋_GB2312" w:cs="仿宋_GB2312"/>
          <w:color w:val="auto"/>
          <w:sz w:val="32"/>
          <w:szCs w:val="32"/>
        </w:rPr>
        <w:t>负责贯彻执行党和国家关于制定</w:t>
      </w:r>
      <w:r>
        <w:rPr>
          <w:rFonts w:ascii="仿宋_GB2312" w:eastAsia="仿宋_GB2312" w:cs="仿宋_GB2312"/>
          <w:color w:val="auto"/>
          <w:sz w:val="32"/>
          <w:szCs w:val="32"/>
        </w:rPr>
        <w:t>2019</w:t>
      </w:r>
      <w:r>
        <w:rPr>
          <w:rFonts w:hint="eastAsia" w:ascii="仿宋_GB2312" w:eastAsia="仿宋_GB2312" w:cs="仿宋_GB2312"/>
          <w:color w:val="auto"/>
          <w:sz w:val="32"/>
          <w:szCs w:val="32"/>
        </w:rPr>
        <w:t>年度工作要点，并监督实施。指导全区工会工作。制定全区工会工作总体规划并组织实施，指导检查全区建会、集体协商签订等工作。负责全区困难职工帮扶工作，负责全区劳动技能大赛女职工权益保护工作等工作。</w:t>
      </w:r>
    </w:p>
    <w:p w14:paraId="01002685">
      <w:pPr>
        <w:spacing w:after="0" w:line="360" w:lineRule="auto"/>
        <w:ind w:firstLine="640" w:firstLineChars="200"/>
        <w:jc w:val="both"/>
        <w:textAlignment w:val="baseline"/>
        <w:rPr>
          <w:rFonts w:ascii="仿宋_GB2312" w:eastAsia="仿宋_GB2312"/>
          <w:color w:val="auto"/>
          <w:sz w:val="32"/>
          <w:szCs w:val="32"/>
        </w:rPr>
      </w:pPr>
      <w:r>
        <w:rPr>
          <w:rFonts w:hint="eastAsia" w:ascii="仿宋_GB2312" w:eastAsia="仿宋_GB2312" w:cs="仿宋_GB2312"/>
          <w:color w:val="auto"/>
          <w:sz w:val="32"/>
          <w:szCs w:val="32"/>
        </w:rPr>
        <w:t>职责分类绩效目标为：</w:t>
      </w:r>
    </w:p>
    <w:p w14:paraId="6634010E">
      <w:pPr>
        <w:spacing w:after="0" w:line="360" w:lineRule="auto"/>
        <w:ind w:firstLine="640" w:firstLineChars="200"/>
        <w:jc w:val="both"/>
        <w:textAlignment w:val="baseline"/>
        <w:rPr>
          <w:rFonts w:ascii="仿宋_GB2312" w:eastAsia="仿宋_GB2312"/>
          <w:color w:val="auto"/>
          <w:sz w:val="32"/>
          <w:szCs w:val="32"/>
        </w:rPr>
      </w:pPr>
      <w:r>
        <w:rPr>
          <w:rFonts w:ascii="仿宋_GB2312" w:eastAsia="仿宋_GB2312" w:cs="仿宋_GB2312"/>
          <w:color w:val="auto"/>
          <w:sz w:val="32"/>
          <w:szCs w:val="32"/>
        </w:rPr>
        <w:t>1.</w:t>
      </w:r>
      <w:r>
        <w:rPr>
          <w:rFonts w:hint="eastAsia" w:ascii="仿宋_GB2312" w:eastAsia="仿宋_GB2312" w:cs="仿宋_GB2312"/>
          <w:color w:val="auto"/>
          <w:sz w:val="32"/>
          <w:szCs w:val="32"/>
        </w:rPr>
        <w:t>开展做好职工互助“一日捐”活动工作。</w:t>
      </w:r>
    </w:p>
    <w:p w14:paraId="287B2A88">
      <w:pPr>
        <w:spacing w:after="0" w:line="360" w:lineRule="auto"/>
        <w:ind w:firstLine="640" w:firstLineChars="200"/>
        <w:jc w:val="both"/>
        <w:textAlignment w:val="baseline"/>
        <w:rPr>
          <w:rFonts w:ascii="仿宋_GB2312" w:eastAsia="仿宋_GB2312"/>
          <w:color w:val="auto"/>
          <w:sz w:val="32"/>
          <w:szCs w:val="32"/>
        </w:rPr>
      </w:pPr>
      <w:r>
        <w:rPr>
          <w:rFonts w:ascii="仿宋_GB2312" w:eastAsia="仿宋_GB2312" w:cs="仿宋_GB2312"/>
          <w:color w:val="auto"/>
          <w:sz w:val="32"/>
          <w:szCs w:val="32"/>
        </w:rPr>
        <w:t>2.</w:t>
      </w:r>
      <w:r>
        <w:rPr>
          <w:rFonts w:hint="eastAsia" w:ascii="仿宋_GB2312" w:eastAsia="仿宋_GB2312" w:cs="仿宋_GB2312"/>
          <w:color w:val="auto"/>
          <w:sz w:val="32"/>
          <w:szCs w:val="32"/>
        </w:rPr>
        <w:t>开展劳动技能大赛工作。</w:t>
      </w:r>
    </w:p>
    <w:p w14:paraId="0AF1B831">
      <w:pPr>
        <w:spacing w:after="0" w:line="360" w:lineRule="auto"/>
        <w:ind w:firstLine="640" w:firstLineChars="200"/>
        <w:jc w:val="both"/>
        <w:textAlignment w:val="baseline"/>
        <w:rPr>
          <w:rFonts w:ascii="仿宋_GB2312" w:eastAsia="仿宋_GB2312"/>
          <w:color w:val="auto"/>
          <w:sz w:val="32"/>
          <w:szCs w:val="32"/>
        </w:rPr>
      </w:pPr>
      <w:r>
        <w:rPr>
          <w:rFonts w:ascii="仿宋_GB2312" w:eastAsia="仿宋_GB2312" w:cs="仿宋_GB2312"/>
          <w:color w:val="auto"/>
          <w:sz w:val="32"/>
          <w:szCs w:val="32"/>
        </w:rPr>
        <w:t>3.</w:t>
      </w:r>
      <w:r>
        <w:rPr>
          <w:rFonts w:hint="eastAsia" w:ascii="仿宋_GB2312" w:eastAsia="仿宋_GB2312" w:cs="仿宋_GB2312"/>
          <w:color w:val="auto"/>
          <w:sz w:val="32"/>
          <w:szCs w:val="32"/>
        </w:rPr>
        <w:t>开展困难帮扶工作、劳模体检工作。</w:t>
      </w:r>
      <w:bookmarkStart w:id="9" w:name="_Toc1678"/>
      <w:bookmarkStart w:id="10" w:name="_Toc465149500"/>
      <w:bookmarkStart w:id="11" w:name="_Toc492652766"/>
    </w:p>
    <w:p w14:paraId="3441244D">
      <w:pPr>
        <w:spacing w:after="0" w:line="360" w:lineRule="auto"/>
        <w:ind w:firstLine="640" w:firstLineChars="200"/>
        <w:jc w:val="both"/>
        <w:textAlignment w:val="baseline"/>
        <w:rPr>
          <w:rFonts w:ascii="仿宋_GB2312" w:eastAsia="仿宋_GB2312"/>
          <w:color w:val="auto"/>
          <w:sz w:val="32"/>
          <w:szCs w:val="32"/>
        </w:rPr>
      </w:pPr>
      <w:r>
        <w:rPr>
          <w:rFonts w:hint="eastAsia" w:ascii="仿宋_GB2312" w:eastAsia="仿宋_GB2312" w:cs="仿宋_GB2312"/>
          <w:color w:val="auto"/>
          <w:sz w:val="32"/>
          <w:szCs w:val="32"/>
        </w:rPr>
        <w:t>（三）部门预算收入及决算收入</w:t>
      </w:r>
      <w:bookmarkEnd w:id="9"/>
    </w:p>
    <w:p w14:paraId="398874C0">
      <w:pPr>
        <w:spacing w:after="0" w:line="360" w:lineRule="auto"/>
        <w:ind w:firstLine="640" w:firstLineChars="200"/>
        <w:jc w:val="both"/>
        <w:textAlignment w:val="baseline"/>
        <w:rPr>
          <w:rFonts w:ascii="仿宋_GB2312" w:eastAsia="仿宋_GB2312"/>
          <w:color w:val="auto"/>
          <w:sz w:val="32"/>
          <w:szCs w:val="32"/>
        </w:rPr>
      </w:pPr>
      <w:r>
        <w:rPr>
          <w:rFonts w:ascii="仿宋_GB2312" w:eastAsia="仿宋_GB2312" w:cs="仿宋_GB2312"/>
          <w:color w:val="auto"/>
          <w:sz w:val="32"/>
          <w:szCs w:val="32"/>
        </w:rPr>
        <w:t>2019</w:t>
      </w:r>
      <w:r>
        <w:rPr>
          <w:rFonts w:hint="eastAsia" w:ascii="仿宋_GB2312" w:eastAsia="仿宋_GB2312" w:cs="仿宋_GB2312"/>
          <w:color w:val="auto"/>
          <w:sz w:val="32"/>
          <w:szCs w:val="32"/>
        </w:rPr>
        <w:t>年区总工会单位预算收入</w:t>
      </w:r>
      <w:r>
        <w:rPr>
          <w:rFonts w:ascii="仿宋_GB2312" w:eastAsia="仿宋_GB2312" w:cs="仿宋_GB2312"/>
          <w:color w:val="auto"/>
          <w:sz w:val="32"/>
          <w:szCs w:val="32"/>
        </w:rPr>
        <w:t>180.2</w:t>
      </w:r>
      <w:r>
        <w:rPr>
          <w:rFonts w:hint="eastAsia" w:ascii="仿宋_GB2312" w:eastAsia="仿宋_GB2312" w:cs="仿宋_GB2312"/>
          <w:color w:val="auto"/>
          <w:sz w:val="32"/>
          <w:szCs w:val="32"/>
        </w:rPr>
        <w:t>万元，均为一般公共预算拨款，其中：财政拨款</w:t>
      </w:r>
      <w:r>
        <w:rPr>
          <w:rFonts w:ascii="仿宋_GB2312" w:eastAsia="仿宋_GB2312" w:cs="仿宋_GB2312"/>
          <w:color w:val="auto"/>
          <w:sz w:val="32"/>
          <w:szCs w:val="32"/>
        </w:rPr>
        <w:t>180.2</w:t>
      </w:r>
      <w:r>
        <w:rPr>
          <w:rFonts w:hint="eastAsia" w:ascii="仿宋_GB2312" w:eastAsia="仿宋_GB2312" w:cs="仿宋_GB2312"/>
          <w:color w:val="auto"/>
          <w:sz w:val="32"/>
          <w:szCs w:val="32"/>
        </w:rPr>
        <w:t>万元。预算收入按功能分类包含：一般公共服务支出</w:t>
      </w:r>
      <w:r>
        <w:rPr>
          <w:rFonts w:ascii="仿宋_GB2312" w:eastAsia="仿宋_GB2312" w:cs="仿宋_GB2312"/>
          <w:color w:val="auto"/>
          <w:sz w:val="32"/>
          <w:szCs w:val="32"/>
        </w:rPr>
        <w:t>156.00</w:t>
      </w:r>
      <w:r>
        <w:rPr>
          <w:rFonts w:hint="eastAsia" w:ascii="仿宋_GB2312" w:eastAsia="仿宋_GB2312" w:cs="仿宋_GB2312"/>
          <w:color w:val="auto"/>
          <w:sz w:val="32"/>
          <w:szCs w:val="32"/>
        </w:rPr>
        <w:t>万元，社会保障和就业支出</w:t>
      </w:r>
      <w:r>
        <w:rPr>
          <w:rFonts w:ascii="仿宋_GB2312" w:eastAsia="仿宋_GB2312" w:cs="仿宋_GB2312"/>
          <w:color w:val="auto"/>
          <w:sz w:val="32"/>
          <w:szCs w:val="32"/>
        </w:rPr>
        <w:t>16.97</w:t>
      </w:r>
      <w:r>
        <w:rPr>
          <w:rFonts w:hint="eastAsia" w:ascii="仿宋_GB2312" w:eastAsia="仿宋_GB2312" w:cs="仿宋_GB2312"/>
          <w:color w:val="auto"/>
          <w:sz w:val="32"/>
          <w:szCs w:val="32"/>
        </w:rPr>
        <w:t>万元，医疗卫生与计划生育支出</w:t>
      </w:r>
      <w:r>
        <w:rPr>
          <w:rFonts w:ascii="仿宋_GB2312" w:eastAsia="仿宋_GB2312" w:cs="仿宋_GB2312"/>
          <w:color w:val="auto"/>
          <w:sz w:val="32"/>
          <w:szCs w:val="32"/>
        </w:rPr>
        <w:t>5.04</w:t>
      </w:r>
      <w:r>
        <w:rPr>
          <w:rFonts w:hint="eastAsia" w:ascii="仿宋_GB2312" w:eastAsia="仿宋_GB2312" w:cs="仿宋_GB2312"/>
          <w:color w:val="auto"/>
          <w:sz w:val="32"/>
          <w:szCs w:val="32"/>
        </w:rPr>
        <w:t>万元，住房保障支出</w:t>
      </w:r>
      <w:r>
        <w:rPr>
          <w:rFonts w:ascii="仿宋_GB2312" w:eastAsia="仿宋_GB2312" w:cs="仿宋_GB2312"/>
          <w:color w:val="auto"/>
          <w:sz w:val="32"/>
          <w:szCs w:val="32"/>
        </w:rPr>
        <w:t>2.19</w:t>
      </w:r>
      <w:r>
        <w:rPr>
          <w:rFonts w:hint="eastAsia" w:ascii="仿宋_GB2312" w:eastAsia="仿宋_GB2312" w:cs="仿宋_GB2312"/>
          <w:color w:val="auto"/>
          <w:sz w:val="32"/>
          <w:szCs w:val="32"/>
        </w:rPr>
        <w:t>万元。具体预算收入详见附件</w:t>
      </w:r>
      <w:r>
        <w:rPr>
          <w:rFonts w:ascii="仿宋_GB2312" w:eastAsia="仿宋_GB2312" w:cs="仿宋_GB2312"/>
          <w:color w:val="auto"/>
          <w:sz w:val="32"/>
          <w:szCs w:val="32"/>
        </w:rPr>
        <w:t>2</w:t>
      </w:r>
      <w:r>
        <w:rPr>
          <w:rFonts w:hint="eastAsia" w:ascii="仿宋_GB2312" w:eastAsia="仿宋_GB2312" w:cs="仿宋_GB2312"/>
          <w:color w:val="auto"/>
          <w:sz w:val="32"/>
          <w:szCs w:val="32"/>
        </w:rPr>
        <w:t>。</w:t>
      </w:r>
    </w:p>
    <w:p w14:paraId="5210359D">
      <w:pPr>
        <w:spacing w:after="0" w:line="360" w:lineRule="auto"/>
        <w:ind w:firstLine="640" w:firstLineChars="200"/>
        <w:jc w:val="both"/>
        <w:textAlignment w:val="baseline"/>
        <w:rPr>
          <w:rFonts w:ascii="仿宋_GB2312" w:eastAsia="仿宋_GB2312"/>
          <w:color w:val="auto"/>
          <w:sz w:val="32"/>
          <w:szCs w:val="32"/>
        </w:rPr>
      </w:pPr>
      <w:r>
        <w:rPr>
          <w:rFonts w:ascii="仿宋_GB2312" w:eastAsia="仿宋_GB2312" w:cs="仿宋_GB2312"/>
          <w:color w:val="auto"/>
          <w:sz w:val="32"/>
          <w:szCs w:val="32"/>
        </w:rPr>
        <w:t>2019</w:t>
      </w:r>
      <w:r>
        <w:rPr>
          <w:rFonts w:hint="eastAsia" w:ascii="仿宋_GB2312" w:eastAsia="仿宋_GB2312" w:cs="仿宋_GB2312"/>
          <w:color w:val="auto"/>
          <w:sz w:val="32"/>
          <w:szCs w:val="32"/>
        </w:rPr>
        <w:t>年区总工会决算收入</w:t>
      </w:r>
      <w:r>
        <w:rPr>
          <w:rFonts w:ascii="仿宋_GB2312" w:eastAsia="仿宋_GB2312" w:cs="仿宋_GB2312"/>
          <w:color w:val="auto"/>
          <w:sz w:val="32"/>
          <w:szCs w:val="32"/>
        </w:rPr>
        <w:t>184.89</w:t>
      </w:r>
      <w:r>
        <w:rPr>
          <w:rFonts w:hint="eastAsia" w:ascii="仿宋_GB2312" w:eastAsia="仿宋_GB2312" w:cs="仿宋_GB2312"/>
          <w:color w:val="auto"/>
          <w:sz w:val="32"/>
          <w:szCs w:val="32"/>
        </w:rPr>
        <w:t>万元，全部为财政拨款收入。决算收入按功能分类包含：一般公共服务支出</w:t>
      </w:r>
      <w:r>
        <w:rPr>
          <w:rFonts w:ascii="仿宋_GB2312" w:eastAsia="仿宋_GB2312" w:cs="仿宋_GB2312"/>
          <w:color w:val="auto"/>
          <w:sz w:val="32"/>
          <w:szCs w:val="32"/>
        </w:rPr>
        <w:t>141.49</w:t>
      </w:r>
      <w:r>
        <w:rPr>
          <w:rFonts w:hint="eastAsia" w:ascii="仿宋_GB2312" w:eastAsia="仿宋_GB2312" w:cs="仿宋_GB2312"/>
          <w:color w:val="auto"/>
          <w:sz w:val="32"/>
          <w:szCs w:val="32"/>
        </w:rPr>
        <w:t>万元，占比</w:t>
      </w:r>
      <w:r>
        <w:rPr>
          <w:rFonts w:ascii="仿宋_GB2312" w:eastAsia="仿宋_GB2312" w:cs="仿宋_GB2312"/>
          <w:color w:val="auto"/>
          <w:sz w:val="32"/>
          <w:szCs w:val="32"/>
        </w:rPr>
        <w:t>90.70%</w:t>
      </w:r>
      <w:r>
        <w:rPr>
          <w:rFonts w:hint="eastAsia" w:ascii="仿宋_GB2312" w:eastAsia="仿宋_GB2312" w:cs="仿宋_GB2312"/>
          <w:color w:val="auto"/>
          <w:sz w:val="32"/>
          <w:szCs w:val="32"/>
        </w:rPr>
        <w:t>；社会保障和就业支出</w:t>
      </w:r>
      <w:r>
        <w:rPr>
          <w:rFonts w:ascii="仿宋_GB2312" w:eastAsia="仿宋_GB2312" w:cs="仿宋_GB2312"/>
          <w:color w:val="auto"/>
          <w:sz w:val="32"/>
          <w:szCs w:val="32"/>
        </w:rPr>
        <w:t>39.61</w:t>
      </w:r>
      <w:r>
        <w:rPr>
          <w:rFonts w:hint="eastAsia" w:ascii="仿宋_GB2312" w:eastAsia="仿宋_GB2312" w:cs="仿宋_GB2312"/>
          <w:color w:val="auto"/>
          <w:sz w:val="32"/>
          <w:szCs w:val="32"/>
        </w:rPr>
        <w:t>万元，占比</w:t>
      </w:r>
      <w:r>
        <w:rPr>
          <w:rFonts w:ascii="仿宋_GB2312" w:eastAsia="仿宋_GB2312" w:cs="仿宋_GB2312"/>
          <w:color w:val="auto"/>
          <w:sz w:val="32"/>
          <w:szCs w:val="32"/>
        </w:rPr>
        <w:t>233.42%</w:t>
      </w:r>
      <w:r>
        <w:rPr>
          <w:rFonts w:hint="eastAsia" w:ascii="仿宋_GB2312" w:eastAsia="仿宋_GB2312" w:cs="仿宋_GB2312"/>
          <w:color w:val="auto"/>
          <w:sz w:val="32"/>
          <w:szCs w:val="32"/>
        </w:rPr>
        <w:t>；医疗卫生与计划生育支出</w:t>
      </w:r>
      <w:r>
        <w:rPr>
          <w:rFonts w:ascii="仿宋_GB2312" w:eastAsia="仿宋_GB2312" w:cs="仿宋_GB2312"/>
          <w:color w:val="auto"/>
          <w:sz w:val="32"/>
          <w:szCs w:val="32"/>
        </w:rPr>
        <w:t>1.60</w:t>
      </w:r>
      <w:r>
        <w:rPr>
          <w:rFonts w:hint="eastAsia" w:ascii="仿宋_GB2312" w:eastAsia="仿宋_GB2312" w:cs="仿宋_GB2312"/>
          <w:color w:val="auto"/>
          <w:sz w:val="32"/>
          <w:szCs w:val="32"/>
        </w:rPr>
        <w:t>万元，占比</w:t>
      </w:r>
      <w:r>
        <w:rPr>
          <w:rFonts w:ascii="仿宋_GB2312" w:eastAsia="仿宋_GB2312" w:cs="仿宋_GB2312"/>
          <w:color w:val="auto"/>
          <w:sz w:val="32"/>
          <w:szCs w:val="32"/>
        </w:rPr>
        <w:t>31.91%</w:t>
      </w:r>
      <w:r>
        <w:rPr>
          <w:rFonts w:hint="eastAsia" w:ascii="仿宋_GB2312" w:eastAsia="仿宋_GB2312" w:cs="仿宋_GB2312"/>
          <w:color w:val="auto"/>
          <w:sz w:val="32"/>
          <w:szCs w:val="32"/>
        </w:rPr>
        <w:t>；住房保障支出</w:t>
      </w:r>
      <w:r>
        <w:rPr>
          <w:rFonts w:ascii="仿宋_GB2312" w:eastAsia="仿宋_GB2312" w:cs="仿宋_GB2312"/>
          <w:color w:val="auto"/>
          <w:sz w:val="32"/>
          <w:szCs w:val="32"/>
        </w:rPr>
        <w:t>2.19</w:t>
      </w:r>
      <w:r>
        <w:rPr>
          <w:rFonts w:hint="eastAsia" w:ascii="仿宋_GB2312" w:eastAsia="仿宋_GB2312" w:cs="仿宋_GB2312"/>
          <w:color w:val="auto"/>
          <w:sz w:val="32"/>
          <w:szCs w:val="32"/>
        </w:rPr>
        <w:t>万元，占比</w:t>
      </w:r>
      <w:r>
        <w:rPr>
          <w:rFonts w:ascii="仿宋_GB2312" w:eastAsia="仿宋_GB2312" w:cs="仿宋_GB2312"/>
          <w:color w:val="auto"/>
          <w:sz w:val="32"/>
          <w:szCs w:val="32"/>
        </w:rPr>
        <w:t>100%</w:t>
      </w:r>
      <w:r>
        <w:rPr>
          <w:rFonts w:hint="eastAsia" w:ascii="仿宋_GB2312" w:eastAsia="仿宋_GB2312" w:cs="仿宋_GB2312"/>
          <w:color w:val="auto"/>
          <w:sz w:val="32"/>
          <w:szCs w:val="32"/>
        </w:rPr>
        <w:t>。具体决算收入详见附件</w:t>
      </w:r>
    </w:p>
    <w:p w14:paraId="63F9A983">
      <w:pPr>
        <w:spacing w:after="0" w:line="360" w:lineRule="auto"/>
        <w:ind w:firstLine="640" w:firstLineChars="200"/>
        <w:jc w:val="both"/>
        <w:textAlignment w:val="baseline"/>
        <w:rPr>
          <w:rFonts w:ascii="仿宋_GB2312" w:eastAsia="仿宋_GB2312"/>
          <w:color w:val="auto"/>
          <w:sz w:val="32"/>
          <w:szCs w:val="32"/>
        </w:rPr>
      </w:pPr>
      <w:r>
        <w:rPr>
          <w:rFonts w:ascii="仿宋_GB2312" w:eastAsia="仿宋_GB2312" w:cs="仿宋_GB2312"/>
          <w:color w:val="auto"/>
          <w:sz w:val="32"/>
          <w:szCs w:val="32"/>
        </w:rPr>
        <w:t>2</w:t>
      </w:r>
      <w:r>
        <w:rPr>
          <w:rFonts w:hint="eastAsia" w:ascii="仿宋_GB2312" w:eastAsia="仿宋_GB2312" w:cs="仿宋_GB2312"/>
          <w:color w:val="auto"/>
          <w:sz w:val="32"/>
          <w:szCs w:val="32"/>
        </w:rPr>
        <w:t>。决算收入结构如图</w:t>
      </w:r>
      <w:r>
        <w:rPr>
          <w:rFonts w:ascii="仿宋_GB2312" w:eastAsia="仿宋_GB2312" w:cs="仿宋_GB2312"/>
          <w:color w:val="auto"/>
          <w:sz w:val="32"/>
          <w:szCs w:val="32"/>
        </w:rPr>
        <w:t>1</w:t>
      </w:r>
      <w:r>
        <w:rPr>
          <w:rFonts w:hint="eastAsia" w:ascii="仿宋_GB2312" w:eastAsia="仿宋_GB2312" w:cs="仿宋_GB2312"/>
          <w:color w:val="auto"/>
          <w:sz w:val="32"/>
          <w:szCs w:val="32"/>
        </w:rPr>
        <w:t>。</w:t>
      </w:r>
    </w:p>
    <w:p w14:paraId="7E42FB2D">
      <w:pPr>
        <w:spacing w:after="0" w:line="360" w:lineRule="auto"/>
        <w:jc w:val="center"/>
        <w:textAlignment w:val="baseline"/>
        <w:rPr>
          <w:rFonts w:ascii="仿宋_GB2312" w:eastAsia="仿宋_GB2312"/>
          <w:sz w:val="32"/>
          <w:szCs w:val="32"/>
        </w:rPr>
      </w:pPr>
      <w:r>
        <w:rPr>
          <w:rFonts w:hint="eastAsia" w:ascii="宋体" w:hAnsi="宋体" w:eastAsia="宋体" w:cs="宋体"/>
          <w:b/>
          <w:bCs/>
          <w:sz w:val="32"/>
          <w:szCs w:val="32"/>
        </w:rPr>
        <w:t>图</w:t>
      </w:r>
      <w:r>
        <w:rPr>
          <w:rFonts w:ascii="宋体" w:hAnsi="宋体" w:eastAsia="宋体" w:cs="宋体"/>
          <w:b/>
          <w:bCs/>
          <w:sz w:val="32"/>
          <w:szCs w:val="32"/>
        </w:rPr>
        <w:t>1  2019</w:t>
      </w:r>
      <w:r>
        <w:rPr>
          <w:rFonts w:hint="eastAsia" w:ascii="宋体" w:hAnsi="宋体" w:eastAsia="宋体" w:cs="宋体"/>
          <w:b/>
          <w:bCs/>
          <w:sz w:val="32"/>
          <w:szCs w:val="32"/>
        </w:rPr>
        <w:t>年度区</w:t>
      </w:r>
      <w:r>
        <w:rPr>
          <w:rFonts w:hint="eastAsia" w:ascii="仿宋_GB2312" w:eastAsia="仿宋_GB2312" w:cs="仿宋_GB2312"/>
          <w:sz w:val="32"/>
          <w:szCs w:val="32"/>
        </w:rPr>
        <w:t>总工会单位</w:t>
      </w:r>
      <w:r>
        <w:rPr>
          <w:rFonts w:hint="eastAsia" w:ascii="宋体" w:hAnsi="宋体" w:eastAsia="宋体" w:cs="宋体"/>
          <w:b/>
          <w:bCs/>
          <w:sz w:val="32"/>
          <w:szCs w:val="32"/>
        </w:rPr>
        <w:t>决算收入结构图</w:t>
      </w:r>
    </w:p>
    <w:p w14:paraId="01E25BDF">
      <w:pPr>
        <w:spacing w:after="0" w:line="540" w:lineRule="exact"/>
        <w:ind w:firstLine="440" w:firstLineChars="200"/>
        <w:jc w:val="both"/>
        <w:rPr>
          <w:rFonts w:ascii="仿宋_GB2312" w:hAnsi="宋体" w:eastAsia="仿宋_GB2312"/>
          <w:sz w:val="32"/>
          <w:szCs w:val="32"/>
          <w:u w:color="000000"/>
        </w:rPr>
      </w:pPr>
      <w:r>
        <w:pict>
          <v:shape id="图表 6" o:spid="_x0000_s1026" o:spt="75" type="#_x0000_t75" style="position:absolute;left:0pt;margin-left:30.15pt;margin-top:3.95pt;height:226.1pt;width:360.5pt;mso-wrap-distance-bottom:0.1pt;mso-wrap-distance-left:9pt;mso-wrap-distance-right:9pt;mso-wrap-distance-top:0pt;z-index:251659264;mso-width-relative:page;mso-height-relative:page;" filled="f" o:preferrelative="t" stroked="f" coordsize="21600,21600">
            <v:path/>
            <v:fill on="f" focussize="0,0"/>
            <v:stroke on="f" joinstyle="miter"/>
            <v:imagedata r:id="rId7" o:title=""/>
            <o:lock v:ext="edit" aspectratio="t"/>
            <w10:wrap type="square"/>
          </v:shape>
        </w:pict>
      </w:r>
    </w:p>
    <w:p w14:paraId="3A13870F">
      <w:pPr>
        <w:spacing w:after="0" w:line="360" w:lineRule="auto"/>
        <w:ind w:firstLine="640" w:firstLineChars="200"/>
        <w:jc w:val="both"/>
        <w:rPr>
          <w:rFonts w:ascii="仿宋_GB2312" w:eastAsia="仿宋_GB2312"/>
          <w:sz w:val="32"/>
          <w:szCs w:val="32"/>
        </w:rPr>
      </w:pPr>
      <w:r>
        <w:rPr>
          <w:rFonts w:hint="eastAsia" w:ascii="仿宋_GB2312" w:eastAsia="仿宋_GB2312" w:cs="仿宋_GB2312"/>
          <w:sz w:val="32"/>
          <w:szCs w:val="32"/>
        </w:rPr>
        <w:t>区总工会单位一般公共预算财政拨款决算收入比年初预算增加</w:t>
      </w:r>
      <w:r>
        <w:rPr>
          <w:rFonts w:ascii="仿宋_GB2312" w:eastAsia="仿宋_GB2312" w:cs="仿宋_GB2312"/>
          <w:sz w:val="32"/>
          <w:szCs w:val="32"/>
        </w:rPr>
        <w:t>4.7</w:t>
      </w:r>
      <w:r>
        <w:rPr>
          <w:rFonts w:hint="eastAsia" w:ascii="仿宋_GB2312" w:eastAsia="仿宋_GB2312" w:cs="仿宋_GB2312"/>
          <w:sz w:val="32"/>
          <w:szCs w:val="32"/>
        </w:rPr>
        <w:t>万元，完成年初预算的</w:t>
      </w:r>
      <w:r>
        <w:rPr>
          <w:rFonts w:ascii="仿宋_GB2312" w:eastAsia="仿宋_GB2312" w:cs="仿宋_GB2312"/>
          <w:sz w:val="32"/>
          <w:szCs w:val="32"/>
        </w:rPr>
        <w:t>102.61%</w:t>
      </w:r>
      <w:r>
        <w:rPr>
          <w:rFonts w:hint="eastAsia" w:ascii="仿宋_GB2312" w:eastAsia="仿宋_GB2312" w:cs="仿宋_GB2312"/>
          <w:sz w:val="32"/>
          <w:szCs w:val="32"/>
        </w:rPr>
        <w:t>。预算收入与决算收入对比情况见图</w:t>
      </w:r>
      <w:r>
        <w:rPr>
          <w:rFonts w:ascii="仿宋_GB2312" w:eastAsia="仿宋_GB2312" w:cs="仿宋_GB2312"/>
          <w:sz w:val="32"/>
          <w:szCs w:val="32"/>
        </w:rPr>
        <w:t>2</w:t>
      </w:r>
      <w:r>
        <w:rPr>
          <w:rFonts w:hint="eastAsia" w:ascii="仿宋_GB2312" w:eastAsia="仿宋_GB2312" w:cs="仿宋_GB2312"/>
          <w:sz w:val="32"/>
          <w:szCs w:val="32"/>
        </w:rPr>
        <w:t>。</w:t>
      </w:r>
    </w:p>
    <w:p w14:paraId="05B825EC">
      <w:pPr>
        <w:spacing w:after="0" w:line="360" w:lineRule="auto"/>
        <w:jc w:val="center"/>
        <w:rPr>
          <w:rFonts w:ascii="仿宋_GB2312" w:hAnsi="宋体" w:eastAsia="仿宋_GB2312"/>
          <w:sz w:val="32"/>
          <w:szCs w:val="32"/>
          <w:u w:color="000000"/>
        </w:rPr>
      </w:pPr>
      <w:r>
        <w:rPr>
          <w:rFonts w:hint="eastAsia" w:ascii="宋体" w:hAnsi="宋体" w:eastAsia="宋体" w:cs="宋体"/>
          <w:b/>
          <w:bCs/>
          <w:sz w:val="32"/>
          <w:szCs w:val="32"/>
          <w:u w:color="000000"/>
        </w:rPr>
        <w:t>图</w:t>
      </w:r>
      <w:r>
        <w:rPr>
          <w:rFonts w:ascii="宋体" w:hAnsi="宋体" w:eastAsia="宋体" w:cs="宋体"/>
          <w:b/>
          <w:bCs/>
          <w:sz w:val="32"/>
          <w:szCs w:val="32"/>
          <w:u w:color="000000"/>
        </w:rPr>
        <w:t>2  2019</w:t>
      </w:r>
      <w:r>
        <w:rPr>
          <w:rFonts w:hint="eastAsia" w:ascii="宋体" w:hAnsi="宋体" w:eastAsia="宋体" w:cs="宋体"/>
          <w:b/>
          <w:bCs/>
          <w:sz w:val="32"/>
          <w:szCs w:val="32"/>
          <w:u w:color="000000"/>
        </w:rPr>
        <w:t>年度区</w:t>
      </w:r>
      <w:r>
        <w:rPr>
          <w:rFonts w:hint="eastAsia" w:ascii="仿宋_GB2312" w:eastAsia="仿宋_GB2312" w:cs="仿宋_GB2312"/>
          <w:sz w:val="32"/>
          <w:szCs w:val="32"/>
        </w:rPr>
        <w:t>总工会单位</w:t>
      </w:r>
      <w:r>
        <w:rPr>
          <w:rFonts w:hint="eastAsia" w:ascii="宋体" w:hAnsi="宋体" w:eastAsia="宋体" w:cs="宋体"/>
          <w:b/>
          <w:bCs/>
          <w:sz w:val="32"/>
          <w:szCs w:val="32"/>
          <w:u w:color="000000"/>
        </w:rPr>
        <w:t>预算收入与决算收入对比图</w:t>
      </w:r>
    </w:p>
    <w:p w14:paraId="47F5D3C3">
      <w:pPr>
        <w:pStyle w:val="4"/>
        <w:spacing w:before="0" w:after="0"/>
        <w:ind w:firstLine="602" w:firstLineChars="200"/>
        <w:jc w:val="both"/>
        <w:rPr>
          <w:rFonts w:ascii="仿宋_GB2312" w:hAnsi="宋体" w:cs="Tahoma"/>
          <w:sz w:val="32"/>
          <w:szCs w:val="32"/>
        </w:rPr>
      </w:pPr>
      <w:bookmarkStart w:id="12" w:name="_Toc18197"/>
      <w:r>
        <w:pict>
          <v:shape id="图表 5" o:spid="_x0000_s1027" o:spt="75" type="#_x0000_t75" style="position:absolute;left:0pt;margin-left:5.15pt;margin-top:9.45pt;height:216.95pt;width:404.65pt;mso-wrap-distance-bottom:0pt;mso-wrap-distance-left:9pt;mso-wrap-distance-right:9pt;mso-wrap-distance-top:0pt;z-index:251660288;mso-width-relative:page;mso-height-relative:page;" filled="f" o:preferrelative="t" stroked="f" coordsize="21600,21600">
            <v:path/>
            <v:fill on="f" focussize="0,0"/>
            <v:stroke on="f" joinstyle="miter"/>
            <v:imagedata r:id="rId8" o:title=""/>
            <o:lock v:ext="edit" aspectratio="t"/>
            <w10:wrap type="square"/>
          </v:shape>
        </w:pict>
      </w:r>
      <w:r>
        <w:rPr>
          <w:rFonts w:hint="eastAsia" w:ascii="仿宋_GB2312" w:hAnsi="宋体" w:cs="仿宋_GB2312"/>
          <w:sz w:val="32"/>
          <w:szCs w:val="32"/>
        </w:rPr>
        <w:t>（四）预算支出及决算</w:t>
      </w:r>
      <w:bookmarkEnd w:id="10"/>
      <w:bookmarkEnd w:id="11"/>
      <w:r>
        <w:rPr>
          <w:rFonts w:hint="eastAsia" w:ascii="仿宋_GB2312" w:hAnsi="宋体" w:cs="仿宋_GB2312"/>
          <w:sz w:val="32"/>
          <w:szCs w:val="32"/>
        </w:rPr>
        <w:t>支出</w:t>
      </w:r>
      <w:bookmarkEnd w:id="12"/>
    </w:p>
    <w:p w14:paraId="2C0BDEA6">
      <w:pPr>
        <w:spacing w:after="0" w:line="360" w:lineRule="auto"/>
        <w:ind w:firstLine="640" w:firstLineChars="200"/>
        <w:jc w:val="both"/>
        <w:rPr>
          <w:rFonts w:ascii="仿宋_GB2312" w:hAnsi="宋体" w:eastAsia="仿宋_GB2312"/>
          <w:color w:val="auto"/>
          <w:sz w:val="32"/>
          <w:szCs w:val="32"/>
          <w:u w:color="000000"/>
        </w:rPr>
      </w:pPr>
      <w:r>
        <w:rPr>
          <w:rFonts w:ascii="仿宋_GB2312" w:eastAsia="仿宋_GB2312" w:cs="仿宋_GB2312"/>
          <w:sz w:val="32"/>
          <w:szCs w:val="32"/>
        </w:rPr>
        <w:t>2</w:t>
      </w:r>
      <w:r>
        <w:rPr>
          <w:rFonts w:ascii="仿宋_GB2312" w:eastAsia="仿宋_GB2312" w:cs="仿宋_GB2312"/>
          <w:color w:val="auto"/>
          <w:sz w:val="32"/>
          <w:szCs w:val="32"/>
        </w:rPr>
        <w:t>019</w:t>
      </w:r>
      <w:r>
        <w:rPr>
          <w:rFonts w:hint="eastAsia" w:ascii="仿宋_GB2312" w:eastAsia="仿宋_GB2312" w:cs="仿宋_GB2312"/>
          <w:color w:val="auto"/>
          <w:sz w:val="32"/>
          <w:szCs w:val="32"/>
        </w:rPr>
        <w:t>年度区总工会</w:t>
      </w:r>
      <w:r>
        <w:rPr>
          <w:rFonts w:hint="eastAsia" w:ascii="仿宋_GB2312" w:hAnsi="宋体" w:eastAsia="仿宋_GB2312" w:cs="仿宋_GB2312"/>
          <w:color w:val="auto"/>
          <w:sz w:val="32"/>
          <w:szCs w:val="32"/>
          <w:u w:color="000000"/>
        </w:rPr>
        <w:t>预算支出安排</w:t>
      </w:r>
      <w:r>
        <w:rPr>
          <w:rFonts w:ascii="仿宋_GB2312" w:eastAsia="仿宋_GB2312" w:cs="仿宋_GB2312"/>
          <w:color w:val="auto"/>
          <w:sz w:val="32"/>
          <w:szCs w:val="32"/>
        </w:rPr>
        <w:t>180.2</w:t>
      </w:r>
      <w:r>
        <w:rPr>
          <w:rFonts w:hint="eastAsia" w:ascii="仿宋_GB2312" w:hAnsi="宋体" w:eastAsia="仿宋_GB2312" w:cs="仿宋_GB2312"/>
          <w:color w:val="auto"/>
          <w:sz w:val="32"/>
          <w:szCs w:val="32"/>
          <w:u w:color="000000"/>
        </w:rPr>
        <w:t>万元，其中：基本支出</w:t>
      </w:r>
      <w:r>
        <w:rPr>
          <w:rFonts w:ascii="仿宋_GB2312" w:hAnsi="宋体" w:eastAsia="仿宋_GB2312" w:cs="仿宋_GB2312"/>
          <w:color w:val="auto"/>
          <w:sz w:val="32"/>
          <w:szCs w:val="32"/>
          <w:u w:color="000000"/>
        </w:rPr>
        <w:t>178.5</w:t>
      </w:r>
      <w:r>
        <w:rPr>
          <w:rFonts w:hint="eastAsia" w:ascii="仿宋_GB2312" w:hAnsi="宋体" w:eastAsia="仿宋_GB2312" w:cs="仿宋_GB2312"/>
          <w:color w:val="auto"/>
          <w:sz w:val="32"/>
          <w:szCs w:val="32"/>
          <w:u w:color="000000"/>
        </w:rPr>
        <w:t>万元，项目支出</w:t>
      </w:r>
      <w:r>
        <w:rPr>
          <w:rFonts w:ascii="仿宋_GB2312" w:hAnsi="宋体" w:eastAsia="仿宋_GB2312" w:cs="仿宋_GB2312"/>
          <w:color w:val="auto"/>
          <w:sz w:val="32"/>
          <w:szCs w:val="32"/>
          <w:u w:color="000000"/>
        </w:rPr>
        <w:t>1.7</w:t>
      </w:r>
      <w:r>
        <w:rPr>
          <w:rFonts w:hint="eastAsia" w:ascii="仿宋_GB2312" w:hAnsi="宋体" w:eastAsia="仿宋_GB2312" w:cs="仿宋_GB2312"/>
          <w:color w:val="auto"/>
          <w:sz w:val="32"/>
          <w:szCs w:val="32"/>
          <w:u w:color="000000"/>
        </w:rPr>
        <w:t>万元。预算支出按功能分类包含：</w:t>
      </w:r>
      <w:r>
        <w:rPr>
          <w:rFonts w:hint="eastAsia" w:ascii="仿宋_GB2312" w:eastAsia="仿宋_GB2312" w:cs="仿宋_GB2312"/>
          <w:color w:val="auto"/>
          <w:sz w:val="32"/>
          <w:szCs w:val="32"/>
        </w:rPr>
        <w:t>一般公共服务支出</w:t>
      </w:r>
      <w:r>
        <w:rPr>
          <w:rFonts w:ascii="仿宋_GB2312" w:eastAsia="仿宋_GB2312" w:cs="仿宋_GB2312"/>
          <w:color w:val="auto"/>
          <w:sz w:val="32"/>
          <w:szCs w:val="32"/>
        </w:rPr>
        <w:t>156.00</w:t>
      </w:r>
      <w:r>
        <w:rPr>
          <w:rFonts w:hint="eastAsia" w:ascii="仿宋_GB2312" w:eastAsia="仿宋_GB2312" w:cs="仿宋_GB2312"/>
          <w:color w:val="auto"/>
          <w:sz w:val="32"/>
          <w:szCs w:val="32"/>
        </w:rPr>
        <w:t>万元</w:t>
      </w:r>
      <w:r>
        <w:rPr>
          <w:rFonts w:hint="eastAsia" w:ascii="仿宋_GB2312" w:hAnsi="宋体" w:eastAsia="仿宋_GB2312" w:cs="仿宋_GB2312"/>
          <w:color w:val="auto"/>
          <w:sz w:val="32"/>
          <w:szCs w:val="32"/>
          <w:u w:color="000000"/>
        </w:rPr>
        <w:t>，社会保障和就业支出</w:t>
      </w:r>
      <w:r>
        <w:rPr>
          <w:rFonts w:ascii="仿宋_GB2312" w:eastAsia="仿宋_GB2312" w:cs="仿宋_GB2312"/>
          <w:color w:val="auto"/>
          <w:sz w:val="32"/>
          <w:szCs w:val="32"/>
        </w:rPr>
        <w:t>16.97</w:t>
      </w:r>
      <w:r>
        <w:rPr>
          <w:rFonts w:hint="eastAsia" w:ascii="仿宋_GB2312" w:hAnsi="宋体" w:eastAsia="仿宋_GB2312" w:cs="仿宋_GB2312"/>
          <w:color w:val="auto"/>
          <w:sz w:val="32"/>
          <w:szCs w:val="32"/>
          <w:u w:color="000000"/>
        </w:rPr>
        <w:t>万元，医疗卫生与计划教育支出</w:t>
      </w:r>
      <w:r>
        <w:rPr>
          <w:rFonts w:ascii="仿宋_GB2312" w:eastAsia="仿宋_GB2312" w:cs="仿宋_GB2312"/>
          <w:color w:val="auto"/>
          <w:sz w:val="32"/>
          <w:szCs w:val="32"/>
        </w:rPr>
        <w:t>5.04</w:t>
      </w:r>
      <w:r>
        <w:rPr>
          <w:rFonts w:hint="eastAsia" w:ascii="仿宋_GB2312" w:hAnsi="宋体" w:eastAsia="仿宋_GB2312" w:cs="仿宋_GB2312"/>
          <w:color w:val="auto"/>
          <w:sz w:val="32"/>
          <w:szCs w:val="32"/>
          <w:u w:color="000000"/>
        </w:rPr>
        <w:t>万元，住房保障支出</w:t>
      </w:r>
      <w:r>
        <w:rPr>
          <w:rFonts w:ascii="仿宋_GB2312" w:eastAsia="仿宋_GB2312" w:cs="仿宋_GB2312"/>
          <w:color w:val="auto"/>
          <w:sz w:val="32"/>
          <w:szCs w:val="32"/>
        </w:rPr>
        <w:t>2.19</w:t>
      </w:r>
      <w:r>
        <w:rPr>
          <w:rFonts w:hint="eastAsia" w:ascii="仿宋_GB2312" w:hAnsi="宋体" w:eastAsia="仿宋_GB2312" w:cs="仿宋_GB2312"/>
          <w:color w:val="auto"/>
          <w:sz w:val="32"/>
          <w:szCs w:val="32"/>
          <w:u w:color="000000"/>
        </w:rPr>
        <w:t>万元。具体预算支出详见附件</w:t>
      </w:r>
      <w:r>
        <w:rPr>
          <w:rFonts w:ascii="仿宋_GB2312" w:hAnsi="宋体" w:eastAsia="仿宋_GB2312" w:cs="仿宋_GB2312"/>
          <w:color w:val="auto"/>
          <w:sz w:val="32"/>
          <w:szCs w:val="32"/>
          <w:u w:color="000000"/>
        </w:rPr>
        <w:t>2</w:t>
      </w:r>
      <w:r>
        <w:rPr>
          <w:rFonts w:hint="eastAsia" w:ascii="仿宋_GB2312" w:hAnsi="宋体" w:eastAsia="仿宋_GB2312" w:cs="仿宋_GB2312"/>
          <w:color w:val="auto"/>
          <w:sz w:val="32"/>
          <w:szCs w:val="32"/>
          <w:u w:color="000000"/>
        </w:rPr>
        <w:t>。</w:t>
      </w:r>
    </w:p>
    <w:p w14:paraId="20098756">
      <w:pPr>
        <w:spacing w:after="0" w:line="360" w:lineRule="auto"/>
        <w:ind w:firstLine="640" w:firstLineChars="200"/>
        <w:jc w:val="both"/>
        <w:rPr>
          <w:rFonts w:ascii="仿宋_GB2312" w:hAnsi="宋体" w:eastAsia="仿宋_GB2312"/>
          <w:color w:val="auto"/>
          <w:sz w:val="32"/>
          <w:szCs w:val="32"/>
          <w:u w:color="000000"/>
        </w:rPr>
      </w:pPr>
      <w:r>
        <w:rPr>
          <w:rFonts w:ascii="仿宋_GB2312" w:eastAsia="仿宋_GB2312" w:cs="仿宋_GB2312"/>
          <w:color w:val="auto"/>
          <w:sz w:val="32"/>
          <w:szCs w:val="32"/>
        </w:rPr>
        <w:t>2019</w:t>
      </w:r>
      <w:r>
        <w:rPr>
          <w:rFonts w:hint="eastAsia" w:ascii="仿宋_GB2312" w:eastAsia="仿宋_GB2312" w:cs="仿宋_GB2312"/>
          <w:color w:val="auto"/>
          <w:sz w:val="32"/>
          <w:szCs w:val="32"/>
        </w:rPr>
        <w:t>年度区总工会单位</w:t>
      </w:r>
      <w:r>
        <w:rPr>
          <w:rFonts w:hint="eastAsia" w:ascii="仿宋_GB2312" w:hAnsi="宋体" w:eastAsia="仿宋_GB2312" w:cs="仿宋_GB2312"/>
          <w:color w:val="auto"/>
          <w:sz w:val="32"/>
          <w:szCs w:val="32"/>
          <w:u w:color="000000"/>
        </w:rPr>
        <w:t>决算支出为</w:t>
      </w:r>
      <w:r>
        <w:rPr>
          <w:rFonts w:ascii="仿宋_GB2312" w:hAnsi="宋体" w:eastAsia="仿宋_GB2312" w:cs="仿宋_GB2312"/>
          <w:color w:val="auto"/>
          <w:sz w:val="32"/>
          <w:szCs w:val="32"/>
          <w:u w:color="000000"/>
        </w:rPr>
        <w:t>172.38</w:t>
      </w:r>
      <w:r>
        <w:rPr>
          <w:rFonts w:hint="eastAsia" w:ascii="仿宋_GB2312" w:hAnsi="宋体" w:eastAsia="仿宋_GB2312" w:cs="仿宋_GB2312"/>
          <w:color w:val="auto"/>
          <w:sz w:val="32"/>
          <w:szCs w:val="32"/>
          <w:u w:color="000000"/>
        </w:rPr>
        <w:t>万元，其中：基本支出</w:t>
      </w:r>
      <w:r>
        <w:rPr>
          <w:rFonts w:ascii="仿宋_GB2312" w:hAnsi="宋体" w:eastAsia="仿宋_GB2312" w:cs="仿宋_GB2312"/>
          <w:color w:val="auto"/>
          <w:sz w:val="32"/>
          <w:szCs w:val="32"/>
          <w:u w:color="000000"/>
        </w:rPr>
        <w:t>162.49</w:t>
      </w:r>
      <w:r>
        <w:rPr>
          <w:rFonts w:hint="eastAsia" w:ascii="仿宋_GB2312" w:hAnsi="宋体" w:eastAsia="仿宋_GB2312" w:cs="仿宋_GB2312"/>
          <w:color w:val="auto"/>
          <w:sz w:val="32"/>
          <w:szCs w:val="32"/>
          <w:u w:color="000000"/>
        </w:rPr>
        <w:t>万元，项目支出</w:t>
      </w:r>
      <w:r>
        <w:rPr>
          <w:rFonts w:ascii="仿宋_GB2312" w:hAnsi="宋体" w:eastAsia="仿宋_GB2312" w:cs="仿宋_GB2312"/>
          <w:color w:val="auto"/>
          <w:sz w:val="32"/>
          <w:szCs w:val="32"/>
          <w:u w:color="000000"/>
        </w:rPr>
        <w:t>9.89</w:t>
      </w:r>
      <w:r>
        <w:rPr>
          <w:rFonts w:hint="eastAsia" w:ascii="仿宋_GB2312" w:hAnsi="宋体" w:eastAsia="仿宋_GB2312" w:cs="仿宋_GB2312"/>
          <w:color w:val="auto"/>
          <w:sz w:val="32"/>
          <w:szCs w:val="32"/>
          <w:u w:color="000000"/>
        </w:rPr>
        <w:t>万元。决算支出按功能分类包含：</w:t>
      </w:r>
      <w:r>
        <w:rPr>
          <w:rFonts w:hint="eastAsia" w:ascii="仿宋_GB2312" w:eastAsia="仿宋_GB2312" w:cs="仿宋_GB2312"/>
          <w:color w:val="auto"/>
          <w:sz w:val="32"/>
          <w:szCs w:val="32"/>
        </w:rPr>
        <w:t>一般公共服务支出</w:t>
      </w:r>
      <w:r>
        <w:rPr>
          <w:rFonts w:ascii="仿宋_GB2312" w:hAnsi="宋体" w:eastAsia="仿宋_GB2312" w:cs="仿宋_GB2312"/>
          <w:color w:val="auto"/>
          <w:sz w:val="32"/>
          <w:szCs w:val="32"/>
          <w:u w:color="000000"/>
        </w:rPr>
        <w:t>128.97</w:t>
      </w:r>
      <w:r>
        <w:rPr>
          <w:rFonts w:hint="eastAsia" w:ascii="仿宋_GB2312" w:hAnsi="宋体" w:eastAsia="仿宋_GB2312" w:cs="仿宋_GB2312"/>
          <w:color w:val="auto"/>
          <w:sz w:val="32"/>
          <w:szCs w:val="32"/>
          <w:u w:color="000000"/>
        </w:rPr>
        <w:t>万元，占比</w:t>
      </w:r>
      <w:r>
        <w:rPr>
          <w:rFonts w:ascii="仿宋_GB2312" w:hAnsi="宋体" w:eastAsia="仿宋_GB2312" w:cs="仿宋_GB2312"/>
          <w:color w:val="auto"/>
          <w:sz w:val="32"/>
          <w:szCs w:val="32"/>
          <w:u w:color="000000"/>
        </w:rPr>
        <w:t>82.68%</w:t>
      </w:r>
      <w:r>
        <w:rPr>
          <w:rFonts w:hint="eastAsia" w:ascii="仿宋_GB2312" w:hAnsi="宋体" w:eastAsia="仿宋_GB2312" w:cs="仿宋_GB2312"/>
          <w:color w:val="auto"/>
          <w:sz w:val="32"/>
          <w:szCs w:val="32"/>
          <w:u w:color="000000"/>
        </w:rPr>
        <w:t>；社会保障和就业支出</w:t>
      </w:r>
      <w:r>
        <w:rPr>
          <w:rFonts w:ascii="仿宋_GB2312" w:hAnsi="宋体" w:eastAsia="仿宋_GB2312" w:cs="仿宋_GB2312"/>
          <w:color w:val="auto"/>
          <w:sz w:val="32"/>
          <w:szCs w:val="32"/>
          <w:u w:color="000000"/>
        </w:rPr>
        <w:t>39.62</w:t>
      </w:r>
      <w:r>
        <w:rPr>
          <w:rFonts w:hint="eastAsia" w:ascii="仿宋_GB2312" w:hAnsi="宋体" w:eastAsia="仿宋_GB2312" w:cs="仿宋_GB2312"/>
          <w:color w:val="auto"/>
          <w:sz w:val="32"/>
          <w:szCs w:val="32"/>
          <w:u w:color="000000"/>
        </w:rPr>
        <w:t>万元，占比</w:t>
      </w:r>
      <w:r>
        <w:rPr>
          <w:rFonts w:ascii="仿宋_GB2312" w:hAnsi="宋体" w:eastAsia="仿宋_GB2312" w:cs="仿宋_GB2312"/>
          <w:color w:val="auto"/>
          <w:sz w:val="32"/>
          <w:szCs w:val="32"/>
          <w:u w:color="000000"/>
        </w:rPr>
        <w:t>233.42%</w:t>
      </w:r>
      <w:r>
        <w:rPr>
          <w:rFonts w:hint="eastAsia" w:ascii="仿宋_GB2312" w:hAnsi="宋体" w:eastAsia="仿宋_GB2312" w:cs="仿宋_GB2312"/>
          <w:color w:val="auto"/>
          <w:sz w:val="32"/>
          <w:szCs w:val="32"/>
          <w:u w:color="000000"/>
        </w:rPr>
        <w:t>；医疗卫生与计划教育支出</w:t>
      </w:r>
      <w:r>
        <w:rPr>
          <w:rFonts w:ascii="仿宋_GB2312" w:hAnsi="宋体" w:eastAsia="仿宋_GB2312" w:cs="仿宋_GB2312"/>
          <w:color w:val="auto"/>
          <w:sz w:val="32"/>
          <w:szCs w:val="32"/>
          <w:u w:color="000000"/>
        </w:rPr>
        <w:t>1.60</w:t>
      </w:r>
      <w:r>
        <w:rPr>
          <w:rFonts w:hint="eastAsia" w:ascii="仿宋_GB2312" w:hAnsi="宋体" w:eastAsia="仿宋_GB2312" w:cs="仿宋_GB2312"/>
          <w:color w:val="auto"/>
          <w:sz w:val="32"/>
          <w:szCs w:val="32"/>
          <w:u w:color="000000"/>
        </w:rPr>
        <w:t>万元，占比</w:t>
      </w:r>
      <w:r>
        <w:rPr>
          <w:rFonts w:ascii="仿宋_GB2312" w:hAnsi="宋体" w:eastAsia="仿宋_GB2312" w:cs="仿宋_GB2312"/>
          <w:color w:val="auto"/>
          <w:sz w:val="32"/>
          <w:szCs w:val="32"/>
          <w:u w:color="000000"/>
        </w:rPr>
        <w:t>31.91%</w:t>
      </w:r>
      <w:r>
        <w:rPr>
          <w:rFonts w:hint="eastAsia" w:ascii="仿宋_GB2312" w:hAnsi="宋体" w:eastAsia="仿宋_GB2312" w:cs="仿宋_GB2312"/>
          <w:color w:val="auto"/>
          <w:sz w:val="32"/>
          <w:szCs w:val="32"/>
          <w:u w:color="000000"/>
        </w:rPr>
        <w:t>；住房保障支出</w:t>
      </w:r>
      <w:r>
        <w:rPr>
          <w:rFonts w:ascii="仿宋_GB2312" w:eastAsia="仿宋_GB2312" w:cs="仿宋_GB2312"/>
          <w:color w:val="auto"/>
          <w:sz w:val="32"/>
          <w:szCs w:val="32"/>
        </w:rPr>
        <w:t>2.19</w:t>
      </w:r>
      <w:r>
        <w:rPr>
          <w:rFonts w:hint="eastAsia" w:ascii="仿宋_GB2312" w:hAnsi="宋体" w:eastAsia="仿宋_GB2312" w:cs="仿宋_GB2312"/>
          <w:color w:val="auto"/>
          <w:sz w:val="32"/>
          <w:szCs w:val="32"/>
          <w:u w:color="000000"/>
        </w:rPr>
        <w:t>万元，占比</w:t>
      </w:r>
      <w:r>
        <w:rPr>
          <w:rFonts w:ascii="仿宋_GB2312" w:hAnsi="宋体" w:eastAsia="仿宋_GB2312" w:cs="仿宋_GB2312"/>
          <w:color w:val="auto"/>
          <w:sz w:val="32"/>
          <w:szCs w:val="32"/>
          <w:u w:color="000000"/>
        </w:rPr>
        <w:t>100%</w:t>
      </w:r>
      <w:r>
        <w:rPr>
          <w:rFonts w:hint="eastAsia" w:ascii="仿宋_GB2312" w:hAnsi="宋体" w:eastAsia="仿宋_GB2312" w:cs="仿宋_GB2312"/>
          <w:color w:val="auto"/>
          <w:sz w:val="32"/>
          <w:szCs w:val="32"/>
          <w:u w:color="000000"/>
        </w:rPr>
        <w:t>。具体决算支出详见附件</w:t>
      </w:r>
      <w:r>
        <w:rPr>
          <w:rFonts w:ascii="仿宋_GB2312" w:hAnsi="宋体" w:eastAsia="仿宋_GB2312" w:cs="仿宋_GB2312"/>
          <w:color w:val="auto"/>
          <w:sz w:val="32"/>
          <w:szCs w:val="32"/>
          <w:u w:color="000000"/>
        </w:rPr>
        <w:t>2</w:t>
      </w:r>
      <w:r>
        <w:rPr>
          <w:rFonts w:hint="eastAsia" w:ascii="仿宋_GB2312" w:hAnsi="宋体" w:eastAsia="仿宋_GB2312" w:cs="仿宋_GB2312"/>
          <w:color w:val="auto"/>
          <w:sz w:val="32"/>
          <w:szCs w:val="32"/>
          <w:u w:color="000000"/>
        </w:rPr>
        <w:t>。</w:t>
      </w:r>
    </w:p>
    <w:p w14:paraId="1407AFF7">
      <w:pPr>
        <w:spacing w:after="0" w:line="360" w:lineRule="auto"/>
        <w:ind w:firstLine="640" w:firstLineChars="200"/>
        <w:jc w:val="both"/>
        <w:rPr>
          <w:rFonts w:ascii="仿宋_GB2312" w:hAnsi="宋体" w:eastAsia="仿宋_GB2312"/>
          <w:color w:val="auto"/>
          <w:sz w:val="32"/>
          <w:szCs w:val="32"/>
          <w:u w:color="000000"/>
        </w:rPr>
      </w:pPr>
      <w:r>
        <w:rPr>
          <w:rFonts w:hint="eastAsia" w:ascii="仿宋_GB2312" w:hAnsi="宋体" w:eastAsia="仿宋_GB2312" w:cs="仿宋_GB2312"/>
          <w:color w:val="auto"/>
          <w:sz w:val="32"/>
          <w:szCs w:val="32"/>
          <w:u w:color="000000"/>
        </w:rPr>
        <w:t>决算支出结构如图</w:t>
      </w:r>
      <w:r>
        <w:rPr>
          <w:rFonts w:ascii="仿宋_GB2312" w:hAnsi="宋体" w:eastAsia="仿宋_GB2312" w:cs="仿宋_GB2312"/>
          <w:color w:val="auto"/>
          <w:sz w:val="32"/>
          <w:szCs w:val="32"/>
          <w:u w:color="000000"/>
        </w:rPr>
        <w:t>3</w:t>
      </w:r>
      <w:r>
        <w:rPr>
          <w:rFonts w:hint="eastAsia" w:ascii="仿宋_GB2312" w:hAnsi="宋体" w:eastAsia="仿宋_GB2312" w:cs="仿宋_GB2312"/>
          <w:color w:val="auto"/>
          <w:sz w:val="32"/>
          <w:szCs w:val="32"/>
          <w:u w:color="000000"/>
        </w:rPr>
        <w:t>。</w:t>
      </w:r>
    </w:p>
    <w:p w14:paraId="2FC0FAE7">
      <w:pPr>
        <w:spacing w:after="0" w:line="360" w:lineRule="auto"/>
        <w:jc w:val="center"/>
        <w:rPr>
          <w:rFonts w:ascii="仿宋_GB2312" w:hAnsi="宋体" w:eastAsia="仿宋_GB2312"/>
          <w:sz w:val="32"/>
          <w:szCs w:val="32"/>
          <w:u w:color="000000"/>
        </w:rPr>
      </w:pPr>
      <w:r>
        <w:rPr>
          <w:rFonts w:hint="eastAsia" w:ascii="宋体" w:hAnsi="宋体" w:eastAsia="宋体" w:cs="宋体"/>
          <w:b/>
          <w:bCs/>
          <w:sz w:val="32"/>
          <w:szCs w:val="32"/>
          <w:u w:color="000000"/>
        </w:rPr>
        <w:t>图</w:t>
      </w:r>
      <w:r>
        <w:rPr>
          <w:rFonts w:ascii="宋体" w:hAnsi="宋体" w:eastAsia="宋体" w:cs="宋体"/>
          <w:b/>
          <w:bCs/>
          <w:sz w:val="32"/>
          <w:szCs w:val="32"/>
          <w:u w:color="000000"/>
        </w:rPr>
        <w:t xml:space="preserve">3  </w:t>
      </w:r>
      <w:r>
        <w:rPr>
          <w:rFonts w:ascii="仿宋_GB2312" w:eastAsia="仿宋_GB2312" w:cs="仿宋_GB2312"/>
          <w:sz w:val="32"/>
          <w:szCs w:val="32"/>
        </w:rPr>
        <w:t>2019</w:t>
      </w:r>
      <w:r>
        <w:rPr>
          <w:rFonts w:hint="eastAsia" w:ascii="仿宋_GB2312" w:eastAsia="仿宋_GB2312" w:cs="仿宋_GB2312"/>
          <w:sz w:val="32"/>
          <w:szCs w:val="32"/>
        </w:rPr>
        <w:t>年度区总工会单位</w:t>
      </w:r>
      <w:r>
        <w:rPr>
          <w:rFonts w:hint="eastAsia" w:ascii="宋体" w:hAnsi="宋体" w:eastAsia="宋体" w:cs="宋体"/>
          <w:b/>
          <w:bCs/>
          <w:sz w:val="32"/>
          <w:szCs w:val="32"/>
          <w:u w:color="000000"/>
        </w:rPr>
        <w:t>决算支出结构图</w:t>
      </w:r>
    </w:p>
    <w:p w14:paraId="6A9A80D4">
      <w:pPr>
        <w:spacing w:after="0" w:line="360" w:lineRule="auto"/>
        <w:ind w:firstLine="440" w:firstLineChars="200"/>
        <w:jc w:val="both"/>
        <w:rPr>
          <w:rFonts w:ascii="仿宋" w:hAnsi="仿宋" w:eastAsia="仿宋"/>
          <w:snapToGrid w:val="0"/>
          <w:sz w:val="32"/>
          <w:szCs w:val="32"/>
        </w:rPr>
      </w:pPr>
      <w:r>
        <w:pict>
          <v:shape id="_x0000_s1028" o:spid="_x0000_s1028" o:spt="75" type="#_x0000_t75" style="position:absolute;left:0pt;margin-left:10.35pt;margin-top:8.1pt;height:220.3pt;width:394.55pt;mso-wrap-distance-bottom:0pt;mso-wrap-distance-left:7.1pt;mso-wrap-distance-right:7.1pt;mso-wrap-distance-top:0pt;z-index:251661312;mso-width-relative:page;mso-height-relative:page;" filled="f" o:preferrelative="t" stroked="f" coordsize="21600,21600">
            <v:path/>
            <v:fill on="f" focussize="0,0"/>
            <v:stroke on="f" joinstyle="miter"/>
            <v:imagedata r:id="rId9" o:title=""/>
            <o:lock v:ext="edit" aspectratio="t"/>
            <w10:wrap type="square"/>
          </v:shape>
        </w:pict>
      </w:r>
      <w:r>
        <w:rPr>
          <w:rFonts w:hint="eastAsia" w:ascii="仿宋_GB2312" w:eastAsia="仿宋_GB2312" w:cs="仿宋_GB2312"/>
          <w:sz w:val="32"/>
          <w:szCs w:val="32"/>
        </w:rPr>
        <w:t>财政拨款决算支出比年初预算减少</w:t>
      </w:r>
      <w:r>
        <w:rPr>
          <w:rFonts w:ascii="仿宋_GB2312" w:eastAsia="仿宋_GB2312" w:cs="仿宋_GB2312"/>
          <w:sz w:val="32"/>
          <w:szCs w:val="32"/>
        </w:rPr>
        <w:t>7.81</w:t>
      </w:r>
      <w:r>
        <w:rPr>
          <w:rFonts w:hint="eastAsia" w:ascii="仿宋_GB2312" w:eastAsia="仿宋_GB2312" w:cs="仿宋_GB2312"/>
          <w:sz w:val="32"/>
          <w:szCs w:val="32"/>
        </w:rPr>
        <w:t>万元。决算支出</w:t>
      </w:r>
      <w:r>
        <w:rPr>
          <w:rFonts w:hint="eastAsia" w:ascii="仿宋" w:hAnsi="仿宋" w:eastAsia="仿宋" w:cs="仿宋"/>
          <w:snapToGrid w:val="0"/>
          <w:sz w:val="32"/>
          <w:szCs w:val="32"/>
        </w:rPr>
        <w:t>预算支出与决算支出对比情况如图</w:t>
      </w:r>
      <w:r>
        <w:rPr>
          <w:rFonts w:ascii="仿宋" w:hAnsi="仿宋" w:eastAsia="仿宋" w:cs="仿宋"/>
          <w:snapToGrid w:val="0"/>
          <w:sz w:val="32"/>
          <w:szCs w:val="32"/>
        </w:rPr>
        <w:t>4</w:t>
      </w:r>
      <w:r>
        <w:rPr>
          <w:rFonts w:hint="eastAsia" w:ascii="仿宋" w:hAnsi="仿宋" w:eastAsia="仿宋" w:cs="仿宋"/>
          <w:snapToGrid w:val="0"/>
          <w:sz w:val="32"/>
          <w:szCs w:val="32"/>
        </w:rPr>
        <w:t>。</w:t>
      </w:r>
    </w:p>
    <w:p w14:paraId="36147A93">
      <w:pPr>
        <w:spacing w:after="0" w:line="360" w:lineRule="auto"/>
        <w:jc w:val="center"/>
        <w:rPr>
          <w:rFonts w:ascii="仿宋_GB2312" w:eastAsia="仿宋_GB2312"/>
          <w:sz w:val="32"/>
          <w:szCs w:val="32"/>
        </w:rPr>
      </w:pPr>
      <w:r>
        <w:pict>
          <v:shape id="_x0000_s1029" o:spid="_x0000_s1029" o:spt="75" type="#_x0000_t75" style="position:absolute;left:0pt;margin-left:10.4pt;margin-top:38.85pt;height:214.55pt;width:403.2pt;mso-wrap-distance-bottom:0pt;mso-wrap-distance-left:9pt;mso-wrap-distance-right:9pt;mso-wrap-distance-top:0pt;z-index:251662336;mso-width-relative:page;mso-height-relative:page;" filled="f" o:preferrelative="t" stroked="f" coordsize="21600,21600">
            <v:path/>
            <v:fill on="f" focussize="0,0"/>
            <v:stroke on="f" joinstyle="miter"/>
            <v:imagedata r:id="rId10" o:title=""/>
            <o:lock v:ext="edit" aspectratio="t"/>
            <w10:wrap type="square"/>
          </v:shape>
        </w:pict>
      </w:r>
      <w:r>
        <w:rPr>
          <w:rFonts w:hint="eastAsia" w:ascii="宋体" w:hAnsi="宋体" w:eastAsia="宋体" w:cs="宋体"/>
          <w:b/>
          <w:bCs/>
          <w:sz w:val="32"/>
          <w:szCs w:val="32"/>
        </w:rPr>
        <w:t>图</w:t>
      </w:r>
      <w:r>
        <w:rPr>
          <w:rFonts w:ascii="宋体" w:hAnsi="宋体" w:eastAsia="宋体" w:cs="宋体"/>
          <w:b/>
          <w:bCs/>
          <w:sz w:val="32"/>
          <w:szCs w:val="32"/>
        </w:rPr>
        <w:t xml:space="preserve">4  </w:t>
      </w:r>
      <w:r>
        <w:rPr>
          <w:rFonts w:ascii="仿宋_GB2312" w:eastAsia="仿宋_GB2312" w:cs="仿宋_GB2312"/>
          <w:sz w:val="32"/>
          <w:szCs w:val="32"/>
        </w:rPr>
        <w:t>2019</w:t>
      </w:r>
      <w:r>
        <w:rPr>
          <w:rFonts w:hint="eastAsia" w:ascii="仿宋_GB2312" w:eastAsia="仿宋_GB2312" w:cs="仿宋_GB2312"/>
          <w:sz w:val="32"/>
          <w:szCs w:val="32"/>
        </w:rPr>
        <w:t>年度区总工会单位</w:t>
      </w:r>
      <w:r>
        <w:rPr>
          <w:rFonts w:hint="eastAsia" w:ascii="宋体" w:hAnsi="宋体" w:eastAsia="宋体" w:cs="宋体"/>
          <w:b/>
          <w:bCs/>
          <w:sz w:val="32"/>
          <w:szCs w:val="32"/>
        </w:rPr>
        <w:t>预算支出与决算支出对比图</w:t>
      </w:r>
    </w:p>
    <w:p w14:paraId="263CBD0A">
      <w:pPr>
        <w:pStyle w:val="3"/>
        <w:spacing w:before="0" w:after="0" w:line="360" w:lineRule="auto"/>
        <w:ind w:firstLine="643" w:firstLineChars="200"/>
        <w:rPr>
          <w:rFonts w:ascii="黑体" w:hAnsi="宋体" w:cs="Tahoma"/>
          <w:u w:color="000000"/>
        </w:rPr>
      </w:pPr>
      <w:bookmarkStart w:id="13" w:name="_Toc20454"/>
      <w:bookmarkStart w:id="14" w:name="_Toc492652770"/>
      <w:bookmarkStart w:id="15" w:name="_Toc465149504"/>
      <w:r>
        <w:rPr>
          <w:rFonts w:hint="eastAsia" w:ascii="黑体" w:cs="黑体"/>
        </w:rPr>
        <w:t>二、部门整体支出绩效评价指标体系设定情况</w:t>
      </w:r>
      <w:bookmarkEnd w:id="13"/>
      <w:bookmarkEnd w:id="14"/>
    </w:p>
    <w:p w14:paraId="63660ADB">
      <w:pPr>
        <w:spacing w:after="0" w:line="360" w:lineRule="auto"/>
        <w:ind w:firstLine="640" w:firstLineChars="200"/>
        <w:jc w:val="both"/>
        <w:rPr>
          <w:rFonts w:ascii="仿宋_GB2312" w:eastAsia="仿宋_GB2312"/>
          <w:sz w:val="32"/>
          <w:szCs w:val="32"/>
        </w:rPr>
      </w:pPr>
      <w:r>
        <w:rPr>
          <w:rFonts w:hint="eastAsia" w:ascii="仿宋_GB2312" w:eastAsia="仿宋_GB2312" w:cs="仿宋_GB2312"/>
          <w:sz w:val="32"/>
          <w:szCs w:val="32"/>
        </w:rPr>
        <w:t>根据绩效预算管理改革的有关政策和文件规定，并与区总工会沟通，绩效评价工作组以绩效预算架构为指导，以部门预算文本及相关资料为基础，制定了部门整体支出绩效评价指标体系。</w:t>
      </w:r>
    </w:p>
    <w:p w14:paraId="133269A7">
      <w:pPr>
        <w:spacing w:after="0" w:line="360" w:lineRule="auto"/>
        <w:ind w:firstLine="640" w:firstLineChars="200"/>
        <w:jc w:val="both"/>
        <w:rPr>
          <w:rFonts w:ascii="仿宋_GB2312" w:eastAsia="仿宋_GB2312"/>
          <w:sz w:val="32"/>
          <w:szCs w:val="32"/>
        </w:rPr>
      </w:pPr>
      <w:r>
        <w:rPr>
          <w:rFonts w:hint="eastAsia" w:ascii="仿宋_GB2312" w:eastAsia="仿宋_GB2312" w:cs="仿宋_GB2312"/>
          <w:sz w:val="32"/>
          <w:szCs w:val="32"/>
        </w:rPr>
        <w:t>部门整体支出绩效评价指标体系设置一级指标</w:t>
      </w:r>
      <w:r>
        <w:rPr>
          <w:rFonts w:ascii="仿宋_GB2312" w:eastAsia="仿宋_GB2312" w:cs="仿宋_GB2312"/>
          <w:sz w:val="32"/>
          <w:szCs w:val="32"/>
        </w:rPr>
        <w:t>4</w:t>
      </w:r>
      <w:r>
        <w:rPr>
          <w:rFonts w:hint="eastAsia" w:ascii="仿宋_GB2312" w:eastAsia="仿宋_GB2312" w:cs="仿宋_GB2312"/>
          <w:sz w:val="32"/>
          <w:szCs w:val="32"/>
        </w:rPr>
        <w:t>个，二级指标</w:t>
      </w:r>
      <w:r>
        <w:rPr>
          <w:rFonts w:ascii="仿宋_GB2312" w:eastAsia="仿宋_GB2312" w:cs="仿宋_GB2312"/>
          <w:sz w:val="32"/>
          <w:szCs w:val="32"/>
        </w:rPr>
        <w:t>7</w:t>
      </w:r>
      <w:r>
        <w:rPr>
          <w:rFonts w:hint="eastAsia" w:ascii="仿宋_GB2312" w:eastAsia="仿宋_GB2312" w:cs="仿宋_GB2312"/>
          <w:sz w:val="32"/>
          <w:szCs w:val="32"/>
        </w:rPr>
        <w:t>个，三级指标</w:t>
      </w:r>
      <w:r>
        <w:rPr>
          <w:rFonts w:ascii="仿宋_GB2312" w:eastAsia="仿宋_GB2312" w:cs="仿宋_GB2312"/>
          <w:sz w:val="32"/>
          <w:szCs w:val="32"/>
        </w:rPr>
        <w:t>27</w:t>
      </w:r>
      <w:r>
        <w:rPr>
          <w:rFonts w:hint="eastAsia" w:ascii="仿宋_GB2312" w:eastAsia="仿宋_GB2312" w:cs="仿宋_GB2312"/>
          <w:sz w:val="32"/>
          <w:szCs w:val="32"/>
        </w:rPr>
        <w:t>个（详见附件</w:t>
      </w:r>
      <w:r>
        <w:rPr>
          <w:rFonts w:ascii="仿宋_GB2312" w:eastAsia="仿宋_GB2312" w:cs="仿宋_GB2312"/>
          <w:sz w:val="32"/>
          <w:szCs w:val="32"/>
        </w:rPr>
        <w:t>3</w:t>
      </w:r>
      <w:r>
        <w:rPr>
          <w:rFonts w:hint="eastAsia" w:ascii="仿宋_GB2312" w:eastAsia="仿宋_GB2312" w:cs="仿宋_GB2312"/>
          <w:sz w:val="32"/>
          <w:szCs w:val="32"/>
        </w:rPr>
        <w:t>）。指标体系设定满分</w:t>
      </w:r>
      <w:r>
        <w:rPr>
          <w:rFonts w:ascii="仿宋_GB2312" w:eastAsia="仿宋_GB2312" w:cs="仿宋_GB2312"/>
          <w:sz w:val="32"/>
          <w:szCs w:val="32"/>
        </w:rPr>
        <w:t>100</w:t>
      </w:r>
      <w:r>
        <w:rPr>
          <w:rFonts w:hint="eastAsia" w:ascii="仿宋_GB2312" w:eastAsia="仿宋_GB2312" w:cs="仿宋_GB2312"/>
          <w:sz w:val="32"/>
          <w:szCs w:val="32"/>
        </w:rPr>
        <w:t>分，绩效评价分值≥</w:t>
      </w:r>
      <w:r>
        <w:rPr>
          <w:rFonts w:ascii="仿宋_GB2312" w:eastAsia="仿宋_GB2312" w:cs="仿宋_GB2312"/>
          <w:sz w:val="32"/>
          <w:szCs w:val="32"/>
        </w:rPr>
        <w:t>90</w:t>
      </w:r>
      <w:r>
        <w:rPr>
          <w:rFonts w:hint="eastAsia" w:ascii="仿宋_GB2312" w:eastAsia="仿宋_GB2312" w:cs="仿宋_GB2312"/>
          <w:sz w:val="32"/>
          <w:szCs w:val="32"/>
        </w:rPr>
        <w:t>为“优”；</w:t>
      </w:r>
      <w:r>
        <w:rPr>
          <w:rFonts w:ascii="仿宋_GB2312" w:eastAsia="仿宋_GB2312" w:cs="仿宋_GB2312"/>
          <w:sz w:val="32"/>
          <w:szCs w:val="32"/>
        </w:rPr>
        <w:t>80</w:t>
      </w:r>
      <w:r>
        <w:rPr>
          <w:rFonts w:hint="eastAsia" w:ascii="仿宋_GB2312" w:eastAsia="仿宋_GB2312" w:cs="仿宋_GB2312"/>
          <w:sz w:val="32"/>
          <w:szCs w:val="32"/>
        </w:rPr>
        <w:t>≤分值＜</w:t>
      </w:r>
      <w:r>
        <w:rPr>
          <w:rFonts w:ascii="仿宋_GB2312" w:eastAsia="仿宋_GB2312" w:cs="仿宋_GB2312"/>
          <w:sz w:val="32"/>
          <w:szCs w:val="32"/>
        </w:rPr>
        <w:t>90</w:t>
      </w:r>
      <w:r>
        <w:rPr>
          <w:rFonts w:hint="eastAsia" w:ascii="仿宋_GB2312" w:eastAsia="仿宋_GB2312" w:cs="仿宋_GB2312"/>
          <w:sz w:val="32"/>
          <w:szCs w:val="32"/>
        </w:rPr>
        <w:t>为“良”；</w:t>
      </w:r>
      <w:r>
        <w:rPr>
          <w:rFonts w:ascii="仿宋_GB2312" w:eastAsia="仿宋_GB2312" w:cs="仿宋_GB2312"/>
          <w:sz w:val="32"/>
          <w:szCs w:val="32"/>
        </w:rPr>
        <w:t>60</w:t>
      </w:r>
      <w:r>
        <w:rPr>
          <w:rFonts w:hint="eastAsia" w:ascii="仿宋_GB2312" w:eastAsia="仿宋_GB2312" w:cs="仿宋_GB2312"/>
          <w:sz w:val="32"/>
          <w:szCs w:val="32"/>
        </w:rPr>
        <w:t>≤分值＜</w:t>
      </w:r>
      <w:r>
        <w:rPr>
          <w:rFonts w:ascii="仿宋_GB2312" w:eastAsia="仿宋_GB2312" w:cs="仿宋_GB2312"/>
          <w:sz w:val="32"/>
          <w:szCs w:val="32"/>
        </w:rPr>
        <w:t>80</w:t>
      </w:r>
      <w:r>
        <w:rPr>
          <w:rFonts w:hint="eastAsia" w:ascii="仿宋_GB2312" w:eastAsia="仿宋_GB2312" w:cs="仿宋_GB2312"/>
          <w:sz w:val="32"/>
          <w:szCs w:val="32"/>
        </w:rPr>
        <w:t>为“中”；</w:t>
      </w:r>
      <w:r>
        <w:rPr>
          <w:rFonts w:ascii="仿宋_GB2312" w:eastAsia="仿宋_GB2312" w:cs="仿宋_GB2312"/>
          <w:sz w:val="32"/>
          <w:szCs w:val="32"/>
        </w:rPr>
        <w:t>60</w:t>
      </w:r>
      <w:r>
        <w:rPr>
          <w:rFonts w:hint="eastAsia" w:ascii="仿宋_GB2312" w:eastAsia="仿宋_GB2312" w:cs="仿宋_GB2312"/>
          <w:sz w:val="32"/>
          <w:szCs w:val="32"/>
        </w:rPr>
        <w:t>分以下为“差”。评价指标体系具体构成如下：</w:t>
      </w:r>
      <w:bookmarkStart w:id="16" w:name="_Toc9569"/>
      <w:bookmarkStart w:id="17" w:name="_Toc492652771"/>
    </w:p>
    <w:p w14:paraId="4238CE6F">
      <w:pPr>
        <w:spacing w:after="0" w:line="360" w:lineRule="auto"/>
        <w:ind w:firstLine="643" w:firstLineChars="200"/>
        <w:jc w:val="both"/>
        <w:rPr>
          <w:rFonts w:ascii="楷体_GB2312" w:hAnsi="宋体" w:eastAsia="楷体_GB2312"/>
          <w:b/>
          <w:bCs/>
          <w:kern w:val="2"/>
          <w:sz w:val="32"/>
          <w:szCs w:val="32"/>
          <w:u w:color="000000"/>
        </w:rPr>
      </w:pPr>
      <w:r>
        <w:rPr>
          <w:rFonts w:hint="eastAsia" w:ascii="楷体_GB2312" w:hAnsi="宋体" w:eastAsia="楷体_GB2312" w:cs="楷体_GB2312"/>
          <w:b/>
          <w:bCs/>
          <w:kern w:val="2"/>
          <w:sz w:val="32"/>
          <w:szCs w:val="32"/>
          <w:u w:color="000000"/>
        </w:rPr>
        <w:t>（一）投入（</w:t>
      </w:r>
      <w:r>
        <w:rPr>
          <w:rFonts w:ascii="楷体_GB2312" w:hAnsi="宋体" w:eastAsia="楷体_GB2312" w:cs="楷体_GB2312"/>
          <w:b/>
          <w:bCs/>
          <w:kern w:val="2"/>
          <w:sz w:val="32"/>
          <w:szCs w:val="32"/>
          <w:u w:color="000000"/>
        </w:rPr>
        <w:t>12</w:t>
      </w:r>
      <w:r>
        <w:rPr>
          <w:rFonts w:hint="eastAsia" w:ascii="楷体_GB2312" w:hAnsi="宋体" w:eastAsia="楷体_GB2312" w:cs="楷体_GB2312"/>
          <w:b/>
          <w:bCs/>
          <w:kern w:val="2"/>
          <w:sz w:val="32"/>
          <w:szCs w:val="32"/>
          <w:u w:color="000000"/>
        </w:rPr>
        <w:t>分）</w:t>
      </w:r>
      <w:bookmarkEnd w:id="16"/>
      <w:bookmarkEnd w:id="17"/>
    </w:p>
    <w:p w14:paraId="088E9132">
      <w:pPr>
        <w:spacing w:after="0" w:line="360" w:lineRule="auto"/>
        <w:ind w:firstLine="640" w:firstLineChars="200"/>
        <w:jc w:val="both"/>
        <w:rPr>
          <w:rFonts w:ascii="仿宋_GB2312" w:eastAsia="仿宋_GB2312"/>
          <w:sz w:val="32"/>
          <w:szCs w:val="32"/>
        </w:rPr>
      </w:pPr>
      <w:r>
        <w:rPr>
          <w:rFonts w:hint="eastAsia" w:ascii="仿宋_GB2312" w:eastAsia="仿宋_GB2312" w:cs="仿宋_GB2312"/>
          <w:sz w:val="32"/>
          <w:szCs w:val="32"/>
        </w:rPr>
        <w:t>主要反映绩效目标设定是否合理、科学，绩效指标的制定是否清晰、可衡量，预算编制是否完整，项目预算是否细化及在职人员控制情况。</w:t>
      </w:r>
    </w:p>
    <w:p w14:paraId="7132EA35">
      <w:pPr>
        <w:keepNext/>
        <w:widowControl w:val="0"/>
        <w:spacing w:after="0" w:line="360" w:lineRule="auto"/>
        <w:ind w:firstLine="640" w:firstLineChars="200"/>
        <w:jc w:val="both"/>
        <w:rPr>
          <w:rFonts w:ascii="仿宋_GB2312" w:eastAsia="仿宋_GB2312"/>
          <w:sz w:val="32"/>
          <w:szCs w:val="32"/>
        </w:rPr>
      </w:pPr>
      <w:r>
        <w:rPr>
          <w:rFonts w:hint="eastAsia" w:ascii="仿宋_GB2312" w:eastAsia="仿宋_GB2312" w:cs="仿宋_GB2312"/>
          <w:sz w:val="32"/>
          <w:szCs w:val="32"/>
        </w:rPr>
        <w:t>投入指标指标分值为</w:t>
      </w:r>
      <w:r>
        <w:rPr>
          <w:rFonts w:ascii="仿宋_GB2312" w:eastAsia="仿宋_GB2312" w:cs="仿宋_GB2312"/>
          <w:sz w:val="32"/>
          <w:szCs w:val="32"/>
        </w:rPr>
        <w:t>12</w:t>
      </w:r>
      <w:r>
        <w:rPr>
          <w:rFonts w:hint="eastAsia" w:ascii="仿宋_GB2312" w:eastAsia="仿宋_GB2312" w:cs="仿宋_GB2312"/>
          <w:sz w:val="32"/>
          <w:szCs w:val="32"/>
        </w:rPr>
        <w:t>分，下设</w:t>
      </w:r>
      <w:r>
        <w:rPr>
          <w:rFonts w:ascii="仿宋_GB2312" w:eastAsia="仿宋_GB2312" w:cs="仿宋_GB2312"/>
          <w:sz w:val="32"/>
          <w:szCs w:val="32"/>
        </w:rPr>
        <w:t>2</w:t>
      </w:r>
      <w:r>
        <w:rPr>
          <w:rFonts w:hint="eastAsia" w:ascii="仿宋_GB2312" w:eastAsia="仿宋_GB2312" w:cs="仿宋_GB2312"/>
          <w:sz w:val="32"/>
          <w:szCs w:val="32"/>
        </w:rPr>
        <w:t>个二级指标：绩效目标设定和预算配置，</w:t>
      </w:r>
      <w:r>
        <w:rPr>
          <w:rFonts w:ascii="仿宋_GB2312" w:eastAsia="仿宋_GB2312" w:cs="仿宋_GB2312"/>
          <w:sz w:val="32"/>
          <w:szCs w:val="32"/>
        </w:rPr>
        <w:t>6</w:t>
      </w:r>
      <w:r>
        <w:rPr>
          <w:rFonts w:hint="eastAsia" w:ascii="仿宋_GB2312" w:eastAsia="仿宋_GB2312" w:cs="仿宋_GB2312"/>
          <w:sz w:val="32"/>
          <w:szCs w:val="32"/>
        </w:rPr>
        <w:t>个三级指标：绩效目标合理性、绩效目标科学性、绩效指标明确性、预算编制完整性、项目预算细化率、在职人员控制率。</w:t>
      </w:r>
    </w:p>
    <w:p w14:paraId="320EB066">
      <w:pPr>
        <w:pStyle w:val="4"/>
        <w:spacing w:before="0" w:after="0"/>
        <w:ind w:firstLine="643" w:firstLineChars="200"/>
        <w:jc w:val="both"/>
        <w:rPr>
          <w:rFonts w:ascii="楷体" w:hAnsi="楷体" w:eastAsia="楷体" w:cs="Tahoma"/>
          <w:sz w:val="32"/>
          <w:szCs w:val="32"/>
        </w:rPr>
      </w:pPr>
      <w:bookmarkStart w:id="18" w:name="_Toc492652772"/>
      <w:bookmarkStart w:id="19" w:name="_Toc30221"/>
      <w:r>
        <w:rPr>
          <w:rFonts w:hint="eastAsia" w:ascii="楷体" w:hAnsi="楷体" w:eastAsia="楷体" w:cs="楷体"/>
          <w:kern w:val="2"/>
          <w:sz w:val="32"/>
          <w:szCs w:val="32"/>
        </w:rPr>
        <w:t>（二）过程（</w:t>
      </w:r>
      <w:r>
        <w:rPr>
          <w:rFonts w:ascii="楷体" w:hAnsi="楷体" w:eastAsia="楷体" w:cs="楷体"/>
          <w:kern w:val="2"/>
          <w:sz w:val="32"/>
          <w:szCs w:val="32"/>
        </w:rPr>
        <w:t>48</w:t>
      </w:r>
      <w:r>
        <w:rPr>
          <w:rFonts w:hint="eastAsia" w:ascii="楷体" w:hAnsi="楷体" w:eastAsia="楷体" w:cs="楷体"/>
          <w:kern w:val="2"/>
          <w:sz w:val="32"/>
          <w:szCs w:val="32"/>
        </w:rPr>
        <w:t>分）</w:t>
      </w:r>
      <w:bookmarkEnd w:id="18"/>
      <w:bookmarkEnd w:id="19"/>
    </w:p>
    <w:p w14:paraId="2B82359C">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主要反映预算调整、收入及支出完成情况，“三公”经费、政府采购执行情况，财务管理是否规范、资金使用是否合规，决算真实性。</w:t>
      </w:r>
    </w:p>
    <w:p w14:paraId="40C20CAF">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过程指标指标分值为</w:t>
      </w:r>
      <w:r>
        <w:rPr>
          <w:rFonts w:ascii="仿宋_GB2312" w:eastAsia="仿宋_GB2312" w:cs="仿宋_GB2312"/>
          <w:sz w:val="32"/>
          <w:szCs w:val="32"/>
        </w:rPr>
        <w:t>48</w:t>
      </w:r>
      <w:r>
        <w:rPr>
          <w:rFonts w:hint="eastAsia" w:ascii="仿宋_GB2312" w:eastAsia="仿宋_GB2312" w:cs="仿宋_GB2312"/>
          <w:sz w:val="32"/>
          <w:szCs w:val="32"/>
        </w:rPr>
        <w:t>分，下设</w:t>
      </w:r>
      <w:r>
        <w:rPr>
          <w:rFonts w:ascii="仿宋_GB2312" w:eastAsia="仿宋_GB2312" w:cs="仿宋_GB2312"/>
          <w:sz w:val="32"/>
          <w:szCs w:val="32"/>
        </w:rPr>
        <w:t>3</w:t>
      </w:r>
      <w:r>
        <w:rPr>
          <w:rFonts w:hint="eastAsia" w:ascii="仿宋_GB2312" w:eastAsia="仿宋_GB2312" w:cs="仿宋_GB2312"/>
          <w:sz w:val="32"/>
          <w:szCs w:val="32"/>
        </w:rPr>
        <w:t>个二级指标：预算执行、预算管理和绩效评价，</w:t>
      </w:r>
      <w:r>
        <w:rPr>
          <w:rFonts w:ascii="仿宋_GB2312" w:eastAsia="仿宋_GB2312" w:cs="仿宋_GB2312"/>
          <w:sz w:val="32"/>
          <w:szCs w:val="32"/>
        </w:rPr>
        <w:t>14</w:t>
      </w:r>
      <w:r>
        <w:rPr>
          <w:rFonts w:hint="eastAsia" w:ascii="仿宋_GB2312" w:eastAsia="仿宋_GB2312" w:cs="仿宋_GB2312"/>
          <w:sz w:val="32"/>
          <w:szCs w:val="32"/>
        </w:rPr>
        <w:t>个三级指标：预算收入调整率、收入完成率、预算支出调整率、财政拨款支出完成率、“三公”经费控制率、政府采购执行率、资金使用合规性、决算真实性、管理制度健全性、预决算信息公开性、基础信息完整性、资产管理规范性、绩效自评覆盖率、绩效评价优等率。</w:t>
      </w:r>
    </w:p>
    <w:p w14:paraId="158FF332">
      <w:pPr>
        <w:pStyle w:val="4"/>
        <w:spacing w:before="0" w:after="0"/>
        <w:ind w:firstLine="643" w:firstLineChars="200"/>
        <w:jc w:val="both"/>
        <w:rPr>
          <w:rFonts w:ascii="楷体" w:hAnsi="楷体" w:eastAsia="楷体" w:cs="Tahoma"/>
          <w:kern w:val="2"/>
          <w:sz w:val="32"/>
          <w:szCs w:val="32"/>
        </w:rPr>
      </w:pPr>
      <w:bookmarkStart w:id="20" w:name="_Toc24932"/>
      <w:bookmarkStart w:id="21" w:name="_Toc492652773"/>
      <w:r>
        <w:rPr>
          <w:rFonts w:hint="eastAsia" w:ascii="楷体" w:hAnsi="楷体" w:eastAsia="楷体" w:cs="楷体"/>
          <w:kern w:val="2"/>
          <w:sz w:val="32"/>
          <w:szCs w:val="32"/>
        </w:rPr>
        <w:t>（三）产出（</w:t>
      </w:r>
      <w:r>
        <w:rPr>
          <w:rFonts w:ascii="楷体" w:hAnsi="楷体" w:eastAsia="楷体" w:cs="楷体"/>
          <w:kern w:val="2"/>
          <w:sz w:val="32"/>
          <w:szCs w:val="32"/>
        </w:rPr>
        <w:t>25</w:t>
      </w:r>
      <w:r>
        <w:rPr>
          <w:rFonts w:hint="eastAsia" w:ascii="楷体" w:hAnsi="楷体" w:eastAsia="楷体" w:cs="楷体"/>
          <w:kern w:val="2"/>
          <w:sz w:val="32"/>
          <w:szCs w:val="32"/>
        </w:rPr>
        <w:t>分）</w:t>
      </w:r>
      <w:bookmarkEnd w:id="20"/>
      <w:bookmarkEnd w:id="21"/>
    </w:p>
    <w:p w14:paraId="3568860B">
      <w:pPr>
        <w:spacing w:after="0" w:line="360" w:lineRule="auto"/>
        <w:ind w:firstLine="640" w:firstLineChars="200"/>
        <w:jc w:val="both"/>
        <w:textAlignment w:val="baseline"/>
        <w:rPr>
          <w:rFonts w:ascii="仿宋_GB2312" w:eastAsia="仿宋_GB2312"/>
          <w:sz w:val="32"/>
          <w:szCs w:val="32"/>
        </w:rPr>
      </w:pPr>
      <w:bookmarkStart w:id="22" w:name="_Toc492652774"/>
      <w:r>
        <w:rPr>
          <w:rFonts w:hint="eastAsia" w:ascii="仿宋_GB2312" w:eastAsia="仿宋_GB2312" w:cs="仿宋_GB2312"/>
          <w:sz w:val="32"/>
          <w:szCs w:val="32"/>
        </w:rPr>
        <w:t>主要反映结转结余率，项目资金使用率，。</w:t>
      </w:r>
    </w:p>
    <w:p w14:paraId="021AB20E">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产出指标指标分值为</w:t>
      </w:r>
      <w:r>
        <w:rPr>
          <w:rFonts w:ascii="仿宋_GB2312" w:eastAsia="仿宋_GB2312" w:cs="仿宋_GB2312"/>
          <w:sz w:val="32"/>
          <w:szCs w:val="32"/>
        </w:rPr>
        <w:t>25</w:t>
      </w:r>
      <w:r>
        <w:rPr>
          <w:rFonts w:hint="eastAsia" w:ascii="仿宋_GB2312" w:eastAsia="仿宋_GB2312" w:cs="仿宋_GB2312"/>
          <w:sz w:val="32"/>
          <w:szCs w:val="32"/>
        </w:rPr>
        <w:t>分，下设</w:t>
      </w:r>
      <w:r>
        <w:rPr>
          <w:rFonts w:ascii="仿宋_GB2312" w:eastAsia="仿宋_GB2312" w:cs="仿宋_GB2312"/>
          <w:sz w:val="32"/>
          <w:szCs w:val="32"/>
        </w:rPr>
        <w:t>1</w:t>
      </w:r>
      <w:r>
        <w:rPr>
          <w:rFonts w:hint="eastAsia" w:ascii="仿宋_GB2312" w:eastAsia="仿宋_GB2312" w:cs="仿宋_GB2312"/>
          <w:sz w:val="32"/>
          <w:szCs w:val="32"/>
        </w:rPr>
        <w:t>个二级指标：责任履行，</w:t>
      </w:r>
      <w:r>
        <w:rPr>
          <w:rFonts w:ascii="仿宋_GB2312" w:eastAsia="仿宋_GB2312" w:cs="仿宋_GB2312"/>
          <w:sz w:val="32"/>
          <w:szCs w:val="32"/>
        </w:rPr>
        <w:t>5</w:t>
      </w:r>
      <w:r>
        <w:rPr>
          <w:rFonts w:hint="eastAsia" w:ascii="仿宋_GB2312" w:eastAsia="仿宋_GB2312" w:cs="仿宋_GB2312"/>
          <w:sz w:val="32"/>
          <w:szCs w:val="32"/>
        </w:rPr>
        <w:t>个三级指标：结转结余率、项目资金使用率。</w:t>
      </w:r>
    </w:p>
    <w:p w14:paraId="5E396EA3">
      <w:pPr>
        <w:pStyle w:val="4"/>
        <w:spacing w:before="0" w:after="0"/>
        <w:ind w:firstLine="643" w:firstLineChars="200"/>
        <w:jc w:val="both"/>
        <w:rPr>
          <w:rFonts w:ascii="楷体_GB2312" w:hAnsi="宋体" w:eastAsia="楷体_GB2312" w:cs="Tahoma"/>
          <w:sz w:val="32"/>
          <w:szCs w:val="32"/>
        </w:rPr>
      </w:pPr>
      <w:bookmarkStart w:id="23" w:name="_Toc21821"/>
      <w:r>
        <w:rPr>
          <w:rFonts w:hint="eastAsia" w:ascii="楷体_GB2312" w:hAnsi="宋体" w:eastAsia="楷体_GB2312" w:cs="楷体_GB2312"/>
          <w:kern w:val="2"/>
          <w:sz w:val="32"/>
          <w:szCs w:val="32"/>
        </w:rPr>
        <w:t>（四）效果（</w:t>
      </w:r>
      <w:r>
        <w:rPr>
          <w:rFonts w:ascii="楷体_GB2312" w:hAnsi="宋体" w:eastAsia="楷体_GB2312" w:cs="楷体_GB2312"/>
          <w:kern w:val="2"/>
          <w:sz w:val="32"/>
          <w:szCs w:val="32"/>
        </w:rPr>
        <w:t>15</w:t>
      </w:r>
      <w:r>
        <w:rPr>
          <w:rFonts w:hint="eastAsia" w:ascii="楷体_GB2312" w:hAnsi="宋体" w:eastAsia="楷体_GB2312" w:cs="楷体_GB2312"/>
          <w:kern w:val="2"/>
          <w:sz w:val="32"/>
          <w:szCs w:val="32"/>
        </w:rPr>
        <w:t>分）</w:t>
      </w:r>
      <w:bookmarkEnd w:id="22"/>
      <w:bookmarkEnd w:id="23"/>
    </w:p>
    <w:p w14:paraId="4169945B">
      <w:pPr>
        <w:spacing w:after="0" w:line="360" w:lineRule="auto"/>
        <w:ind w:firstLine="640" w:firstLineChars="200"/>
        <w:jc w:val="both"/>
        <w:textAlignment w:val="baseline"/>
        <w:rPr>
          <w:rFonts w:ascii="仿宋_GB2312" w:eastAsia="仿宋_GB2312"/>
          <w:sz w:val="32"/>
          <w:szCs w:val="32"/>
        </w:rPr>
      </w:pPr>
      <w:bookmarkStart w:id="24" w:name="_Toc492652775"/>
      <w:r>
        <w:rPr>
          <w:rFonts w:hint="eastAsia" w:ascii="仿宋_GB2312" w:eastAsia="仿宋_GB2312" w:cs="仿宋_GB2312"/>
          <w:sz w:val="32"/>
          <w:szCs w:val="32"/>
        </w:rPr>
        <w:t>主要反映部门履行职责对社会发展所带来的直接或间接效益及社会公众或部门的服务对象对部门履职效果的满意程度。</w:t>
      </w:r>
    </w:p>
    <w:p w14:paraId="0FFBD6EB">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效果指标指标分值</w:t>
      </w:r>
      <w:r>
        <w:rPr>
          <w:rFonts w:ascii="仿宋_GB2312" w:eastAsia="仿宋_GB2312" w:cs="仿宋_GB2312"/>
          <w:sz w:val="32"/>
          <w:szCs w:val="32"/>
        </w:rPr>
        <w:t>15</w:t>
      </w:r>
      <w:r>
        <w:rPr>
          <w:rFonts w:hint="eastAsia" w:ascii="仿宋_GB2312" w:eastAsia="仿宋_GB2312" w:cs="仿宋_GB2312"/>
          <w:sz w:val="32"/>
          <w:szCs w:val="32"/>
        </w:rPr>
        <w:t>分，下设</w:t>
      </w:r>
      <w:r>
        <w:rPr>
          <w:rFonts w:ascii="仿宋_GB2312" w:eastAsia="仿宋_GB2312" w:cs="仿宋_GB2312"/>
          <w:sz w:val="32"/>
          <w:szCs w:val="32"/>
        </w:rPr>
        <w:t>1</w:t>
      </w:r>
      <w:r>
        <w:rPr>
          <w:rFonts w:hint="eastAsia" w:ascii="仿宋_GB2312" w:eastAsia="仿宋_GB2312" w:cs="仿宋_GB2312"/>
          <w:sz w:val="32"/>
          <w:szCs w:val="32"/>
        </w:rPr>
        <w:t>个二级指标：履职效率，</w:t>
      </w:r>
      <w:r>
        <w:rPr>
          <w:rFonts w:ascii="仿宋_GB2312" w:eastAsia="仿宋_GB2312" w:cs="仿宋_GB2312"/>
          <w:sz w:val="32"/>
          <w:szCs w:val="32"/>
        </w:rPr>
        <w:t>2</w:t>
      </w:r>
      <w:r>
        <w:rPr>
          <w:rFonts w:hint="eastAsia" w:ascii="仿宋_GB2312" w:eastAsia="仿宋_GB2312" w:cs="仿宋_GB2312"/>
          <w:sz w:val="32"/>
          <w:szCs w:val="32"/>
        </w:rPr>
        <w:t>个三级指标：部门整体效益和考核满意度。</w:t>
      </w:r>
    </w:p>
    <w:p w14:paraId="3CF8B366">
      <w:pPr>
        <w:pStyle w:val="3"/>
        <w:spacing w:before="0" w:after="0" w:line="360" w:lineRule="auto"/>
        <w:ind w:firstLine="643" w:firstLineChars="200"/>
        <w:rPr>
          <w:rFonts w:ascii="黑体" w:cs="Tahoma"/>
        </w:rPr>
      </w:pPr>
      <w:bookmarkStart w:id="25" w:name="_Toc11842"/>
      <w:r>
        <w:rPr>
          <w:rFonts w:hint="eastAsia" w:ascii="黑体" w:cs="黑体"/>
        </w:rPr>
        <w:t>三、综合绩效评价工作情况</w:t>
      </w:r>
      <w:bookmarkEnd w:id="15"/>
      <w:bookmarkEnd w:id="24"/>
      <w:bookmarkEnd w:id="25"/>
      <w:bookmarkStart w:id="26" w:name="_Toc492652776"/>
      <w:bookmarkStart w:id="27" w:name="_Toc465149505"/>
    </w:p>
    <w:p w14:paraId="0F4841FE">
      <w:pPr>
        <w:pStyle w:val="4"/>
        <w:spacing w:before="0" w:after="0"/>
        <w:ind w:firstLine="643" w:firstLineChars="200"/>
        <w:jc w:val="both"/>
        <w:rPr>
          <w:rFonts w:ascii="楷体_GB2312" w:hAnsi="宋体" w:eastAsia="楷体_GB2312" w:cs="Tahoma"/>
          <w:sz w:val="32"/>
          <w:szCs w:val="32"/>
        </w:rPr>
      </w:pPr>
      <w:bookmarkStart w:id="28" w:name="_Toc17138"/>
      <w:r>
        <w:rPr>
          <w:rFonts w:hint="eastAsia" w:ascii="楷体_GB2312" w:hAnsi="宋体" w:eastAsia="楷体_GB2312" w:cs="楷体_GB2312"/>
          <w:kern w:val="2"/>
          <w:sz w:val="32"/>
          <w:szCs w:val="32"/>
        </w:rPr>
        <w:t>（一）绩效评价目的</w:t>
      </w:r>
      <w:bookmarkEnd w:id="26"/>
      <w:bookmarkEnd w:id="27"/>
      <w:bookmarkEnd w:id="28"/>
    </w:p>
    <w:p w14:paraId="3C89CD98">
      <w:pPr>
        <w:spacing w:after="0" w:line="360" w:lineRule="auto"/>
        <w:ind w:firstLine="640" w:firstLineChars="200"/>
        <w:jc w:val="both"/>
        <w:textAlignment w:val="baseline"/>
        <w:rPr>
          <w:rFonts w:ascii="仿宋_GB2312" w:eastAsia="仿宋_GB2312"/>
          <w:sz w:val="32"/>
          <w:szCs w:val="32"/>
        </w:rPr>
      </w:pPr>
      <w:bookmarkStart w:id="29" w:name="_Toc465149506"/>
      <w:bookmarkStart w:id="30" w:name="_Toc492652777"/>
      <w:r>
        <w:rPr>
          <w:rFonts w:hint="eastAsia" w:ascii="仿宋_GB2312" w:eastAsia="仿宋_GB2312" w:cs="仿宋_GB2312"/>
          <w:sz w:val="32"/>
          <w:szCs w:val="32"/>
        </w:rPr>
        <w:t>通过对区区总工会</w:t>
      </w:r>
      <w:r>
        <w:rPr>
          <w:rFonts w:ascii="仿宋_GB2312" w:eastAsia="仿宋_GB2312" w:cs="仿宋_GB2312"/>
          <w:sz w:val="32"/>
          <w:szCs w:val="32"/>
        </w:rPr>
        <w:t>2019</w:t>
      </w:r>
      <w:r>
        <w:rPr>
          <w:rFonts w:hint="eastAsia" w:ascii="仿宋_GB2312" w:eastAsia="仿宋_GB2312" w:cs="仿宋_GB2312"/>
          <w:sz w:val="32"/>
          <w:szCs w:val="32"/>
        </w:rPr>
        <w:t>年部门整体支出绩效评价，了解部门整体资金预算情况、实际收支情况及结转结余情况；绩效目标和指标的设置及完成情况；部门履职对社会发展所带来的直接或间接影响及服务对象对部门履职效果的满意程度。</w:t>
      </w:r>
    </w:p>
    <w:p w14:paraId="6C9102FE">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14:paraId="6BCEFB86">
      <w:pPr>
        <w:pStyle w:val="4"/>
        <w:spacing w:before="0" w:after="0"/>
        <w:ind w:firstLine="643" w:firstLineChars="200"/>
        <w:jc w:val="both"/>
        <w:rPr>
          <w:rFonts w:ascii="楷体_GB2312" w:hAnsi="宋体" w:eastAsia="楷体_GB2312" w:cs="Tahoma"/>
          <w:kern w:val="2"/>
          <w:sz w:val="32"/>
          <w:szCs w:val="32"/>
        </w:rPr>
      </w:pPr>
      <w:bookmarkStart w:id="31" w:name="_Toc11607"/>
      <w:r>
        <w:rPr>
          <w:rFonts w:hint="eastAsia" w:ascii="楷体_GB2312" w:hAnsi="宋体" w:eastAsia="楷体_GB2312" w:cs="楷体_GB2312"/>
          <w:kern w:val="2"/>
          <w:sz w:val="32"/>
          <w:szCs w:val="32"/>
        </w:rPr>
        <w:t>（二）绩效评价依据</w:t>
      </w:r>
      <w:bookmarkEnd w:id="29"/>
      <w:bookmarkEnd w:id="30"/>
      <w:bookmarkEnd w:id="31"/>
    </w:p>
    <w:p w14:paraId="11D3747F">
      <w:pPr>
        <w:spacing w:after="0" w:line="360" w:lineRule="auto"/>
        <w:ind w:firstLine="640" w:firstLineChars="200"/>
        <w:jc w:val="both"/>
        <w:textAlignment w:val="baseline"/>
        <w:rPr>
          <w:rFonts w:ascii="仿宋_GB2312" w:eastAsia="仿宋_GB2312"/>
          <w:sz w:val="32"/>
          <w:szCs w:val="32"/>
        </w:rPr>
      </w:pPr>
      <w:bookmarkStart w:id="32" w:name="_Toc465149507"/>
      <w:r>
        <w:rPr>
          <w:rFonts w:ascii="仿宋_GB2312" w:eastAsia="仿宋_GB2312" w:cs="仿宋_GB2312"/>
          <w:sz w:val="32"/>
          <w:szCs w:val="32"/>
        </w:rPr>
        <w:t>1.</w:t>
      </w:r>
      <w:r>
        <w:rPr>
          <w:rFonts w:hint="eastAsia" w:ascii="仿宋_GB2312" w:eastAsia="仿宋_GB2312" w:cs="仿宋_GB2312"/>
          <w:sz w:val="32"/>
          <w:szCs w:val="32"/>
        </w:rPr>
        <w:t>《中华人民共和国预算法》；</w:t>
      </w:r>
    </w:p>
    <w:p w14:paraId="0207AEA8">
      <w:pPr>
        <w:spacing w:after="0" w:line="360" w:lineRule="auto"/>
        <w:ind w:firstLine="640" w:firstLineChars="200"/>
        <w:jc w:val="both"/>
        <w:textAlignment w:val="baseline"/>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中共中央国务院《关于全面实施预算绩效管理的意见》（中发〔</w:t>
      </w:r>
      <w:r>
        <w:rPr>
          <w:rFonts w:ascii="仿宋_GB2312" w:eastAsia="仿宋_GB2312" w:cs="仿宋_GB2312"/>
          <w:sz w:val="32"/>
          <w:szCs w:val="32"/>
        </w:rPr>
        <w:t>2018</w:t>
      </w:r>
      <w:r>
        <w:rPr>
          <w:rFonts w:hint="eastAsia" w:ascii="仿宋_GB2312" w:eastAsia="仿宋_GB2312" w:cs="仿宋_GB2312"/>
          <w:sz w:val="32"/>
          <w:szCs w:val="32"/>
        </w:rPr>
        <w:t>〕</w:t>
      </w:r>
      <w:r>
        <w:rPr>
          <w:rFonts w:ascii="仿宋_GB2312" w:eastAsia="仿宋_GB2312" w:cs="仿宋_GB2312"/>
          <w:sz w:val="32"/>
          <w:szCs w:val="32"/>
        </w:rPr>
        <w:t>34</w:t>
      </w:r>
      <w:r>
        <w:rPr>
          <w:rFonts w:hint="eastAsia" w:ascii="仿宋_GB2312" w:eastAsia="仿宋_GB2312" w:cs="仿宋_GB2312"/>
          <w:sz w:val="32"/>
          <w:szCs w:val="32"/>
        </w:rPr>
        <w:t>号）；</w:t>
      </w:r>
    </w:p>
    <w:p w14:paraId="47EFF2DA">
      <w:pPr>
        <w:spacing w:after="0" w:line="360" w:lineRule="auto"/>
        <w:ind w:firstLine="640" w:firstLineChars="200"/>
        <w:jc w:val="both"/>
        <w:textAlignment w:val="baseline"/>
        <w:rPr>
          <w:rFonts w:ascii="仿宋_GB2312" w:eastAsia="仿宋_GB2312" w:cs="仿宋_GB2312"/>
          <w:color w:val="auto"/>
          <w:sz w:val="32"/>
          <w:szCs w:val="32"/>
        </w:rPr>
      </w:pPr>
      <w:r>
        <w:rPr>
          <w:rFonts w:ascii="仿宋_GB2312" w:eastAsia="仿宋_GB2312" w:cs="仿宋_GB2312"/>
          <w:color w:val="auto"/>
          <w:sz w:val="32"/>
          <w:szCs w:val="32"/>
        </w:rPr>
        <w:t>3.</w:t>
      </w:r>
      <w:r>
        <w:rPr>
          <w:rFonts w:hint="eastAsia" w:ascii="仿宋_GB2312" w:eastAsia="仿宋_GB2312" w:cs="仿宋_GB2312"/>
          <w:color w:val="auto"/>
          <w:sz w:val="32"/>
          <w:szCs w:val="32"/>
        </w:rPr>
        <w:t>《河北省财政支出绩效评价管理办法》（冀财预〔</w:t>
      </w:r>
      <w:r>
        <w:rPr>
          <w:rFonts w:ascii="仿宋_GB2312" w:eastAsia="仿宋_GB2312" w:cs="仿宋_GB2312"/>
          <w:color w:val="auto"/>
          <w:sz w:val="32"/>
          <w:szCs w:val="32"/>
        </w:rPr>
        <w:t>2011</w:t>
      </w:r>
      <w:r>
        <w:rPr>
          <w:rFonts w:hint="eastAsia" w:ascii="仿宋_GB2312" w:eastAsia="仿宋_GB2312" w:cs="仿宋_GB2312"/>
          <w:color w:val="auto"/>
          <w:sz w:val="32"/>
          <w:szCs w:val="32"/>
        </w:rPr>
        <w:t>〕</w:t>
      </w:r>
      <w:r>
        <w:rPr>
          <w:rFonts w:ascii="仿宋_GB2312" w:eastAsia="仿宋_GB2312" w:cs="仿宋_GB2312"/>
          <w:color w:val="auto"/>
          <w:sz w:val="32"/>
          <w:szCs w:val="32"/>
        </w:rPr>
        <w:t>68</w:t>
      </w:r>
      <w:r>
        <w:rPr>
          <w:rFonts w:hint="eastAsia" w:ascii="仿宋_GB2312" w:eastAsia="仿宋_GB2312" w:cs="仿宋_GB2312"/>
          <w:color w:val="auto"/>
          <w:sz w:val="32"/>
          <w:szCs w:val="32"/>
        </w:rPr>
        <w:t>号）；</w:t>
      </w:r>
      <w:r>
        <w:rPr>
          <w:rFonts w:ascii="仿宋_GB2312" w:eastAsia="仿宋_GB2312" w:cs="仿宋_GB2312"/>
          <w:color w:val="auto"/>
          <w:sz w:val="32"/>
          <w:szCs w:val="32"/>
        </w:rPr>
        <w:t xml:space="preserve"> </w:t>
      </w:r>
    </w:p>
    <w:p w14:paraId="61F11B1B">
      <w:pPr>
        <w:spacing w:after="0" w:line="360" w:lineRule="auto"/>
        <w:ind w:firstLine="640" w:firstLineChars="200"/>
        <w:jc w:val="both"/>
        <w:textAlignment w:val="baseline"/>
        <w:rPr>
          <w:rFonts w:ascii="仿宋_GB2312" w:eastAsia="仿宋_GB2312"/>
          <w:color w:val="auto"/>
          <w:sz w:val="32"/>
          <w:szCs w:val="32"/>
        </w:rPr>
      </w:pPr>
      <w:r>
        <w:rPr>
          <w:rFonts w:ascii="仿宋_GB2312" w:eastAsia="仿宋_GB2312" w:cs="仿宋_GB2312"/>
          <w:color w:val="auto"/>
          <w:sz w:val="32"/>
          <w:szCs w:val="32"/>
        </w:rPr>
        <w:t>4.</w:t>
      </w:r>
      <w:r>
        <w:rPr>
          <w:rFonts w:hint="eastAsia" w:ascii="仿宋_GB2312" w:eastAsia="仿宋_GB2312" w:cs="仿宋_GB2312"/>
          <w:color w:val="auto"/>
          <w:sz w:val="32"/>
          <w:szCs w:val="32"/>
        </w:rPr>
        <w:t>中共河北省委河北省人民政府《关于全面实施预算绩效管理的实施意见》（冀发〔</w:t>
      </w:r>
      <w:r>
        <w:rPr>
          <w:rFonts w:ascii="仿宋_GB2312" w:eastAsia="仿宋_GB2312" w:cs="仿宋_GB2312"/>
          <w:color w:val="auto"/>
          <w:sz w:val="32"/>
          <w:szCs w:val="32"/>
        </w:rPr>
        <w:t>2018</w:t>
      </w:r>
      <w:r>
        <w:rPr>
          <w:rFonts w:hint="eastAsia" w:ascii="仿宋_GB2312" w:eastAsia="仿宋_GB2312" w:cs="仿宋_GB2312"/>
          <w:color w:val="auto"/>
          <w:sz w:val="32"/>
          <w:szCs w:val="32"/>
        </w:rPr>
        <w:t>〕</w:t>
      </w:r>
      <w:r>
        <w:rPr>
          <w:rFonts w:ascii="仿宋_GB2312" w:eastAsia="仿宋_GB2312" w:cs="仿宋_GB2312"/>
          <w:color w:val="auto"/>
          <w:sz w:val="32"/>
          <w:szCs w:val="32"/>
        </w:rPr>
        <w:t>54</w:t>
      </w:r>
      <w:r>
        <w:rPr>
          <w:rFonts w:hint="eastAsia" w:ascii="仿宋_GB2312" w:eastAsia="仿宋_GB2312" w:cs="仿宋_GB2312"/>
          <w:color w:val="auto"/>
          <w:sz w:val="32"/>
          <w:szCs w:val="32"/>
        </w:rPr>
        <w:t>号）；</w:t>
      </w:r>
    </w:p>
    <w:p w14:paraId="44F769E0">
      <w:pPr>
        <w:spacing w:after="0" w:line="360" w:lineRule="auto"/>
        <w:ind w:firstLine="640" w:firstLineChars="200"/>
        <w:jc w:val="both"/>
        <w:textAlignment w:val="baseline"/>
        <w:rPr>
          <w:rFonts w:ascii="仿宋_GB2312" w:eastAsia="仿宋_GB2312"/>
          <w:color w:val="auto"/>
          <w:sz w:val="32"/>
          <w:szCs w:val="32"/>
        </w:rPr>
      </w:pPr>
      <w:r>
        <w:rPr>
          <w:rFonts w:ascii="仿宋_GB2312" w:eastAsia="仿宋_GB2312" w:cs="仿宋_GB2312"/>
          <w:color w:val="auto"/>
          <w:sz w:val="32"/>
          <w:szCs w:val="32"/>
        </w:rPr>
        <w:t>5.</w:t>
      </w:r>
      <w:r>
        <w:rPr>
          <w:rFonts w:hint="eastAsia" w:ascii="仿宋_GB2312" w:eastAsia="仿宋_GB2312" w:cs="仿宋_GB2312"/>
          <w:color w:val="auto"/>
          <w:sz w:val="32"/>
          <w:szCs w:val="32"/>
        </w:rPr>
        <w:t>保定市徐水区财政局《关于印发绩效评价工作规划（</w:t>
      </w:r>
      <w:r>
        <w:rPr>
          <w:rFonts w:ascii="仿宋_GB2312" w:eastAsia="仿宋_GB2312" w:cs="仿宋_GB2312"/>
          <w:color w:val="auto"/>
          <w:sz w:val="32"/>
          <w:szCs w:val="32"/>
        </w:rPr>
        <w:t>2016-2020</w:t>
      </w:r>
      <w:r>
        <w:rPr>
          <w:rFonts w:hint="eastAsia" w:ascii="仿宋_GB2312" w:eastAsia="仿宋_GB2312" w:cs="仿宋_GB2312"/>
          <w:color w:val="auto"/>
          <w:sz w:val="32"/>
          <w:szCs w:val="32"/>
        </w:rPr>
        <w:t>年）的通知》（徐政财字〔</w:t>
      </w:r>
      <w:r>
        <w:rPr>
          <w:rFonts w:ascii="仿宋_GB2312" w:eastAsia="仿宋_GB2312" w:cs="仿宋_GB2312"/>
          <w:color w:val="auto"/>
          <w:sz w:val="32"/>
          <w:szCs w:val="32"/>
        </w:rPr>
        <w:t>2016</w:t>
      </w:r>
      <w:r>
        <w:rPr>
          <w:rFonts w:hint="eastAsia" w:ascii="仿宋_GB2312" w:eastAsia="仿宋_GB2312" w:cs="仿宋_GB2312"/>
          <w:color w:val="auto"/>
          <w:sz w:val="32"/>
          <w:szCs w:val="32"/>
        </w:rPr>
        <w:t>〕</w:t>
      </w:r>
      <w:r>
        <w:rPr>
          <w:rFonts w:ascii="仿宋_GB2312" w:eastAsia="仿宋_GB2312" w:cs="仿宋_GB2312"/>
          <w:color w:val="auto"/>
          <w:sz w:val="32"/>
          <w:szCs w:val="32"/>
        </w:rPr>
        <w:t>45</w:t>
      </w:r>
      <w:r>
        <w:rPr>
          <w:rFonts w:hint="eastAsia" w:ascii="仿宋_GB2312" w:eastAsia="仿宋_GB2312" w:cs="仿宋_GB2312"/>
          <w:color w:val="auto"/>
          <w:sz w:val="32"/>
          <w:szCs w:val="32"/>
        </w:rPr>
        <w:t>号）；</w:t>
      </w:r>
    </w:p>
    <w:p w14:paraId="3C9944DB">
      <w:pPr>
        <w:spacing w:after="0" w:line="360" w:lineRule="auto"/>
        <w:ind w:firstLine="640" w:firstLineChars="200"/>
        <w:jc w:val="both"/>
        <w:textAlignment w:val="baseline"/>
        <w:rPr>
          <w:rFonts w:ascii="仿宋_GB2312" w:eastAsia="仿宋_GB2312"/>
          <w:color w:val="auto"/>
          <w:sz w:val="32"/>
          <w:szCs w:val="32"/>
        </w:rPr>
      </w:pPr>
      <w:r>
        <w:rPr>
          <w:rFonts w:ascii="仿宋_GB2312" w:eastAsia="仿宋_GB2312" w:cs="仿宋_GB2312"/>
          <w:color w:val="auto"/>
          <w:sz w:val="32"/>
          <w:szCs w:val="32"/>
        </w:rPr>
        <w:t>6.</w:t>
      </w:r>
      <w:r>
        <w:rPr>
          <w:rFonts w:hint="eastAsia" w:ascii="仿宋_GB2312" w:eastAsia="仿宋_GB2312" w:cs="仿宋_GB2312"/>
          <w:color w:val="auto"/>
          <w:sz w:val="32"/>
          <w:szCs w:val="32"/>
        </w:rPr>
        <w:t>保定市徐水区财政局《关于印发</w:t>
      </w:r>
      <w:r>
        <w:rPr>
          <w:rFonts w:ascii="仿宋_GB2312" w:eastAsia="仿宋_GB2312" w:cs="仿宋_GB2312"/>
          <w:color w:val="auto"/>
          <w:sz w:val="32"/>
          <w:szCs w:val="32"/>
        </w:rPr>
        <w:t>&lt;</w:t>
      </w:r>
      <w:r>
        <w:rPr>
          <w:rFonts w:hint="eastAsia" w:ascii="仿宋_GB2312" w:eastAsia="仿宋_GB2312" w:cs="仿宋_GB2312"/>
          <w:color w:val="auto"/>
          <w:sz w:val="32"/>
          <w:szCs w:val="32"/>
        </w:rPr>
        <w:t>全面实施预算绩效管理推进工作方案</w:t>
      </w:r>
      <w:r>
        <w:rPr>
          <w:rFonts w:ascii="仿宋_GB2312" w:eastAsia="仿宋_GB2312" w:cs="仿宋_GB2312"/>
          <w:color w:val="auto"/>
          <w:sz w:val="32"/>
          <w:szCs w:val="32"/>
        </w:rPr>
        <w:t>&gt;</w:t>
      </w:r>
      <w:r>
        <w:rPr>
          <w:rFonts w:hint="eastAsia" w:ascii="仿宋_GB2312" w:eastAsia="仿宋_GB2312" w:cs="仿宋_GB2312"/>
          <w:color w:val="auto"/>
          <w:sz w:val="32"/>
          <w:szCs w:val="32"/>
        </w:rPr>
        <w:t>的通知》（徐政财字〔</w:t>
      </w:r>
      <w:r>
        <w:rPr>
          <w:rFonts w:ascii="仿宋_GB2312" w:eastAsia="仿宋_GB2312" w:cs="仿宋_GB2312"/>
          <w:color w:val="auto"/>
          <w:sz w:val="32"/>
          <w:szCs w:val="32"/>
        </w:rPr>
        <w:t>2020</w:t>
      </w:r>
      <w:r>
        <w:rPr>
          <w:rFonts w:hint="eastAsia" w:ascii="仿宋_GB2312" w:eastAsia="仿宋_GB2312" w:cs="仿宋_GB2312"/>
          <w:color w:val="auto"/>
          <w:sz w:val="32"/>
          <w:szCs w:val="32"/>
        </w:rPr>
        <w:t>〕</w:t>
      </w:r>
      <w:r>
        <w:rPr>
          <w:rFonts w:ascii="仿宋_GB2312" w:eastAsia="仿宋_GB2312" w:cs="仿宋_GB2312"/>
          <w:color w:val="auto"/>
          <w:sz w:val="32"/>
          <w:szCs w:val="32"/>
        </w:rPr>
        <w:t>32</w:t>
      </w:r>
      <w:r>
        <w:rPr>
          <w:rFonts w:hint="eastAsia" w:ascii="仿宋_GB2312" w:eastAsia="仿宋_GB2312" w:cs="仿宋_GB2312"/>
          <w:color w:val="auto"/>
          <w:sz w:val="32"/>
          <w:szCs w:val="32"/>
        </w:rPr>
        <w:t>号）；</w:t>
      </w:r>
    </w:p>
    <w:p w14:paraId="4293298A">
      <w:pPr>
        <w:spacing w:after="0" w:line="360" w:lineRule="auto"/>
        <w:ind w:firstLine="640" w:firstLineChars="200"/>
        <w:jc w:val="both"/>
        <w:textAlignment w:val="baseline"/>
        <w:rPr>
          <w:rFonts w:ascii="仿宋_GB2312" w:eastAsia="仿宋_GB2312"/>
          <w:sz w:val="32"/>
          <w:szCs w:val="32"/>
        </w:rPr>
      </w:pPr>
      <w:r>
        <w:rPr>
          <w:rFonts w:ascii="仿宋_GB2312" w:eastAsia="仿宋_GB2312" w:cs="仿宋_GB2312"/>
          <w:color w:val="auto"/>
          <w:sz w:val="32"/>
          <w:szCs w:val="32"/>
        </w:rPr>
        <w:t>7.</w:t>
      </w:r>
      <w:r>
        <w:rPr>
          <w:rFonts w:hint="eastAsia" w:ascii="仿宋_GB2312" w:eastAsia="仿宋_GB2312" w:cs="仿宋_GB2312"/>
          <w:color w:val="auto"/>
          <w:sz w:val="32"/>
          <w:szCs w:val="32"/>
        </w:rPr>
        <w:t>其他与部门绩效评价工作相关的</w:t>
      </w:r>
      <w:r>
        <w:rPr>
          <w:rFonts w:hint="eastAsia" w:ascii="仿宋_GB2312" w:eastAsia="仿宋_GB2312" w:cs="仿宋_GB2312"/>
          <w:sz w:val="32"/>
          <w:szCs w:val="32"/>
        </w:rPr>
        <w:t>文件。</w:t>
      </w:r>
      <w:bookmarkStart w:id="33" w:name="_Toc492652778"/>
    </w:p>
    <w:p w14:paraId="29EB0008">
      <w:pPr>
        <w:pStyle w:val="4"/>
        <w:spacing w:before="0" w:after="0"/>
        <w:ind w:firstLine="643" w:firstLineChars="200"/>
        <w:jc w:val="both"/>
        <w:rPr>
          <w:rFonts w:ascii="楷体_GB2312" w:hAnsi="宋体" w:eastAsia="楷体_GB2312" w:cs="Tahoma"/>
          <w:kern w:val="2"/>
          <w:sz w:val="32"/>
          <w:szCs w:val="32"/>
        </w:rPr>
      </w:pPr>
      <w:bookmarkStart w:id="34" w:name="_Toc7609"/>
      <w:r>
        <w:rPr>
          <w:rFonts w:hint="eastAsia" w:ascii="楷体_GB2312" w:hAnsi="宋体" w:eastAsia="楷体_GB2312" w:cs="楷体_GB2312"/>
          <w:kern w:val="2"/>
          <w:sz w:val="32"/>
          <w:szCs w:val="32"/>
        </w:rPr>
        <w:t>（三）绩效评价</w:t>
      </w:r>
      <w:bookmarkEnd w:id="33"/>
      <w:r>
        <w:rPr>
          <w:rFonts w:hint="eastAsia" w:ascii="楷体_GB2312" w:hAnsi="宋体" w:eastAsia="楷体_GB2312" w:cs="楷体_GB2312"/>
          <w:kern w:val="2"/>
          <w:sz w:val="32"/>
          <w:szCs w:val="32"/>
        </w:rPr>
        <w:t>内容</w:t>
      </w:r>
      <w:bookmarkEnd w:id="34"/>
    </w:p>
    <w:bookmarkEnd w:id="32"/>
    <w:p w14:paraId="705298B4">
      <w:pPr>
        <w:spacing w:after="0" w:line="360" w:lineRule="auto"/>
        <w:ind w:firstLine="640" w:firstLineChars="200"/>
        <w:jc w:val="both"/>
        <w:textAlignment w:val="baseline"/>
        <w:rPr>
          <w:rFonts w:ascii="仿宋_GB2312" w:eastAsia="仿宋_GB2312"/>
          <w:sz w:val="32"/>
          <w:szCs w:val="32"/>
        </w:rPr>
      </w:pPr>
      <w:bookmarkStart w:id="35" w:name="_Toc465149508"/>
      <w:bookmarkStart w:id="36" w:name="_Toc492652779"/>
      <w:r>
        <w:rPr>
          <w:rFonts w:hint="eastAsia" w:ascii="仿宋_GB2312" w:eastAsia="仿宋_GB2312" w:cs="仿宋_GB2312"/>
          <w:sz w:val="32"/>
          <w:szCs w:val="32"/>
        </w:rPr>
        <w:t>区总工会</w:t>
      </w:r>
      <w:r>
        <w:rPr>
          <w:rFonts w:ascii="仿宋_GB2312" w:eastAsia="仿宋_GB2312" w:cs="仿宋_GB2312"/>
          <w:sz w:val="32"/>
          <w:szCs w:val="32"/>
        </w:rPr>
        <w:t>2019</w:t>
      </w:r>
      <w:r>
        <w:rPr>
          <w:rFonts w:hint="eastAsia" w:ascii="仿宋_GB2312" w:eastAsia="仿宋_GB2312" w:cs="仿宋_GB2312"/>
          <w:sz w:val="32"/>
          <w:szCs w:val="32"/>
        </w:rPr>
        <w:t>年部门整体支出绩效目标和指标的设置及完成情况；资金预算情况、实际收支情况及结转结余情况；部门履职对社会发展所带来的直接或间接影响及服务对象对部门履职效果的满意程度。</w:t>
      </w:r>
    </w:p>
    <w:p w14:paraId="4B3966D6">
      <w:pPr>
        <w:pStyle w:val="4"/>
        <w:spacing w:before="0" w:after="0"/>
        <w:ind w:firstLine="643" w:firstLineChars="200"/>
        <w:jc w:val="both"/>
        <w:rPr>
          <w:rFonts w:ascii="楷体_GB2312" w:hAnsi="宋体" w:eastAsia="楷体_GB2312" w:cs="Tahoma"/>
          <w:kern w:val="2"/>
          <w:sz w:val="32"/>
          <w:szCs w:val="32"/>
        </w:rPr>
      </w:pPr>
      <w:bookmarkStart w:id="37" w:name="_Toc789"/>
      <w:r>
        <w:rPr>
          <w:rFonts w:hint="eastAsia" w:ascii="楷体_GB2312" w:hAnsi="宋体" w:eastAsia="楷体_GB2312" w:cs="楷体_GB2312"/>
          <w:kern w:val="2"/>
          <w:sz w:val="32"/>
          <w:szCs w:val="32"/>
        </w:rPr>
        <w:t>（四）绩效评价原则</w:t>
      </w:r>
      <w:bookmarkEnd w:id="37"/>
    </w:p>
    <w:p w14:paraId="37FBCB9D">
      <w:pPr>
        <w:spacing w:after="0" w:line="360" w:lineRule="auto"/>
        <w:ind w:firstLine="640" w:firstLineChars="200"/>
        <w:jc w:val="both"/>
        <w:textAlignment w:val="baseline"/>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价值导向原则：财政支出绩效评价体系应能够反映财政支出的经济性、效益性、有效性原则，体现财政部门和项目主管部门的价值导向。</w:t>
      </w:r>
    </w:p>
    <w:p w14:paraId="073162AC">
      <w:pPr>
        <w:spacing w:after="0" w:line="360" w:lineRule="auto"/>
        <w:ind w:firstLine="640" w:firstLineChars="200"/>
        <w:jc w:val="both"/>
        <w:textAlignment w:val="baseline"/>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重要性原则：根据指标在整个指标体系中的地位和作用进行筛选，选择最具代表性、最能反映评价要求的指标。</w:t>
      </w:r>
    </w:p>
    <w:p w14:paraId="36357443">
      <w:pPr>
        <w:spacing w:after="0" w:line="360" w:lineRule="auto"/>
        <w:ind w:firstLine="640" w:firstLineChars="200"/>
        <w:jc w:val="both"/>
        <w:textAlignment w:val="baseline"/>
        <w:rPr>
          <w:rFonts w:ascii="仿宋_GB2312" w:eastAsia="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综合性原则：将定性指标和定量指标相结合，定性分析是定量分析的基础，定量分析是定性分析的深化，两者相结合系统反映财政支出所产生的社会效益。</w:t>
      </w:r>
    </w:p>
    <w:p w14:paraId="53377A97">
      <w:pPr>
        <w:spacing w:after="0" w:line="360" w:lineRule="auto"/>
        <w:ind w:firstLine="640" w:firstLineChars="200"/>
        <w:jc w:val="both"/>
        <w:textAlignment w:val="baseline"/>
        <w:rPr>
          <w:rFonts w:ascii="仿宋_GB2312" w:eastAsia="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经济性原则：指标的选取要考虑现实条件及可操作性，数据的获得应符合成本效益原则，在合理成本的基础上收集信息。</w:t>
      </w:r>
    </w:p>
    <w:p w14:paraId="10A02F1C">
      <w:pPr>
        <w:pStyle w:val="4"/>
        <w:spacing w:before="0" w:after="0"/>
        <w:ind w:firstLine="643" w:firstLineChars="200"/>
        <w:jc w:val="both"/>
        <w:rPr>
          <w:rFonts w:ascii="楷体_GB2312" w:hAnsi="宋体" w:eastAsia="楷体_GB2312" w:cs="Tahoma"/>
          <w:kern w:val="2"/>
          <w:sz w:val="32"/>
          <w:szCs w:val="32"/>
        </w:rPr>
      </w:pPr>
      <w:bookmarkStart w:id="38" w:name="_Toc8171"/>
      <w:r>
        <w:rPr>
          <w:rFonts w:hint="eastAsia" w:ascii="楷体_GB2312" w:hAnsi="宋体" w:eastAsia="楷体_GB2312" w:cs="楷体_GB2312"/>
          <w:kern w:val="2"/>
          <w:sz w:val="32"/>
          <w:szCs w:val="32"/>
        </w:rPr>
        <w:t>（五）</w:t>
      </w:r>
      <w:bookmarkEnd w:id="35"/>
      <w:bookmarkStart w:id="39" w:name="_Toc465149509"/>
      <w:r>
        <w:rPr>
          <w:rFonts w:hint="eastAsia" w:ascii="楷体_GB2312" w:hAnsi="宋体" w:eastAsia="楷体_GB2312" w:cs="楷体_GB2312"/>
          <w:kern w:val="2"/>
          <w:sz w:val="32"/>
          <w:szCs w:val="32"/>
        </w:rPr>
        <w:t>绩效评价方法</w:t>
      </w:r>
      <w:bookmarkEnd w:id="36"/>
      <w:bookmarkEnd w:id="38"/>
      <w:bookmarkEnd w:id="39"/>
    </w:p>
    <w:p w14:paraId="58E2AF9B">
      <w:pPr>
        <w:spacing w:after="0" w:line="360" w:lineRule="auto"/>
        <w:ind w:firstLine="640" w:firstLineChars="200"/>
        <w:jc w:val="both"/>
        <w:textAlignment w:val="baseline"/>
        <w:rPr>
          <w:rFonts w:ascii="仿宋_GB2312" w:eastAsia="仿宋_GB2312"/>
          <w:sz w:val="32"/>
          <w:szCs w:val="32"/>
        </w:rPr>
      </w:pPr>
      <w:bookmarkStart w:id="40" w:name="_Toc422314152"/>
      <w:bookmarkStart w:id="41" w:name="_Toc421623217"/>
      <w:bookmarkStart w:id="42" w:name="_Toc465149510"/>
      <w:bookmarkStart w:id="43" w:name="_Toc492652780"/>
      <w:r>
        <w:rPr>
          <w:rFonts w:hint="eastAsia" w:ascii="仿宋_GB2312" w:eastAsia="仿宋_GB2312" w:cs="仿宋_GB2312"/>
          <w:sz w:val="32"/>
          <w:szCs w:val="32"/>
        </w:rPr>
        <w:t>本次评价采取目标比较法、定量和定性评价相结合和综合评价相结合的方式，运用审查、询问查证和问卷调查等方法开展绩效评价工作。</w:t>
      </w:r>
      <w:bookmarkEnd w:id="40"/>
      <w:bookmarkEnd w:id="41"/>
    </w:p>
    <w:p w14:paraId="595102AC">
      <w:pPr>
        <w:spacing w:after="0" w:line="360" w:lineRule="auto"/>
        <w:ind w:firstLine="640" w:firstLineChars="200"/>
        <w:jc w:val="both"/>
        <w:textAlignment w:val="baseline"/>
        <w:rPr>
          <w:rFonts w:ascii="仿宋_GB2312" w:eastAsia="仿宋_GB2312"/>
          <w:sz w:val="32"/>
          <w:szCs w:val="32"/>
        </w:rPr>
      </w:pPr>
      <w:bookmarkStart w:id="44" w:name="_Toc422314153"/>
      <w:bookmarkStart w:id="45" w:name="_Toc421623218"/>
      <w:r>
        <w:rPr>
          <w:rFonts w:ascii="仿宋_GB2312" w:eastAsia="仿宋_GB2312" w:cs="仿宋_GB2312"/>
          <w:sz w:val="32"/>
          <w:szCs w:val="32"/>
        </w:rPr>
        <w:t>1.</w:t>
      </w:r>
      <w:r>
        <w:rPr>
          <w:rFonts w:hint="eastAsia" w:ascii="仿宋_GB2312" w:eastAsia="仿宋_GB2312" w:cs="仿宋_GB2312"/>
          <w:sz w:val="32"/>
          <w:szCs w:val="32"/>
        </w:rPr>
        <w:t>审查法：通过审查被评价单位的预算文本、决算文本、会计账簿、支出凭证、项目完成情况等相关资料，分析资金收支的合理性和合规性、预算执行及管理情况、绩效目标和指标的设置及完成情况、部门整体效益。</w:t>
      </w:r>
      <w:bookmarkEnd w:id="44"/>
      <w:bookmarkEnd w:id="45"/>
    </w:p>
    <w:p w14:paraId="72B8BC8E">
      <w:pPr>
        <w:spacing w:after="0" w:line="360" w:lineRule="auto"/>
        <w:ind w:firstLine="640" w:firstLineChars="200"/>
        <w:jc w:val="both"/>
        <w:textAlignment w:val="baseline"/>
        <w:rPr>
          <w:rFonts w:ascii="仿宋_GB2312" w:eastAsia="仿宋_GB2312"/>
          <w:sz w:val="32"/>
          <w:szCs w:val="32"/>
        </w:rPr>
      </w:pPr>
      <w:bookmarkStart w:id="46" w:name="_Toc421623220"/>
      <w:bookmarkStart w:id="47" w:name="_Toc422314155"/>
      <w:r>
        <w:rPr>
          <w:rFonts w:ascii="仿宋_GB2312" w:eastAsia="仿宋_GB2312" w:cs="仿宋_GB2312"/>
          <w:sz w:val="32"/>
          <w:szCs w:val="32"/>
        </w:rPr>
        <w:t>2.</w:t>
      </w:r>
      <w:r>
        <w:rPr>
          <w:rFonts w:hint="eastAsia" w:ascii="仿宋_GB2312" w:eastAsia="仿宋_GB2312" w:cs="仿宋_GB2312"/>
          <w:sz w:val="32"/>
          <w:szCs w:val="32"/>
        </w:rPr>
        <w:t>询问查证法：在比较分析相关资料的基础上，通过询问的形式，核查项目资料是否真实、合理，从而对部门整体支出情况作出初步的判断和评价。</w:t>
      </w:r>
      <w:bookmarkEnd w:id="46"/>
      <w:bookmarkEnd w:id="47"/>
    </w:p>
    <w:p w14:paraId="6D021497">
      <w:pPr>
        <w:spacing w:after="0" w:line="360" w:lineRule="auto"/>
        <w:ind w:firstLine="640" w:firstLineChars="200"/>
        <w:jc w:val="both"/>
        <w:textAlignment w:val="baseline"/>
        <w:rPr>
          <w:rFonts w:ascii="仿宋_GB2312" w:eastAsia="仿宋_GB2312"/>
          <w:sz w:val="32"/>
          <w:szCs w:val="32"/>
        </w:rPr>
      </w:pPr>
      <w:bookmarkStart w:id="48" w:name="_Toc421623221"/>
      <w:bookmarkStart w:id="49" w:name="_Toc422314156"/>
      <w:r>
        <w:rPr>
          <w:rFonts w:ascii="仿宋_GB2312" w:eastAsia="仿宋_GB2312" w:cs="仿宋_GB2312"/>
          <w:sz w:val="32"/>
          <w:szCs w:val="32"/>
        </w:rPr>
        <w:t>3.</w:t>
      </w:r>
      <w:r>
        <w:rPr>
          <w:rFonts w:hint="eastAsia" w:ascii="仿宋_GB2312" w:eastAsia="仿宋_GB2312" w:cs="仿宋_GB2312"/>
          <w:sz w:val="32"/>
          <w:szCs w:val="32"/>
        </w:rPr>
        <w:t>问卷调查法：通过设计调查问卷，在一定范围内随机发放，并收集分析调查问卷，对财政支出的效果进行评价，了解服务对象对部门履职效果的满意程度。</w:t>
      </w:r>
      <w:bookmarkEnd w:id="48"/>
      <w:bookmarkEnd w:id="49"/>
      <w:bookmarkStart w:id="50" w:name="_Toc20821"/>
    </w:p>
    <w:p w14:paraId="1B890C3F">
      <w:pPr>
        <w:spacing w:after="0" w:line="360" w:lineRule="auto"/>
        <w:ind w:firstLine="643" w:firstLineChars="200"/>
        <w:jc w:val="both"/>
        <w:textAlignment w:val="baseline"/>
        <w:rPr>
          <w:rFonts w:ascii="楷体_GB2312" w:hAnsi="宋体" w:eastAsia="楷体_GB2312"/>
          <w:b/>
          <w:bCs/>
          <w:kern w:val="2"/>
          <w:sz w:val="32"/>
          <w:szCs w:val="32"/>
        </w:rPr>
      </w:pPr>
      <w:r>
        <w:rPr>
          <w:rFonts w:hint="eastAsia" w:ascii="楷体_GB2312" w:hAnsi="宋体" w:eastAsia="楷体_GB2312" w:cs="楷体_GB2312"/>
          <w:b/>
          <w:bCs/>
          <w:kern w:val="2"/>
          <w:sz w:val="32"/>
          <w:szCs w:val="32"/>
        </w:rPr>
        <w:t>（六）绩效评价工作过程</w:t>
      </w:r>
      <w:bookmarkEnd w:id="42"/>
      <w:bookmarkEnd w:id="43"/>
      <w:bookmarkEnd w:id="50"/>
    </w:p>
    <w:p w14:paraId="0B179AF8">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本次绩效评价工作经过了前期准备、绩效评价实施方案和指标体系制定、组织实施、绩效评价报告撰写四个阶段。</w:t>
      </w:r>
    </w:p>
    <w:p w14:paraId="4CF1CCCC">
      <w:pPr>
        <w:spacing w:after="0" w:line="360" w:lineRule="auto"/>
        <w:ind w:firstLine="640" w:firstLineChars="200"/>
        <w:jc w:val="both"/>
        <w:textAlignment w:val="baseline"/>
        <w:rPr>
          <w:rFonts w:ascii="仿宋_GB2312" w:eastAsia="仿宋_GB2312"/>
          <w:color w:val="auto"/>
          <w:sz w:val="32"/>
          <w:szCs w:val="32"/>
        </w:rPr>
      </w:pPr>
      <w:r>
        <w:rPr>
          <w:rFonts w:ascii="仿宋_GB2312" w:eastAsia="仿宋_GB2312" w:cs="仿宋_GB2312"/>
          <w:color w:val="auto"/>
          <w:sz w:val="32"/>
          <w:szCs w:val="32"/>
        </w:rPr>
        <w:t>1.</w:t>
      </w:r>
      <w:r>
        <w:rPr>
          <w:rFonts w:hint="eastAsia" w:ascii="仿宋_GB2312" w:eastAsia="仿宋_GB2312" w:cs="仿宋_GB2312"/>
          <w:color w:val="auto"/>
          <w:sz w:val="32"/>
          <w:szCs w:val="32"/>
        </w:rPr>
        <w:t>前期准备阶段</w:t>
      </w:r>
    </w:p>
    <w:p w14:paraId="5F62CD11">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color w:val="auto"/>
          <w:sz w:val="32"/>
          <w:szCs w:val="32"/>
        </w:rPr>
        <w:t>经与区总工会充分沟通，并充分收集相关资料，主要包括部门职责、工作活动</w:t>
      </w:r>
      <w:r>
        <w:rPr>
          <w:rFonts w:hint="eastAsia" w:ascii="仿宋_GB2312" w:eastAsia="仿宋_GB2312" w:cs="仿宋_GB2312"/>
          <w:sz w:val="32"/>
          <w:szCs w:val="32"/>
        </w:rPr>
        <w:t>、预决算文本、相关管理制度、资金使用等相关资料，为制定绩效评价实施方案和指标体系奠定了基础。</w:t>
      </w:r>
    </w:p>
    <w:p w14:paraId="42B91944">
      <w:pPr>
        <w:spacing w:after="0" w:line="360" w:lineRule="auto"/>
        <w:ind w:firstLine="640" w:firstLineChars="200"/>
        <w:jc w:val="both"/>
        <w:textAlignment w:val="baseline"/>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制定绩效评价实施方案和体系</w:t>
      </w:r>
    </w:p>
    <w:p w14:paraId="757332AE">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基于对区总工会相关资料的收集，制定绩效评价实施方案和体系</w:t>
      </w:r>
      <w:r>
        <w:rPr>
          <w:rFonts w:ascii="仿宋_GB2312" w:eastAsia="仿宋_GB2312" w:cs="仿宋_GB2312"/>
          <w:sz w:val="32"/>
          <w:szCs w:val="32"/>
        </w:rPr>
        <w:t>,</w:t>
      </w:r>
      <w:r>
        <w:rPr>
          <w:rFonts w:hint="eastAsia" w:ascii="仿宋_GB2312" w:eastAsia="仿宋_GB2312" w:cs="仿宋_GB2312"/>
          <w:sz w:val="32"/>
          <w:szCs w:val="32"/>
        </w:rPr>
        <w:t>确定最终方案。</w:t>
      </w:r>
    </w:p>
    <w:p w14:paraId="14EE669C">
      <w:pPr>
        <w:spacing w:after="0" w:line="360" w:lineRule="auto"/>
        <w:ind w:firstLine="640" w:firstLineChars="200"/>
        <w:jc w:val="both"/>
        <w:textAlignment w:val="baseline"/>
        <w:rPr>
          <w:rFonts w:ascii="仿宋_GB2312" w:eastAsia="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组织实施阶段</w:t>
      </w:r>
    </w:p>
    <w:p w14:paraId="45708772">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根据绩效评价实施方案和指标体系，对区总工会开展评价工作，包括查看预决算文本及部门工作活动绩效目标和指标；比对预决算的调整及执行情况；核查明细账与决算报表项目的一致性；对项目产出情况进行了解查看；随机选取服务对象进行满意度调查；对一些专业的问题咨询相关专家等。根据收集的数据、资料进行核对、比较、计算，对部门整体支出进行评分。</w:t>
      </w:r>
    </w:p>
    <w:p w14:paraId="5A7DE16E">
      <w:pPr>
        <w:spacing w:after="0" w:line="360" w:lineRule="auto"/>
        <w:ind w:firstLine="640" w:firstLineChars="200"/>
        <w:jc w:val="both"/>
        <w:textAlignment w:val="baseline"/>
        <w:rPr>
          <w:rFonts w:ascii="仿宋_GB2312" w:eastAsia="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撰写绩效评价报告</w:t>
      </w:r>
      <w:bookmarkStart w:id="51" w:name="_Toc492652781"/>
      <w:bookmarkStart w:id="52" w:name="_Toc465149511"/>
    </w:p>
    <w:p w14:paraId="06F6CB36">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在完成对各评价指标评分定级的基础上，开始进行报告撰写工作。</w:t>
      </w:r>
    </w:p>
    <w:p w14:paraId="32FE6F3F">
      <w:pPr>
        <w:pStyle w:val="3"/>
        <w:spacing w:before="0" w:after="0" w:line="360" w:lineRule="auto"/>
        <w:ind w:firstLine="643" w:firstLineChars="200"/>
        <w:rPr>
          <w:rFonts w:ascii="黑体" w:cs="Tahoma"/>
        </w:rPr>
      </w:pPr>
      <w:bookmarkStart w:id="53" w:name="_Toc6467"/>
      <w:r>
        <w:rPr>
          <w:rFonts w:hint="eastAsia" w:ascii="黑体" w:cs="黑体"/>
        </w:rPr>
        <w:t>四、</w:t>
      </w:r>
      <w:bookmarkEnd w:id="51"/>
      <w:bookmarkEnd w:id="52"/>
      <w:bookmarkStart w:id="54" w:name="_Toc492652782"/>
      <w:r>
        <w:rPr>
          <w:rFonts w:hint="eastAsia" w:ascii="黑体" w:cs="黑体"/>
        </w:rPr>
        <w:t>绩效评价评分情况</w:t>
      </w:r>
      <w:bookmarkEnd w:id="53"/>
    </w:p>
    <w:bookmarkEnd w:id="54"/>
    <w:p w14:paraId="7BE1EC5F">
      <w:pPr>
        <w:spacing w:after="0" w:line="360" w:lineRule="auto"/>
        <w:ind w:firstLine="640" w:firstLineChars="200"/>
        <w:jc w:val="both"/>
        <w:textAlignment w:val="baseline"/>
        <w:rPr>
          <w:rFonts w:ascii="仿宋_GB2312" w:hAnsi="宋体" w:eastAsia="仿宋_GB2312" w:cs="仿宋_GB2312"/>
          <w:sz w:val="32"/>
          <w:szCs w:val="32"/>
          <w:u w:color="000000"/>
        </w:rPr>
      </w:pPr>
      <w:r>
        <w:rPr>
          <w:rFonts w:hint="eastAsia" w:ascii="仿宋_GB2312" w:eastAsia="仿宋_GB2312" w:cs="仿宋_GB2312"/>
          <w:sz w:val="32"/>
          <w:szCs w:val="32"/>
        </w:rPr>
        <w:t>区总工会部门整体支出绩效评价总得分为</w:t>
      </w:r>
      <w:r>
        <w:rPr>
          <w:rFonts w:ascii="仿宋_GB2312" w:eastAsia="仿宋_GB2312" w:cs="仿宋_GB2312"/>
          <w:sz w:val="32"/>
          <w:szCs w:val="32"/>
        </w:rPr>
        <w:t>94</w:t>
      </w:r>
      <w:r>
        <w:rPr>
          <w:rFonts w:hint="eastAsia" w:ascii="仿宋_GB2312" w:eastAsia="仿宋_GB2312" w:cs="仿宋_GB2312"/>
          <w:sz w:val="32"/>
          <w:szCs w:val="32"/>
        </w:rPr>
        <w:t>分，综合绩效评价等级为“优”。各项得分情况如下</w:t>
      </w:r>
      <w:r>
        <w:rPr>
          <w:rFonts w:hint="eastAsia" w:ascii="仿宋_GB2312" w:hAnsi="宋体" w:eastAsia="仿宋_GB2312" w:cs="仿宋_GB2312"/>
          <w:sz w:val="32"/>
          <w:szCs w:val="32"/>
          <w:u w:color="000000"/>
        </w:rPr>
        <w:t>：</w:t>
      </w:r>
      <w:r>
        <w:rPr>
          <w:rFonts w:ascii="仿宋_GB2312" w:hAnsi="宋体" w:eastAsia="仿宋_GB2312" w:cs="仿宋_GB2312"/>
          <w:sz w:val="32"/>
          <w:szCs w:val="32"/>
          <w:u w:color="000000"/>
        </w:rPr>
        <w:t xml:space="preserve"> </w:t>
      </w:r>
    </w:p>
    <w:p w14:paraId="62FA9FF5">
      <w:pPr>
        <w:pStyle w:val="4"/>
        <w:spacing w:before="0" w:after="0"/>
        <w:ind w:firstLine="643" w:firstLineChars="200"/>
        <w:jc w:val="both"/>
        <w:rPr>
          <w:rFonts w:ascii="楷体_GB2312" w:hAnsi="宋体" w:eastAsia="楷体_GB2312" w:cs="Tahoma"/>
          <w:kern w:val="2"/>
          <w:sz w:val="32"/>
          <w:szCs w:val="32"/>
        </w:rPr>
      </w:pPr>
      <w:bookmarkStart w:id="55" w:name="_Toc492652783"/>
      <w:bookmarkStart w:id="56" w:name="_Toc4390"/>
      <w:r>
        <w:rPr>
          <w:rFonts w:hint="eastAsia" w:ascii="楷体_GB2312" w:hAnsi="宋体" w:eastAsia="楷体_GB2312" w:cs="楷体_GB2312"/>
          <w:kern w:val="2"/>
          <w:sz w:val="32"/>
          <w:szCs w:val="32"/>
        </w:rPr>
        <w:t>（一）</w:t>
      </w:r>
      <w:bookmarkEnd w:id="55"/>
      <w:r>
        <w:rPr>
          <w:rFonts w:hint="eastAsia" w:ascii="楷体_GB2312" w:hAnsi="宋体" w:eastAsia="楷体_GB2312" w:cs="楷体_GB2312"/>
          <w:kern w:val="2"/>
          <w:sz w:val="32"/>
          <w:szCs w:val="32"/>
        </w:rPr>
        <w:t>投入（</w:t>
      </w:r>
      <w:r>
        <w:rPr>
          <w:rFonts w:ascii="楷体_GB2312" w:hAnsi="宋体" w:eastAsia="楷体_GB2312" w:cs="楷体_GB2312"/>
          <w:kern w:val="2"/>
          <w:sz w:val="32"/>
          <w:szCs w:val="32"/>
        </w:rPr>
        <w:t>12</w:t>
      </w:r>
      <w:r>
        <w:rPr>
          <w:rFonts w:hint="eastAsia" w:ascii="楷体_GB2312" w:hAnsi="宋体" w:eastAsia="楷体_GB2312" w:cs="楷体_GB2312"/>
          <w:kern w:val="2"/>
          <w:sz w:val="32"/>
          <w:szCs w:val="32"/>
        </w:rPr>
        <w:t>分）</w:t>
      </w:r>
      <w:bookmarkEnd w:id="56"/>
    </w:p>
    <w:p w14:paraId="6C04A2D2">
      <w:pPr>
        <w:spacing w:after="0" w:line="360" w:lineRule="auto"/>
        <w:ind w:firstLine="640" w:firstLineChars="200"/>
        <w:jc w:val="both"/>
        <w:textAlignment w:val="baseline"/>
        <w:rPr>
          <w:rFonts w:ascii="仿宋_GB2312" w:hAnsi="宋体" w:eastAsia="仿宋_GB2312"/>
          <w:sz w:val="32"/>
          <w:szCs w:val="32"/>
          <w:u w:color="000000"/>
        </w:rPr>
      </w:pPr>
      <w:r>
        <w:rPr>
          <w:rFonts w:hint="eastAsia" w:ascii="仿宋_GB2312" w:eastAsia="仿宋_GB2312" w:cs="仿宋_GB2312"/>
          <w:sz w:val="32"/>
          <w:szCs w:val="32"/>
        </w:rPr>
        <w:t>该一级指标包含绩效目标设定和预算配置两个二级指标，主要反映绩效目标设定是否合理、科学，绩效指标的制定是否清晰、可衡量，预算编制是否完整，项目预算是否细化及在职人员控制情况。</w:t>
      </w:r>
      <w:r>
        <w:rPr>
          <w:rFonts w:ascii="仿宋_GB2312" w:hAnsi="宋体" w:eastAsia="仿宋_GB2312"/>
          <w:sz w:val="32"/>
          <w:szCs w:val="32"/>
          <w:u w:color="000000"/>
        </w:rPr>
        <w:tab/>
      </w:r>
    </w:p>
    <w:p w14:paraId="69B81934">
      <w:pPr>
        <w:spacing w:after="0" w:line="360" w:lineRule="auto"/>
        <w:jc w:val="center"/>
        <w:textAlignment w:val="baseline"/>
        <w:rPr>
          <w:rFonts w:ascii="宋体" w:hAnsi="宋体" w:eastAsia="宋体"/>
          <w:b/>
          <w:bCs/>
          <w:sz w:val="32"/>
          <w:szCs w:val="32"/>
          <w:u w:color="000000"/>
        </w:rPr>
      </w:pPr>
      <w:r>
        <w:rPr>
          <w:rFonts w:hint="eastAsia" w:ascii="宋体" w:hAnsi="宋体" w:eastAsia="宋体" w:cs="宋体"/>
          <w:b/>
          <w:bCs/>
          <w:sz w:val="32"/>
          <w:szCs w:val="32"/>
          <w:u w:color="000000"/>
        </w:rPr>
        <w:t>表</w:t>
      </w:r>
      <w:r>
        <w:rPr>
          <w:rFonts w:ascii="宋体" w:hAnsi="宋体" w:eastAsia="宋体" w:cs="宋体"/>
          <w:b/>
          <w:bCs/>
          <w:sz w:val="32"/>
          <w:szCs w:val="32"/>
          <w:u w:color="000000"/>
        </w:rPr>
        <w:t xml:space="preserve">2  </w:t>
      </w:r>
      <w:r>
        <w:rPr>
          <w:rFonts w:hint="eastAsia" w:ascii="宋体" w:hAnsi="宋体" w:eastAsia="宋体" w:cs="宋体"/>
          <w:b/>
          <w:bCs/>
          <w:sz w:val="32"/>
          <w:szCs w:val="32"/>
          <w:u w:color="000000"/>
        </w:rPr>
        <w:t>投入指标及得分情况表</w:t>
      </w:r>
    </w:p>
    <w:tbl>
      <w:tblPr>
        <w:tblStyle w:val="23"/>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9"/>
        <w:gridCol w:w="1418"/>
        <w:gridCol w:w="1701"/>
        <w:gridCol w:w="1276"/>
        <w:gridCol w:w="1134"/>
      </w:tblGrid>
      <w:tr w14:paraId="7CDCD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Align w:val="center"/>
          </w:tcPr>
          <w:p w14:paraId="4B3047E3">
            <w:pPr>
              <w:spacing w:line="420" w:lineRule="exact"/>
              <w:jc w:val="center"/>
              <w:rPr>
                <w:rFonts w:ascii="宋体" w:hAnsi="宋体" w:eastAsia="宋体"/>
                <w:b/>
                <w:bCs/>
                <w:sz w:val="21"/>
                <w:szCs w:val="21"/>
              </w:rPr>
            </w:pPr>
            <w:r>
              <w:rPr>
                <w:rFonts w:hint="eastAsia" w:ascii="宋体" w:hAnsi="宋体" w:eastAsia="宋体" w:cs="宋体"/>
                <w:b/>
                <w:bCs/>
                <w:sz w:val="21"/>
                <w:szCs w:val="21"/>
              </w:rPr>
              <w:t>一级指标</w:t>
            </w:r>
          </w:p>
        </w:tc>
        <w:tc>
          <w:tcPr>
            <w:tcW w:w="1418" w:type="dxa"/>
            <w:vAlign w:val="center"/>
          </w:tcPr>
          <w:p w14:paraId="4F98890B">
            <w:pPr>
              <w:spacing w:line="420" w:lineRule="exact"/>
              <w:jc w:val="center"/>
              <w:rPr>
                <w:rFonts w:ascii="宋体" w:hAnsi="宋体" w:eastAsia="宋体"/>
                <w:b/>
                <w:bCs/>
                <w:sz w:val="21"/>
                <w:szCs w:val="21"/>
              </w:rPr>
            </w:pPr>
            <w:r>
              <w:rPr>
                <w:rFonts w:hint="eastAsia" w:ascii="宋体" w:hAnsi="宋体" w:eastAsia="宋体" w:cs="宋体"/>
                <w:b/>
                <w:bCs/>
                <w:sz w:val="21"/>
                <w:szCs w:val="21"/>
              </w:rPr>
              <w:t>二级指标</w:t>
            </w:r>
          </w:p>
        </w:tc>
        <w:tc>
          <w:tcPr>
            <w:tcW w:w="1701" w:type="dxa"/>
            <w:vAlign w:val="center"/>
          </w:tcPr>
          <w:p w14:paraId="15E69E35">
            <w:pPr>
              <w:spacing w:line="420" w:lineRule="exact"/>
              <w:jc w:val="center"/>
              <w:rPr>
                <w:rFonts w:ascii="宋体" w:hAnsi="宋体" w:eastAsia="宋体"/>
                <w:b/>
                <w:bCs/>
                <w:sz w:val="21"/>
                <w:szCs w:val="21"/>
              </w:rPr>
            </w:pPr>
            <w:r>
              <w:rPr>
                <w:rFonts w:hint="eastAsia" w:ascii="宋体" w:hAnsi="宋体" w:eastAsia="宋体" w:cs="宋体"/>
                <w:b/>
                <w:bCs/>
                <w:sz w:val="21"/>
                <w:szCs w:val="21"/>
              </w:rPr>
              <w:t>三级指标</w:t>
            </w:r>
          </w:p>
        </w:tc>
        <w:tc>
          <w:tcPr>
            <w:tcW w:w="1276" w:type="dxa"/>
            <w:vAlign w:val="center"/>
          </w:tcPr>
          <w:p w14:paraId="206059BD">
            <w:pPr>
              <w:spacing w:line="420" w:lineRule="exact"/>
              <w:jc w:val="center"/>
              <w:rPr>
                <w:rFonts w:ascii="宋体" w:hAnsi="宋体" w:eastAsia="宋体"/>
                <w:b/>
                <w:bCs/>
                <w:sz w:val="21"/>
                <w:szCs w:val="21"/>
              </w:rPr>
            </w:pPr>
            <w:r>
              <w:rPr>
                <w:rFonts w:hint="eastAsia" w:ascii="宋体" w:hAnsi="宋体" w:eastAsia="宋体" w:cs="宋体"/>
                <w:b/>
                <w:bCs/>
                <w:sz w:val="21"/>
                <w:szCs w:val="21"/>
              </w:rPr>
              <w:t>分值权重</w:t>
            </w:r>
          </w:p>
        </w:tc>
        <w:tc>
          <w:tcPr>
            <w:tcW w:w="1134" w:type="dxa"/>
            <w:vAlign w:val="center"/>
          </w:tcPr>
          <w:p w14:paraId="10C8B1EF">
            <w:pPr>
              <w:spacing w:line="420" w:lineRule="exact"/>
              <w:jc w:val="center"/>
              <w:rPr>
                <w:rFonts w:ascii="宋体" w:hAnsi="宋体" w:eastAsia="宋体"/>
                <w:b/>
                <w:bCs/>
                <w:sz w:val="21"/>
                <w:szCs w:val="21"/>
              </w:rPr>
            </w:pPr>
            <w:r>
              <w:rPr>
                <w:rFonts w:hint="eastAsia" w:ascii="宋体" w:hAnsi="宋体" w:eastAsia="宋体" w:cs="宋体"/>
                <w:b/>
                <w:bCs/>
                <w:sz w:val="21"/>
                <w:szCs w:val="21"/>
              </w:rPr>
              <w:t>得分</w:t>
            </w:r>
          </w:p>
        </w:tc>
      </w:tr>
      <w:tr w14:paraId="3A462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restart"/>
            <w:vAlign w:val="center"/>
          </w:tcPr>
          <w:p w14:paraId="2CCCA166">
            <w:pPr>
              <w:spacing w:line="420" w:lineRule="exact"/>
              <w:jc w:val="center"/>
              <w:rPr>
                <w:rFonts w:ascii="宋体" w:hAnsi="宋体" w:eastAsia="宋体"/>
                <w:sz w:val="21"/>
                <w:szCs w:val="21"/>
              </w:rPr>
            </w:pPr>
            <w:r>
              <w:rPr>
                <w:rFonts w:hint="eastAsia" w:ascii="宋体" w:hAnsi="宋体" w:eastAsia="宋体" w:cs="宋体"/>
                <w:sz w:val="21"/>
                <w:szCs w:val="21"/>
              </w:rPr>
              <w:t>投入</w:t>
            </w:r>
          </w:p>
          <w:p w14:paraId="5C668438">
            <w:pPr>
              <w:spacing w:line="420" w:lineRule="exact"/>
              <w:jc w:val="center"/>
              <w:rPr>
                <w:rFonts w:ascii="宋体" w:hAnsi="宋体" w:eastAsia="宋体"/>
                <w:sz w:val="21"/>
                <w:szCs w:val="21"/>
                <w:highlight w:val="yellow"/>
              </w:rPr>
            </w:pPr>
            <w:r>
              <w:rPr>
                <w:rFonts w:hint="eastAsia" w:ascii="宋体" w:hAnsi="宋体" w:eastAsia="宋体" w:cs="宋体"/>
                <w:sz w:val="21"/>
                <w:szCs w:val="21"/>
              </w:rPr>
              <w:t>（</w:t>
            </w:r>
            <w:r>
              <w:rPr>
                <w:rFonts w:ascii="宋体" w:hAnsi="宋体" w:eastAsia="宋体" w:cs="宋体"/>
                <w:sz w:val="21"/>
                <w:szCs w:val="21"/>
              </w:rPr>
              <w:t>12</w:t>
            </w:r>
            <w:r>
              <w:rPr>
                <w:rFonts w:hint="eastAsia" w:ascii="宋体" w:hAnsi="宋体" w:eastAsia="宋体" w:cs="宋体"/>
                <w:sz w:val="21"/>
                <w:szCs w:val="21"/>
              </w:rPr>
              <w:t>分）</w:t>
            </w:r>
          </w:p>
        </w:tc>
        <w:tc>
          <w:tcPr>
            <w:tcW w:w="1418" w:type="dxa"/>
            <w:vMerge w:val="restart"/>
            <w:vAlign w:val="center"/>
          </w:tcPr>
          <w:p w14:paraId="3CAC411E">
            <w:pPr>
              <w:spacing w:line="420" w:lineRule="exact"/>
              <w:jc w:val="center"/>
              <w:rPr>
                <w:rFonts w:ascii="宋体" w:hAnsi="宋体" w:eastAsia="宋体"/>
                <w:sz w:val="21"/>
                <w:szCs w:val="21"/>
                <w:highlight w:val="yellow"/>
              </w:rPr>
            </w:pPr>
            <w:r>
              <w:rPr>
                <w:rFonts w:hint="eastAsia" w:ascii="宋体" w:hAnsi="宋体" w:eastAsia="宋体" w:cs="宋体"/>
                <w:sz w:val="21"/>
                <w:szCs w:val="21"/>
              </w:rPr>
              <w:t>绩效目标设定（</w:t>
            </w:r>
            <w:r>
              <w:rPr>
                <w:rFonts w:ascii="宋体" w:hAnsi="宋体" w:eastAsia="宋体" w:cs="宋体"/>
                <w:sz w:val="21"/>
                <w:szCs w:val="21"/>
              </w:rPr>
              <w:t>6</w:t>
            </w:r>
            <w:r>
              <w:rPr>
                <w:rFonts w:hint="eastAsia" w:ascii="宋体" w:hAnsi="宋体" w:eastAsia="宋体" w:cs="宋体"/>
                <w:sz w:val="21"/>
                <w:szCs w:val="21"/>
              </w:rPr>
              <w:t>分）</w:t>
            </w:r>
          </w:p>
        </w:tc>
        <w:tc>
          <w:tcPr>
            <w:tcW w:w="1701" w:type="dxa"/>
            <w:vAlign w:val="center"/>
          </w:tcPr>
          <w:p w14:paraId="66762904">
            <w:pPr>
              <w:spacing w:line="420" w:lineRule="exact"/>
              <w:jc w:val="center"/>
              <w:rPr>
                <w:rFonts w:ascii="宋体" w:hAnsi="宋体" w:eastAsia="宋体"/>
                <w:sz w:val="21"/>
                <w:szCs w:val="21"/>
              </w:rPr>
            </w:pPr>
            <w:r>
              <w:rPr>
                <w:rFonts w:hint="eastAsia" w:ascii="宋体" w:hAnsi="宋体" w:eastAsia="宋体" w:cs="宋体"/>
                <w:sz w:val="21"/>
                <w:szCs w:val="21"/>
              </w:rPr>
              <w:t>绩效目标合理性</w:t>
            </w:r>
          </w:p>
        </w:tc>
        <w:tc>
          <w:tcPr>
            <w:tcW w:w="1276" w:type="dxa"/>
            <w:vAlign w:val="center"/>
          </w:tcPr>
          <w:p w14:paraId="31659F14">
            <w:pPr>
              <w:spacing w:line="420" w:lineRule="exact"/>
              <w:jc w:val="center"/>
              <w:rPr>
                <w:rFonts w:ascii="宋体" w:hAnsi="宋体" w:eastAsia="宋体" w:cs="宋体"/>
                <w:sz w:val="21"/>
                <w:szCs w:val="21"/>
              </w:rPr>
            </w:pPr>
            <w:r>
              <w:rPr>
                <w:rFonts w:ascii="宋体" w:hAnsi="宋体" w:eastAsia="宋体" w:cs="宋体"/>
                <w:sz w:val="21"/>
                <w:szCs w:val="21"/>
              </w:rPr>
              <w:t>2</w:t>
            </w:r>
          </w:p>
        </w:tc>
        <w:tc>
          <w:tcPr>
            <w:tcW w:w="1134" w:type="dxa"/>
            <w:vAlign w:val="center"/>
          </w:tcPr>
          <w:p w14:paraId="5B434CA1">
            <w:pPr>
              <w:spacing w:line="420" w:lineRule="exact"/>
              <w:jc w:val="center"/>
              <w:rPr>
                <w:rFonts w:ascii="宋体" w:hAnsi="宋体" w:eastAsia="宋体" w:cs="宋体"/>
                <w:sz w:val="21"/>
                <w:szCs w:val="21"/>
              </w:rPr>
            </w:pPr>
          </w:p>
        </w:tc>
      </w:tr>
      <w:tr w14:paraId="10FA9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14:paraId="4A515A22">
            <w:pPr>
              <w:spacing w:line="420" w:lineRule="exact"/>
              <w:ind w:firstLine="420" w:firstLineChars="200"/>
              <w:jc w:val="center"/>
              <w:rPr>
                <w:rFonts w:ascii="宋体" w:hAnsi="宋体" w:eastAsia="宋体"/>
                <w:sz w:val="21"/>
                <w:szCs w:val="21"/>
                <w:highlight w:val="yellow"/>
              </w:rPr>
            </w:pPr>
          </w:p>
        </w:tc>
        <w:tc>
          <w:tcPr>
            <w:tcW w:w="1418" w:type="dxa"/>
            <w:vMerge w:val="continue"/>
            <w:vAlign w:val="center"/>
          </w:tcPr>
          <w:p w14:paraId="4A67874A">
            <w:pPr>
              <w:spacing w:line="420" w:lineRule="exact"/>
              <w:ind w:firstLine="420" w:firstLineChars="200"/>
              <w:jc w:val="center"/>
              <w:rPr>
                <w:rFonts w:ascii="宋体" w:hAnsi="宋体" w:eastAsia="宋体"/>
                <w:sz w:val="21"/>
                <w:szCs w:val="21"/>
                <w:highlight w:val="yellow"/>
              </w:rPr>
            </w:pPr>
          </w:p>
        </w:tc>
        <w:tc>
          <w:tcPr>
            <w:tcW w:w="1701" w:type="dxa"/>
            <w:vAlign w:val="center"/>
          </w:tcPr>
          <w:p w14:paraId="3A227F34">
            <w:pPr>
              <w:spacing w:line="420" w:lineRule="exact"/>
              <w:jc w:val="center"/>
              <w:rPr>
                <w:rFonts w:ascii="宋体" w:hAnsi="宋体" w:eastAsia="宋体"/>
                <w:sz w:val="21"/>
                <w:szCs w:val="21"/>
              </w:rPr>
            </w:pPr>
            <w:r>
              <w:rPr>
                <w:rFonts w:hint="eastAsia" w:ascii="宋体" w:hAnsi="宋体" w:eastAsia="宋体" w:cs="宋体"/>
                <w:sz w:val="21"/>
                <w:szCs w:val="21"/>
              </w:rPr>
              <w:t>绩效目标科学性</w:t>
            </w:r>
          </w:p>
        </w:tc>
        <w:tc>
          <w:tcPr>
            <w:tcW w:w="1276" w:type="dxa"/>
            <w:vAlign w:val="center"/>
          </w:tcPr>
          <w:p w14:paraId="4CCE27BD">
            <w:pPr>
              <w:spacing w:line="420" w:lineRule="exact"/>
              <w:jc w:val="center"/>
              <w:rPr>
                <w:rFonts w:ascii="宋体" w:hAnsi="宋体" w:eastAsia="宋体" w:cs="宋体"/>
                <w:sz w:val="21"/>
                <w:szCs w:val="21"/>
              </w:rPr>
            </w:pPr>
            <w:r>
              <w:rPr>
                <w:rFonts w:ascii="宋体" w:hAnsi="宋体" w:eastAsia="宋体" w:cs="宋体"/>
                <w:sz w:val="21"/>
                <w:szCs w:val="21"/>
              </w:rPr>
              <w:t>2</w:t>
            </w:r>
          </w:p>
        </w:tc>
        <w:tc>
          <w:tcPr>
            <w:tcW w:w="1134" w:type="dxa"/>
            <w:vAlign w:val="center"/>
          </w:tcPr>
          <w:p w14:paraId="18507D17">
            <w:pPr>
              <w:spacing w:line="420" w:lineRule="exact"/>
              <w:jc w:val="center"/>
              <w:rPr>
                <w:rFonts w:ascii="宋体" w:hAnsi="宋体" w:eastAsia="宋体" w:cs="宋体"/>
                <w:sz w:val="21"/>
                <w:szCs w:val="21"/>
              </w:rPr>
            </w:pPr>
          </w:p>
        </w:tc>
      </w:tr>
      <w:tr w14:paraId="3BB4C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14:paraId="6A812363">
            <w:pPr>
              <w:spacing w:line="420" w:lineRule="exact"/>
              <w:ind w:firstLine="420" w:firstLineChars="200"/>
              <w:jc w:val="center"/>
              <w:rPr>
                <w:rFonts w:ascii="宋体" w:hAnsi="宋体" w:eastAsia="宋体"/>
                <w:sz w:val="21"/>
                <w:szCs w:val="21"/>
                <w:highlight w:val="yellow"/>
              </w:rPr>
            </w:pPr>
          </w:p>
        </w:tc>
        <w:tc>
          <w:tcPr>
            <w:tcW w:w="1418" w:type="dxa"/>
            <w:vMerge w:val="continue"/>
            <w:vAlign w:val="center"/>
          </w:tcPr>
          <w:p w14:paraId="5608EBEE">
            <w:pPr>
              <w:spacing w:line="420" w:lineRule="exact"/>
              <w:ind w:firstLine="420" w:firstLineChars="200"/>
              <w:jc w:val="center"/>
              <w:rPr>
                <w:rFonts w:ascii="宋体" w:hAnsi="宋体" w:eastAsia="宋体"/>
                <w:sz w:val="21"/>
                <w:szCs w:val="21"/>
                <w:highlight w:val="yellow"/>
              </w:rPr>
            </w:pPr>
          </w:p>
        </w:tc>
        <w:tc>
          <w:tcPr>
            <w:tcW w:w="1701" w:type="dxa"/>
            <w:vAlign w:val="center"/>
          </w:tcPr>
          <w:p w14:paraId="7ACE6731">
            <w:pPr>
              <w:spacing w:line="420" w:lineRule="exact"/>
              <w:jc w:val="center"/>
              <w:rPr>
                <w:rFonts w:ascii="宋体" w:hAnsi="宋体" w:eastAsia="宋体"/>
                <w:sz w:val="21"/>
                <w:szCs w:val="21"/>
              </w:rPr>
            </w:pPr>
            <w:r>
              <w:rPr>
                <w:rFonts w:hint="eastAsia" w:ascii="宋体" w:hAnsi="宋体" w:eastAsia="宋体" w:cs="宋体"/>
                <w:sz w:val="21"/>
                <w:szCs w:val="21"/>
              </w:rPr>
              <w:t>绩效指标明确性</w:t>
            </w:r>
          </w:p>
        </w:tc>
        <w:tc>
          <w:tcPr>
            <w:tcW w:w="1276" w:type="dxa"/>
            <w:vAlign w:val="center"/>
          </w:tcPr>
          <w:p w14:paraId="16D1A5AE">
            <w:pPr>
              <w:spacing w:line="420" w:lineRule="exact"/>
              <w:jc w:val="center"/>
              <w:rPr>
                <w:rFonts w:ascii="宋体" w:hAnsi="宋体" w:eastAsia="宋体" w:cs="宋体"/>
                <w:sz w:val="21"/>
                <w:szCs w:val="21"/>
              </w:rPr>
            </w:pPr>
            <w:r>
              <w:rPr>
                <w:rFonts w:ascii="宋体" w:hAnsi="宋体" w:eastAsia="宋体" w:cs="宋体"/>
                <w:sz w:val="21"/>
                <w:szCs w:val="21"/>
              </w:rPr>
              <w:t>2</w:t>
            </w:r>
          </w:p>
        </w:tc>
        <w:tc>
          <w:tcPr>
            <w:tcW w:w="1134" w:type="dxa"/>
            <w:vAlign w:val="center"/>
          </w:tcPr>
          <w:p w14:paraId="38A12934">
            <w:pPr>
              <w:spacing w:line="420" w:lineRule="exact"/>
              <w:jc w:val="center"/>
              <w:rPr>
                <w:rFonts w:ascii="宋体" w:hAnsi="宋体" w:eastAsia="宋体" w:cs="宋体"/>
                <w:sz w:val="21"/>
                <w:szCs w:val="21"/>
              </w:rPr>
            </w:pPr>
          </w:p>
        </w:tc>
      </w:tr>
      <w:tr w14:paraId="6103D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14:paraId="7DA2F0FF">
            <w:pPr>
              <w:spacing w:line="420" w:lineRule="exact"/>
              <w:ind w:firstLine="420" w:firstLineChars="200"/>
              <w:jc w:val="center"/>
              <w:rPr>
                <w:rFonts w:ascii="宋体" w:hAnsi="宋体" w:eastAsia="宋体"/>
                <w:sz w:val="21"/>
                <w:szCs w:val="21"/>
                <w:highlight w:val="yellow"/>
              </w:rPr>
            </w:pPr>
          </w:p>
        </w:tc>
        <w:tc>
          <w:tcPr>
            <w:tcW w:w="1418" w:type="dxa"/>
            <w:vMerge w:val="restart"/>
            <w:vAlign w:val="center"/>
          </w:tcPr>
          <w:p w14:paraId="78BA4015">
            <w:pPr>
              <w:spacing w:line="420" w:lineRule="exact"/>
              <w:jc w:val="center"/>
              <w:rPr>
                <w:rFonts w:ascii="宋体" w:hAnsi="宋体" w:eastAsia="宋体"/>
                <w:sz w:val="21"/>
                <w:szCs w:val="21"/>
              </w:rPr>
            </w:pPr>
            <w:r>
              <w:rPr>
                <w:rFonts w:hint="eastAsia" w:ascii="宋体" w:hAnsi="宋体" w:eastAsia="宋体" w:cs="宋体"/>
                <w:sz w:val="21"/>
                <w:szCs w:val="21"/>
              </w:rPr>
              <w:t>预算配置</w:t>
            </w:r>
          </w:p>
          <w:p w14:paraId="227347CA">
            <w:pPr>
              <w:spacing w:line="420" w:lineRule="exact"/>
              <w:jc w:val="center"/>
              <w:rPr>
                <w:rFonts w:ascii="宋体" w:hAnsi="宋体" w:eastAsia="宋体"/>
                <w:sz w:val="21"/>
                <w:szCs w:val="21"/>
              </w:rPr>
            </w:pPr>
            <w:r>
              <w:rPr>
                <w:rFonts w:hint="eastAsia" w:ascii="宋体" w:hAnsi="宋体" w:eastAsia="宋体" w:cs="宋体"/>
                <w:sz w:val="21"/>
                <w:szCs w:val="21"/>
              </w:rPr>
              <w:t>（</w:t>
            </w:r>
            <w:r>
              <w:rPr>
                <w:rFonts w:ascii="宋体" w:hAnsi="宋体" w:eastAsia="宋体" w:cs="宋体"/>
                <w:sz w:val="21"/>
                <w:szCs w:val="21"/>
              </w:rPr>
              <w:t>6</w:t>
            </w:r>
            <w:r>
              <w:rPr>
                <w:rFonts w:hint="eastAsia" w:ascii="宋体" w:hAnsi="宋体" w:eastAsia="宋体" w:cs="宋体"/>
                <w:sz w:val="21"/>
                <w:szCs w:val="21"/>
              </w:rPr>
              <w:t>分）</w:t>
            </w:r>
          </w:p>
        </w:tc>
        <w:tc>
          <w:tcPr>
            <w:tcW w:w="1701" w:type="dxa"/>
            <w:vAlign w:val="center"/>
          </w:tcPr>
          <w:p w14:paraId="5F1604AF">
            <w:pPr>
              <w:spacing w:line="420" w:lineRule="exact"/>
              <w:jc w:val="center"/>
              <w:rPr>
                <w:rFonts w:ascii="宋体" w:hAnsi="宋体" w:eastAsia="宋体"/>
                <w:sz w:val="21"/>
                <w:szCs w:val="21"/>
              </w:rPr>
            </w:pPr>
            <w:r>
              <w:rPr>
                <w:rFonts w:hint="eastAsia" w:ascii="宋体" w:hAnsi="宋体" w:eastAsia="宋体" w:cs="宋体"/>
                <w:sz w:val="21"/>
                <w:szCs w:val="21"/>
              </w:rPr>
              <w:t>预算编制完整性</w:t>
            </w:r>
          </w:p>
        </w:tc>
        <w:tc>
          <w:tcPr>
            <w:tcW w:w="1276" w:type="dxa"/>
            <w:vAlign w:val="center"/>
          </w:tcPr>
          <w:p w14:paraId="5C56D141">
            <w:pPr>
              <w:spacing w:line="420" w:lineRule="exact"/>
              <w:jc w:val="center"/>
              <w:rPr>
                <w:rFonts w:ascii="宋体" w:hAnsi="宋体" w:eastAsia="宋体" w:cs="宋体"/>
                <w:sz w:val="21"/>
                <w:szCs w:val="21"/>
              </w:rPr>
            </w:pPr>
            <w:r>
              <w:rPr>
                <w:rFonts w:ascii="宋体" w:hAnsi="宋体" w:eastAsia="宋体" w:cs="宋体"/>
                <w:sz w:val="21"/>
                <w:szCs w:val="21"/>
              </w:rPr>
              <w:t>2</w:t>
            </w:r>
          </w:p>
        </w:tc>
        <w:tc>
          <w:tcPr>
            <w:tcW w:w="1134" w:type="dxa"/>
            <w:vAlign w:val="center"/>
          </w:tcPr>
          <w:p w14:paraId="3AB6B9D2">
            <w:pPr>
              <w:spacing w:line="420" w:lineRule="exact"/>
              <w:jc w:val="center"/>
              <w:rPr>
                <w:rFonts w:ascii="宋体" w:hAnsi="宋体" w:eastAsia="宋体" w:cs="宋体"/>
                <w:sz w:val="21"/>
                <w:szCs w:val="21"/>
              </w:rPr>
            </w:pPr>
          </w:p>
        </w:tc>
      </w:tr>
      <w:tr w14:paraId="6AAA9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14:paraId="6F127503">
            <w:pPr>
              <w:spacing w:line="420" w:lineRule="exact"/>
              <w:ind w:firstLine="420" w:firstLineChars="200"/>
              <w:jc w:val="center"/>
              <w:rPr>
                <w:rFonts w:ascii="宋体" w:hAnsi="宋体" w:eastAsia="宋体"/>
                <w:sz w:val="21"/>
                <w:szCs w:val="21"/>
                <w:highlight w:val="yellow"/>
              </w:rPr>
            </w:pPr>
          </w:p>
        </w:tc>
        <w:tc>
          <w:tcPr>
            <w:tcW w:w="1418" w:type="dxa"/>
            <w:vMerge w:val="continue"/>
            <w:vAlign w:val="center"/>
          </w:tcPr>
          <w:p w14:paraId="26A941B9">
            <w:pPr>
              <w:spacing w:line="420" w:lineRule="exact"/>
              <w:ind w:firstLine="420" w:firstLineChars="200"/>
              <w:jc w:val="center"/>
              <w:rPr>
                <w:rFonts w:ascii="宋体" w:hAnsi="宋体" w:eastAsia="宋体"/>
                <w:sz w:val="21"/>
                <w:szCs w:val="21"/>
                <w:highlight w:val="yellow"/>
              </w:rPr>
            </w:pPr>
          </w:p>
        </w:tc>
        <w:tc>
          <w:tcPr>
            <w:tcW w:w="1701" w:type="dxa"/>
            <w:vAlign w:val="center"/>
          </w:tcPr>
          <w:p w14:paraId="2F017A43">
            <w:pPr>
              <w:spacing w:line="420" w:lineRule="exact"/>
              <w:jc w:val="center"/>
              <w:rPr>
                <w:rFonts w:ascii="宋体" w:hAnsi="宋体" w:eastAsia="宋体"/>
                <w:sz w:val="21"/>
                <w:szCs w:val="21"/>
              </w:rPr>
            </w:pPr>
            <w:r>
              <w:rPr>
                <w:rFonts w:hint="eastAsia" w:ascii="宋体" w:hAnsi="宋体" w:eastAsia="宋体" w:cs="宋体"/>
                <w:sz w:val="21"/>
                <w:szCs w:val="21"/>
              </w:rPr>
              <w:t>项目预算细化率</w:t>
            </w:r>
          </w:p>
        </w:tc>
        <w:tc>
          <w:tcPr>
            <w:tcW w:w="1276" w:type="dxa"/>
            <w:vAlign w:val="center"/>
          </w:tcPr>
          <w:p w14:paraId="1F11705C">
            <w:pPr>
              <w:spacing w:line="420" w:lineRule="exact"/>
              <w:jc w:val="center"/>
              <w:rPr>
                <w:rFonts w:ascii="宋体" w:hAnsi="宋体" w:eastAsia="宋体" w:cs="宋体"/>
                <w:sz w:val="21"/>
                <w:szCs w:val="21"/>
              </w:rPr>
            </w:pPr>
            <w:r>
              <w:rPr>
                <w:rFonts w:ascii="宋体" w:hAnsi="宋体" w:eastAsia="宋体" w:cs="宋体"/>
                <w:sz w:val="21"/>
                <w:szCs w:val="21"/>
              </w:rPr>
              <w:t>2</w:t>
            </w:r>
          </w:p>
        </w:tc>
        <w:tc>
          <w:tcPr>
            <w:tcW w:w="1134" w:type="dxa"/>
            <w:vAlign w:val="center"/>
          </w:tcPr>
          <w:p w14:paraId="3E6DE8B3">
            <w:pPr>
              <w:spacing w:line="420" w:lineRule="exact"/>
              <w:jc w:val="center"/>
              <w:rPr>
                <w:rFonts w:ascii="宋体" w:hAnsi="宋体" w:eastAsia="宋体" w:cs="宋体"/>
                <w:sz w:val="21"/>
                <w:szCs w:val="21"/>
              </w:rPr>
            </w:pPr>
          </w:p>
        </w:tc>
      </w:tr>
      <w:tr w14:paraId="620AB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14:paraId="45A77F48">
            <w:pPr>
              <w:spacing w:line="420" w:lineRule="exact"/>
              <w:ind w:firstLine="420" w:firstLineChars="200"/>
              <w:jc w:val="center"/>
              <w:rPr>
                <w:rFonts w:ascii="宋体" w:hAnsi="宋体" w:eastAsia="宋体"/>
                <w:sz w:val="21"/>
                <w:szCs w:val="21"/>
                <w:highlight w:val="yellow"/>
              </w:rPr>
            </w:pPr>
          </w:p>
        </w:tc>
        <w:tc>
          <w:tcPr>
            <w:tcW w:w="1418" w:type="dxa"/>
            <w:vMerge w:val="continue"/>
            <w:vAlign w:val="center"/>
          </w:tcPr>
          <w:p w14:paraId="12F7B6CF">
            <w:pPr>
              <w:spacing w:line="420" w:lineRule="exact"/>
              <w:ind w:firstLine="420" w:firstLineChars="200"/>
              <w:jc w:val="center"/>
              <w:rPr>
                <w:rFonts w:ascii="宋体" w:hAnsi="宋体" w:eastAsia="宋体"/>
                <w:sz w:val="21"/>
                <w:szCs w:val="21"/>
                <w:highlight w:val="yellow"/>
              </w:rPr>
            </w:pPr>
          </w:p>
        </w:tc>
        <w:tc>
          <w:tcPr>
            <w:tcW w:w="1701" w:type="dxa"/>
            <w:vAlign w:val="center"/>
          </w:tcPr>
          <w:p w14:paraId="4CEB87CA">
            <w:pPr>
              <w:spacing w:line="420" w:lineRule="exact"/>
              <w:jc w:val="center"/>
              <w:rPr>
                <w:rFonts w:ascii="宋体" w:hAnsi="宋体" w:eastAsia="宋体"/>
                <w:sz w:val="21"/>
                <w:szCs w:val="21"/>
              </w:rPr>
            </w:pPr>
            <w:r>
              <w:rPr>
                <w:rFonts w:hint="eastAsia" w:ascii="宋体" w:hAnsi="宋体" w:eastAsia="宋体" w:cs="宋体"/>
                <w:sz w:val="21"/>
                <w:szCs w:val="21"/>
              </w:rPr>
              <w:t>在职人员控制率</w:t>
            </w:r>
          </w:p>
        </w:tc>
        <w:tc>
          <w:tcPr>
            <w:tcW w:w="1276" w:type="dxa"/>
            <w:vAlign w:val="center"/>
          </w:tcPr>
          <w:p w14:paraId="667A0741">
            <w:pPr>
              <w:spacing w:line="420" w:lineRule="exact"/>
              <w:jc w:val="center"/>
              <w:rPr>
                <w:rFonts w:ascii="宋体" w:hAnsi="宋体" w:eastAsia="宋体" w:cs="宋体"/>
                <w:sz w:val="21"/>
                <w:szCs w:val="21"/>
              </w:rPr>
            </w:pPr>
            <w:r>
              <w:rPr>
                <w:rFonts w:ascii="宋体" w:hAnsi="宋体" w:eastAsia="宋体" w:cs="宋体"/>
                <w:sz w:val="21"/>
                <w:szCs w:val="21"/>
              </w:rPr>
              <w:t>2</w:t>
            </w:r>
          </w:p>
        </w:tc>
        <w:tc>
          <w:tcPr>
            <w:tcW w:w="1134" w:type="dxa"/>
            <w:vAlign w:val="center"/>
          </w:tcPr>
          <w:p w14:paraId="04CA109C">
            <w:pPr>
              <w:spacing w:line="420" w:lineRule="exact"/>
              <w:jc w:val="center"/>
              <w:rPr>
                <w:rFonts w:ascii="宋体" w:hAnsi="宋体" w:eastAsia="宋体" w:cs="宋体"/>
                <w:sz w:val="21"/>
                <w:szCs w:val="21"/>
              </w:rPr>
            </w:pPr>
          </w:p>
        </w:tc>
      </w:tr>
      <w:tr w14:paraId="68A01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977" w:type="dxa"/>
            <w:gridSpan w:val="2"/>
            <w:vAlign w:val="center"/>
          </w:tcPr>
          <w:p w14:paraId="401EDF42">
            <w:pPr>
              <w:spacing w:line="420" w:lineRule="exact"/>
              <w:ind w:firstLine="420" w:firstLineChars="200"/>
              <w:jc w:val="center"/>
              <w:rPr>
                <w:rFonts w:ascii="宋体" w:hAnsi="宋体" w:eastAsia="宋体"/>
                <w:sz w:val="21"/>
                <w:szCs w:val="21"/>
                <w:highlight w:val="yellow"/>
              </w:rPr>
            </w:pPr>
            <w:r>
              <w:rPr>
                <w:rFonts w:hint="eastAsia" w:ascii="宋体" w:hAnsi="宋体" w:eastAsia="宋体" w:cs="宋体"/>
                <w:sz w:val="21"/>
                <w:szCs w:val="21"/>
              </w:rPr>
              <w:t>合计</w:t>
            </w:r>
          </w:p>
        </w:tc>
        <w:tc>
          <w:tcPr>
            <w:tcW w:w="1701" w:type="dxa"/>
            <w:vAlign w:val="center"/>
          </w:tcPr>
          <w:p w14:paraId="6DF21A5E">
            <w:pPr>
              <w:spacing w:line="420" w:lineRule="exact"/>
              <w:ind w:firstLine="420" w:firstLineChars="200"/>
              <w:jc w:val="center"/>
              <w:rPr>
                <w:rFonts w:ascii="宋体" w:hAnsi="宋体" w:eastAsia="宋体"/>
                <w:sz w:val="21"/>
                <w:szCs w:val="21"/>
                <w:highlight w:val="yellow"/>
              </w:rPr>
            </w:pPr>
          </w:p>
        </w:tc>
        <w:tc>
          <w:tcPr>
            <w:tcW w:w="1276" w:type="dxa"/>
            <w:vAlign w:val="center"/>
          </w:tcPr>
          <w:p w14:paraId="32AAB517">
            <w:pPr>
              <w:spacing w:line="420" w:lineRule="exact"/>
              <w:jc w:val="center"/>
              <w:rPr>
                <w:rFonts w:ascii="宋体" w:hAnsi="宋体" w:eastAsia="宋体" w:cs="宋体"/>
                <w:sz w:val="21"/>
                <w:szCs w:val="21"/>
              </w:rPr>
            </w:pPr>
            <w:r>
              <w:rPr>
                <w:rFonts w:ascii="宋体" w:hAnsi="宋体" w:eastAsia="宋体" w:cs="宋体"/>
                <w:sz w:val="21"/>
                <w:szCs w:val="21"/>
              </w:rPr>
              <w:t>12</w:t>
            </w:r>
          </w:p>
        </w:tc>
        <w:tc>
          <w:tcPr>
            <w:tcW w:w="1134" w:type="dxa"/>
            <w:vAlign w:val="center"/>
          </w:tcPr>
          <w:p w14:paraId="0C08D3D2">
            <w:pPr>
              <w:spacing w:line="420" w:lineRule="exact"/>
              <w:jc w:val="center"/>
              <w:rPr>
                <w:rFonts w:ascii="宋体" w:hAnsi="宋体" w:eastAsia="宋体" w:cs="宋体"/>
                <w:sz w:val="21"/>
                <w:szCs w:val="21"/>
              </w:rPr>
            </w:pPr>
          </w:p>
        </w:tc>
      </w:tr>
    </w:tbl>
    <w:p w14:paraId="739BF800">
      <w:pPr>
        <w:spacing w:after="0" w:line="360" w:lineRule="auto"/>
        <w:ind w:firstLine="640" w:firstLineChars="200"/>
        <w:jc w:val="both"/>
        <w:textAlignment w:val="baseline"/>
        <w:rPr>
          <w:rFonts w:ascii="仿宋_GB2312" w:eastAsia="仿宋_GB2312"/>
          <w:sz w:val="32"/>
          <w:szCs w:val="32"/>
        </w:rPr>
      </w:pPr>
      <w:bookmarkStart w:id="57" w:name="_Toc464638478"/>
      <w:bookmarkStart w:id="58" w:name="_Toc465149513"/>
      <w:r>
        <w:rPr>
          <w:rFonts w:ascii="仿宋_GB2312" w:eastAsia="仿宋_GB2312" w:cs="仿宋_GB2312"/>
          <w:sz w:val="32"/>
          <w:szCs w:val="32"/>
        </w:rPr>
        <w:t>1.</w:t>
      </w:r>
      <w:r>
        <w:rPr>
          <w:rFonts w:hint="eastAsia" w:ascii="仿宋_GB2312" w:eastAsia="仿宋_GB2312" w:cs="仿宋_GB2312"/>
          <w:sz w:val="32"/>
          <w:szCs w:val="32"/>
        </w:rPr>
        <w:t>绩效目标设定（</w:t>
      </w:r>
      <w:r>
        <w:rPr>
          <w:rFonts w:ascii="仿宋_GB2312" w:eastAsia="仿宋_GB2312" w:cs="仿宋_GB2312"/>
          <w:sz w:val="32"/>
          <w:szCs w:val="32"/>
        </w:rPr>
        <w:t>6</w:t>
      </w:r>
      <w:r>
        <w:rPr>
          <w:rFonts w:hint="eastAsia" w:ascii="仿宋_GB2312" w:eastAsia="仿宋_GB2312" w:cs="仿宋_GB2312"/>
          <w:sz w:val="32"/>
          <w:szCs w:val="32"/>
        </w:rPr>
        <w:t>分）</w:t>
      </w:r>
    </w:p>
    <w:p w14:paraId="0351C119">
      <w:pPr>
        <w:spacing w:after="0" w:line="360" w:lineRule="auto"/>
        <w:ind w:firstLine="640" w:firstLineChars="200"/>
        <w:jc w:val="both"/>
        <w:textAlignment w:val="baseline"/>
        <w:rPr>
          <w:rFonts w:ascii="仿宋_GB2312" w:eastAsia="仿宋_GB2312" w:cs="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）绩效目标合理性</w:t>
      </w:r>
      <w:r>
        <w:rPr>
          <w:rFonts w:ascii="仿宋_GB2312" w:eastAsia="仿宋_GB2312" w:cs="仿宋_GB2312"/>
          <w:sz w:val="32"/>
          <w:szCs w:val="32"/>
        </w:rPr>
        <w:t>(2</w:t>
      </w:r>
      <w:r>
        <w:rPr>
          <w:rFonts w:hint="eastAsia" w:ascii="仿宋_GB2312" w:eastAsia="仿宋_GB2312" w:cs="仿宋_GB2312"/>
          <w:sz w:val="32"/>
          <w:szCs w:val="32"/>
        </w:rPr>
        <w:t>分</w:t>
      </w:r>
      <w:r>
        <w:rPr>
          <w:rFonts w:ascii="仿宋_GB2312" w:eastAsia="仿宋_GB2312" w:cs="仿宋_GB2312"/>
          <w:sz w:val="32"/>
          <w:szCs w:val="32"/>
        </w:rPr>
        <w:t>)</w:t>
      </w:r>
    </w:p>
    <w:p w14:paraId="549DB63F">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14:paraId="7A410E66">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通过对比保定市徐水区委办公室及保定市徐水区人民政府办公室印发的《保定市徐水区总工会职能配置、内设机构和人员编制规定》和徐水区总工会</w:t>
      </w:r>
      <w:r>
        <w:rPr>
          <w:rFonts w:ascii="仿宋_GB2312" w:eastAsia="仿宋_GB2312" w:cs="仿宋_GB2312"/>
          <w:sz w:val="32"/>
          <w:szCs w:val="32"/>
        </w:rPr>
        <w:t>2019</w:t>
      </w:r>
      <w:r>
        <w:rPr>
          <w:rFonts w:hint="eastAsia" w:ascii="仿宋_GB2312" w:eastAsia="仿宋_GB2312" w:cs="仿宋_GB2312"/>
          <w:sz w:val="32"/>
          <w:szCs w:val="32"/>
        </w:rPr>
        <w:t>年预算文本</w:t>
      </w:r>
      <w:r>
        <w:rPr>
          <w:rFonts w:ascii="仿宋_GB2312" w:eastAsia="仿宋_GB2312"/>
          <w:sz w:val="32"/>
          <w:szCs w:val="32"/>
        </w:rPr>
        <w:t>—</w:t>
      </w:r>
      <w:r>
        <w:rPr>
          <w:rFonts w:hint="eastAsia" w:ascii="仿宋_GB2312" w:eastAsia="仿宋_GB2312" w:cs="仿宋_GB2312"/>
          <w:sz w:val="32"/>
          <w:szCs w:val="32"/>
        </w:rPr>
        <w:t>部门职责工作活动绩效目标，评价工作组认为区总工会部门职责符合“三定”方案中所赋予的职责，绩效目标设立依据充分，符合客观实际，与部门职责、工作规划和重点工作相关，工作活动和项目预算安排合理。</w:t>
      </w:r>
    </w:p>
    <w:p w14:paraId="5E5CCCFE">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该指标实际得分</w:t>
      </w:r>
      <w:r>
        <w:rPr>
          <w:rFonts w:ascii="仿宋_GB2312" w:eastAsia="仿宋_GB2312" w:cs="仿宋_GB2312"/>
          <w:sz w:val="32"/>
          <w:szCs w:val="32"/>
        </w:rPr>
        <w:t>2</w:t>
      </w:r>
      <w:r>
        <w:rPr>
          <w:rFonts w:hint="eastAsia" w:ascii="仿宋_GB2312" w:eastAsia="仿宋_GB2312" w:cs="仿宋_GB2312"/>
          <w:sz w:val="32"/>
          <w:szCs w:val="32"/>
        </w:rPr>
        <w:t>分。</w:t>
      </w:r>
    </w:p>
    <w:p w14:paraId="428CC52F">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）绩效目标科学性（</w:t>
      </w:r>
      <w:r>
        <w:rPr>
          <w:rFonts w:ascii="仿宋_GB2312" w:eastAsia="仿宋_GB2312" w:cs="仿宋_GB2312"/>
          <w:sz w:val="32"/>
          <w:szCs w:val="32"/>
        </w:rPr>
        <w:t>2</w:t>
      </w:r>
      <w:r>
        <w:rPr>
          <w:rFonts w:hint="eastAsia" w:ascii="仿宋_GB2312" w:eastAsia="仿宋_GB2312" w:cs="仿宋_GB2312"/>
          <w:sz w:val="32"/>
          <w:szCs w:val="32"/>
        </w:rPr>
        <w:t>分）</w:t>
      </w:r>
    </w:p>
    <w:p w14:paraId="0E91A740">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该指标主要评价预算批复的部门年度发展规划目标和部门职责分类绩效目标是否充分，是否与部门履职、年度工作任务相符；工作活动是否有明确的绩效目标，绩效目标是否与部门职责目标、部门年度工作目标一致，是否能体现工作活动的产出和效果。</w:t>
      </w:r>
    </w:p>
    <w:p w14:paraId="3F989DF1">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color w:val="auto"/>
          <w:sz w:val="32"/>
          <w:szCs w:val="32"/>
        </w:rPr>
        <w:t>根据区总工会</w:t>
      </w:r>
      <w:r>
        <w:rPr>
          <w:rFonts w:ascii="仿宋_GB2312" w:eastAsia="仿宋_GB2312" w:cs="仿宋_GB2312"/>
          <w:color w:val="auto"/>
          <w:sz w:val="32"/>
          <w:szCs w:val="32"/>
        </w:rPr>
        <w:t>2019</w:t>
      </w:r>
      <w:r>
        <w:rPr>
          <w:rFonts w:hint="eastAsia" w:ascii="仿宋_GB2312" w:eastAsia="仿宋_GB2312" w:cs="仿宋_GB2312"/>
          <w:color w:val="auto"/>
          <w:sz w:val="32"/>
          <w:szCs w:val="32"/>
        </w:rPr>
        <w:t>年预算文本</w:t>
      </w:r>
      <w:r>
        <w:rPr>
          <w:rFonts w:ascii="仿宋_GB2312" w:eastAsia="仿宋_GB2312"/>
          <w:color w:val="auto"/>
          <w:sz w:val="32"/>
          <w:szCs w:val="32"/>
        </w:rPr>
        <w:t>—</w:t>
      </w:r>
      <w:r>
        <w:rPr>
          <w:rFonts w:hint="eastAsia" w:ascii="仿宋_GB2312" w:eastAsia="仿宋_GB2312" w:cs="仿宋_GB2312"/>
          <w:color w:val="auto"/>
          <w:sz w:val="32"/>
          <w:szCs w:val="32"/>
        </w:rPr>
        <w:t>部门职责工作活动绩效目标（详见附件</w:t>
      </w:r>
      <w:r>
        <w:rPr>
          <w:rFonts w:ascii="仿宋_GB2312" w:eastAsia="仿宋_GB2312" w:cs="仿宋_GB2312"/>
          <w:color w:val="auto"/>
          <w:sz w:val="32"/>
          <w:szCs w:val="32"/>
        </w:rPr>
        <w:t>4</w:t>
      </w:r>
      <w:r>
        <w:rPr>
          <w:rFonts w:hint="eastAsia" w:ascii="仿宋_GB2312" w:eastAsia="仿宋_GB2312" w:cs="仿宋_GB2312"/>
          <w:color w:val="auto"/>
          <w:sz w:val="32"/>
          <w:szCs w:val="32"/>
        </w:rPr>
        <w:t>），绩效目标与部门履职、年度工作任务相符；工作活动有明确的绩</w:t>
      </w:r>
      <w:r>
        <w:rPr>
          <w:rFonts w:hint="eastAsia" w:ascii="仿宋_GB2312" w:eastAsia="仿宋_GB2312" w:cs="仿宋_GB2312"/>
          <w:sz w:val="32"/>
          <w:szCs w:val="32"/>
        </w:rPr>
        <w:t>效目标，绩效目标与部门职责目标、部门年度工作目标一致。</w:t>
      </w:r>
    </w:p>
    <w:p w14:paraId="1A8FCC0B">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该项指标实际得分</w:t>
      </w:r>
      <w:r>
        <w:rPr>
          <w:rFonts w:ascii="仿宋_GB2312" w:eastAsia="仿宋_GB2312" w:cs="仿宋_GB2312"/>
          <w:sz w:val="32"/>
          <w:szCs w:val="32"/>
        </w:rPr>
        <w:t>2</w:t>
      </w:r>
      <w:r>
        <w:rPr>
          <w:rFonts w:hint="eastAsia" w:ascii="仿宋_GB2312" w:eastAsia="仿宋_GB2312" w:cs="仿宋_GB2312"/>
          <w:sz w:val="32"/>
          <w:szCs w:val="32"/>
        </w:rPr>
        <w:t>分。</w:t>
      </w:r>
    </w:p>
    <w:p w14:paraId="164C4978">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3</w:t>
      </w:r>
      <w:r>
        <w:rPr>
          <w:rFonts w:hint="eastAsia" w:ascii="仿宋_GB2312" w:eastAsia="仿宋_GB2312" w:cs="仿宋_GB2312"/>
          <w:sz w:val="32"/>
          <w:szCs w:val="32"/>
        </w:rPr>
        <w:t>）绩效目标明确性（</w:t>
      </w:r>
      <w:r>
        <w:rPr>
          <w:rFonts w:ascii="仿宋_GB2312" w:eastAsia="仿宋_GB2312" w:cs="仿宋_GB2312"/>
          <w:sz w:val="32"/>
          <w:szCs w:val="32"/>
        </w:rPr>
        <w:t>2</w:t>
      </w:r>
      <w:r>
        <w:rPr>
          <w:rFonts w:hint="eastAsia" w:ascii="仿宋_GB2312" w:eastAsia="仿宋_GB2312" w:cs="仿宋_GB2312"/>
          <w:sz w:val="32"/>
          <w:szCs w:val="32"/>
        </w:rPr>
        <w:t>分）</w:t>
      </w:r>
    </w:p>
    <w:p w14:paraId="354C0C92">
      <w:pPr>
        <w:spacing w:after="0" w:line="360" w:lineRule="auto"/>
        <w:ind w:firstLine="640" w:firstLineChars="200"/>
        <w:jc w:val="both"/>
        <w:textAlignment w:val="baseline"/>
        <w:rPr>
          <w:rFonts w:ascii="仿宋_GB2312" w:eastAsia="仿宋_GB2312"/>
          <w:sz w:val="32"/>
          <w:szCs w:val="32"/>
          <w:highlight w:val="yellow"/>
        </w:rPr>
      </w:pPr>
      <w:r>
        <w:rPr>
          <w:rFonts w:hint="eastAsia" w:ascii="仿宋_GB2312" w:eastAsia="仿宋_GB2312" w:cs="仿宋_GB2312"/>
          <w:sz w:val="32"/>
          <w:szCs w:val="32"/>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14:paraId="3F3F6D45">
      <w:pPr>
        <w:spacing w:after="0" w:line="360" w:lineRule="auto"/>
        <w:ind w:firstLine="640" w:firstLineChars="200"/>
        <w:jc w:val="both"/>
        <w:textAlignment w:val="baseline"/>
        <w:rPr>
          <w:rFonts w:ascii="仿宋_GB2312" w:eastAsia="仿宋_GB2312"/>
          <w:color w:val="FF0000"/>
          <w:sz w:val="32"/>
          <w:szCs w:val="32"/>
        </w:rPr>
      </w:pPr>
      <w:r>
        <w:rPr>
          <w:rFonts w:hint="eastAsia" w:ascii="仿宋_GB2312" w:eastAsia="仿宋_GB2312" w:cs="仿宋_GB2312"/>
          <w:sz w:val="32"/>
          <w:szCs w:val="32"/>
        </w:rPr>
        <w:t>根据区总工会</w:t>
      </w:r>
      <w:r>
        <w:rPr>
          <w:rFonts w:ascii="仿宋_GB2312" w:eastAsia="仿宋_GB2312" w:cs="仿宋_GB2312"/>
          <w:sz w:val="32"/>
          <w:szCs w:val="32"/>
        </w:rPr>
        <w:t>2019</w:t>
      </w:r>
      <w:r>
        <w:rPr>
          <w:rFonts w:hint="eastAsia" w:ascii="仿宋_GB2312" w:eastAsia="仿宋_GB2312" w:cs="仿宋_GB2312"/>
          <w:sz w:val="32"/>
          <w:szCs w:val="32"/>
        </w:rPr>
        <w:t>年预算文本</w:t>
      </w:r>
      <w:r>
        <w:rPr>
          <w:rFonts w:ascii="仿宋_GB2312" w:eastAsia="仿宋_GB2312"/>
          <w:sz w:val="32"/>
          <w:szCs w:val="32"/>
        </w:rPr>
        <w:t>—</w:t>
      </w:r>
      <w:r>
        <w:rPr>
          <w:rFonts w:hint="eastAsia" w:ascii="仿宋_GB2312" w:eastAsia="仿宋_GB2312" w:cs="仿宋_GB2312"/>
          <w:sz w:val="32"/>
          <w:szCs w:val="32"/>
        </w:rPr>
        <w:t>部门职责工作活动绩效目标</w:t>
      </w:r>
      <w:r>
        <w:rPr>
          <w:rFonts w:ascii="仿宋_GB2312" w:eastAsia="仿宋_GB2312" w:cs="仿宋_GB2312"/>
          <w:sz w:val="32"/>
          <w:szCs w:val="32"/>
        </w:rPr>
        <w:t>,</w:t>
      </w:r>
      <w:r>
        <w:rPr>
          <w:rFonts w:hint="eastAsia" w:ascii="仿宋_GB2312" w:eastAsia="仿宋_GB2312" w:cs="仿宋_GB2312"/>
          <w:sz w:val="32"/>
          <w:szCs w:val="32"/>
        </w:rPr>
        <w:t>该指标实际得分</w:t>
      </w:r>
      <w:r>
        <w:rPr>
          <w:rFonts w:ascii="仿宋_GB2312" w:eastAsia="仿宋_GB2312" w:cs="仿宋_GB2312"/>
          <w:sz w:val="32"/>
          <w:szCs w:val="32"/>
        </w:rPr>
        <w:t>6</w:t>
      </w:r>
      <w:r>
        <w:rPr>
          <w:rFonts w:hint="eastAsia" w:ascii="仿宋_GB2312" w:eastAsia="仿宋_GB2312" w:cs="仿宋_GB2312"/>
          <w:sz w:val="32"/>
          <w:szCs w:val="32"/>
        </w:rPr>
        <w:t>分。</w:t>
      </w:r>
    </w:p>
    <w:p w14:paraId="639C5280">
      <w:pPr>
        <w:spacing w:after="0" w:line="360" w:lineRule="auto"/>
        <w:ind w:firstLine="640" w:firstLineChars="200"/>
        <w:jc w:val="both"/>
        <w:textAlignment w:val="baseline"/>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预算配置（</w:t>
      </w:r>
      <w:r>
        <w:rPr>
          <w:rFonts w:ascii="仿宋_GB2312" w:eastAsia="仿宋_GB2312" w:cs="仿宋_GB2312"/>
          <w:sz w:val="32"/>
          <w:szCs w:val="32"/>
        </w:rPr>
        <w:t>6</w:t>
      </w:r>
      <w:r>
        <w:rPr>
          <w:rFonts w:hint="eastAsia" w:ascii="仿宋_GB2312" w:eastAsia="仿宋_GB2312" w:cs="仿宋_GB2312"/>
          <w:sz w:val="32"/>
          <w:szCs w:val="32"/>
        </w:rPr>
        <w:t>分）</w:t>
      </w:r>
    </w:p>
    <w:p w14:paraId="51D30FB0">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）预算编制完整性（</w:t>
      </w:r>
      <w:r>
        <w:rPr>
          <w:rFonts w:ascii="仿宋_GB2312" w:eastAsia="仿宋_GB2312" w:cs="仿宋_GB2312"/>
          <w:sz w:val="32"/>
          <w:szCs w:val="32"/>
        </w:rPr>
        <w:t>2</w:t>
      </w:r>
      <w:r>
        <w:rPr>
          <w:rFonts w:hint="eastAsia" w:ascii="仿宋_GB2312" w:eastAsia="仿宋_GB2312" w:cs="仿宋_GB2312"/>
          <w:sz w:val="32"/>
          <w:szCs w:val="32"/>
        </w:rPr>
        <w:t>分）</w:t>
      </w:r>
    </w:p>
    <w:p w14:paraId="7ACC1B3E">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该指标主要评价部门所有收入是否全部纳入部门预算，部门支出预算是否统筹各类支出，按基本支出、项目支出分别编制。</w:t>
      </w:r>
    </w:p>
    <w:p w14:paraId="10543A81">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根据区总工会</w:t>
      </w:r>
      <w:r>
        <w:rPr>
          <w:rFonts w:ascii="仿宋_GB2312" w:eastAsia="仿宋_GB2312" w:cs="仿宋_GB2312"/>
          <w:sz w:val="32"/>
          <w:szCs w:val="32"/>
        </w:rPr>
        <w:t>2019</w:t>
      </w:r>
      <w:r>
        <w:rPr>
          <w:rFonts w:hint="eastAsia" w:ascii="仿宋_GB2312" w:eastAsia="仿宋_GB2312" w:cs="仿宋_GB2312"/>
          <w:sz w:val="32"/>
          <w:szCs w:val="32"/>
        </w:rPr>
        <w:t>年预算文本及相关会计资料，区总工会所有收入均已纳入部门预算，部门支出按基本支出、项目支出分别编制。</w:t>
      </w:r>
    </w:p>
    <w:p w14:paraId="78D17D4C">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该指标实际得分</w:t>
      </w:r>
      <w:r>
        <w:rPr>
          <w:rFonts w:ascii="仿宋_GB2312" w:eastAsia="仿宋_GB2312" w:cs="仿宋_GB2312"/>
          <w:sz w:val="32"/>
          <w:szCs w:val="32"/>
        </w:rPr>
        <w:t>2</w:t>
      </w:r>
      <w:r>
        <w:rPr>
          <w:rFonts w:hint="eastAsia" w:ascii="仿宋_GB2312" w:eastAsia="仿宋_GB2312" w:cs="仿宋_GB2312"/>
          <w:sz w:val="32"/>
          <w:szCs w:val="32"/>
        </w:rPr>
        <w:t>分。</w:t>
      </w:r>
    </w:p>
    <w:p w14:paraId="5EF58ED1">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）项目预算细化率（</w:t>
      </w:r>
      <w:r>
        <w:rPr>
          <w:rFonts w:ascii="仿宋_GB2312" w:eastAsia="仿宋_GB2312" w:cs="仿宋_GB2312"/>
          <w:sz w:val="32"/>
          <w:szCs w:val="32"/>
        </w:rPr>
        <w:t>2</w:t>
      </w:r>
      <w:r>
        <w:rPr>
          <w:rFonts w:hint="eastAsia" w:ascii="仿宋_GB2312" w:eastAsia="仿宋_GB2312" w:cs="仿宋_GB2312"/>
          <w:sz w:val="32"/>
          <w:szCs w:val="32"/>
        </w:rPr>
        <w:t>分）</w:t>
      </w:r>
    </w:p>
    <w:p w14:paraId="56147D46">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该指标主要评价编报的项目支出是否细化到具体用款单位和项目的资金额度，通过项目预算细化率衡量。</w:t>
      </w:r>
    </w:p>
    <w:p w14:paraId="4640EA50">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项目预算细化率</w:t>
      </w:r>
      <w:r>
        <w:rPr>
          <w:rFonts w:ascii="仿宋_GB2312" w:eastAsia="仿宋_GB2312" w:cs="仿宋_GB2312"/>
          <w:sz w:val="32"/>
          <w:szCs w:val="32"/>
        </w:rPr>
        <w:t>=</w:t>
      </w:r>
      <w:r>
        <w:rPr>
          <w:rFonts w:hint="eastAsia" w:ascii="仿宋_GB2312" w:eastAsia="仿宋_GB2312" w:cs="仿宋_GB2312"/>
          <w:sz w:val="32"/>
          <w:szCs w:val="32"/>
        </w:rPr>
        <w:t>细化的项目金额</w:t>
      </w:r>
      <w:r>
        <w:rPr>
          <w:rFonts w:ascii="仿宋_GB2312" w:eastAsia="仿宋_GB2312" w:cs="仿宋_GB2312"/>
          <w:sz w:val="32"/>
          <w:szCs w:val="32"/>
        </w:rPr>
        <w:t>/</w:t>
      </w:r>
      <w:r>
        <w:rPr>
          <w:rFonts w:hint="eastAsia" w:ascii="仿宋_GB2312" w:eastAsia="仿宋_GB2312" w:cs="仿宋_GB2312"/>
          <w:sz w:val="32"/>
          <w:szCs w:val="32"/>
        </w:rPr>
        <w:t>实际编报的项目金额×</w:t>
      </w:r>
      <w:r>
        <w:rPr>
          <w:rFonts w:ascii="仿宋_GB2312" w:eastAsia="仿宋_GB2312" w:cs="仿宋_GB2312"/>
          <w:sz w:val="32"/>
          <w:szCs w:val="32"/>
        </w:rPr>
        <w:t>100%</w:t>
      </w:r>
      <w:r>
        <w:rPr>
          <w:rFonts w:hint="eastAsia" w:ascii="仿宋_GB2312" w:eastAsia="仿宋_GB2312" w:cs="仿宋_GB2312"/>
          <w:sz w:val="32"/>
          <w:szCs w:val="32"/>
        </w:rPr>
        <w:t>。</w:t>
      </w:r>
    </w:p>
    <w:p w14:paraId="309E452E">
      <w:pPr>
        <w:spacing w:after="0" w:line="360" w:lineRule="auto"/>
        <w:ind w:firstLine="640" w:firstLineChars="200"/>
        <w:jc w:val="both"/>
        <w:textAlignment w:val="baseline"/>
        <w:rPr>
          <w:rFonts w:ascii="仿宋_GB2312" w:eastAsia="仿宋_GB2312" w:cs="仿宋_GB2312"/>
          <w:color w:val="auto"/>
          <w:sz w:val="32"/>
          <w:szCs w:val="32"/>
        </w:rPr>
      </w:pPr>
      <w:r>
        <w:rPr>
          <w:rFonts w:hint="eastAsia" w:ascii="仿宋_GB2312" w:eastAsia="仿宋_GB2312" w:cs="仿宋_GB2312"/>
          <w:sz w:val="32"/>
          <w:szCs w:val="32"/>
        </w:rPr>
        <w:t>根据区总工会</w:t>
      </w:r>
      <w:r>
        <w:rPr>
          <w:rFonts w:ascii="仿宋_GB2312" w:eastAsia="仿宋_GB2312" w:cs="仿宋_GB2312"/>
          <w:sz w:val="32"/>
          <w:szCs w:val="32"/>
        </w:rPr>
        <w:t>2019</w:t>
      </w:r>
      <w:r>
        <w:rPr>
          <w:rFonts w:hint="eastAsia" w:ascii="仿宋_GB2312" w:eastAsia="仿宋_GB2312" w:cs="仿宋_GB2312"/>
          <w:sz w:val="32"/>
          <w:szCs w:val="32"/>
        </w:rPr>
        <w:t>年预算文本</w:t>
      </w:r>
      <w:r>
        <w:rPr>
          <w:rFonts w:ascii="仿宋_GB2312" w:eastAsia="仿宋_GB2312"/>
          <w:sz w:val="32"/>
          <w:szCs w:val="32"/>
        </w:rPr>
        <w:t>—</w:t>
      </w:r>
      <w:r>
        <w:rPr>
          <w:rFonts w:hint="eastAsia" w:ascii="仿宋_GB2312" w:eastAsia="仿宋_GB2312" w:cs="仿宋_GB2312"/>
          <w:sz w:val="32"/>
          <w:szCs w:val="32"/>
        </w:rPr>
        <w:t>部门项目支出预算表，区总工会</w:t>
      </w:r>
      <w:r>
        <w:rPr>
          <w:rFonts w:ascii="仿宋_GB2312" w:eastAsia="仿宋_GB2312" w:cs="仿宋_GB2312"/>
          <w:sz w:val="32"/>
          <w:szCs w:val="32"/>
        </w:rPr>
        <w:t>2019</w:t>
      </w:r>
      <w:r>
        <w:rPr>
          <w:rFonts w:hint="eastAsia" w:ascii="仿宋_GB2312" w:eastAsia="仿宋_GB2312" w:cs="仿宋_GB2312"/>
          <w:sz w:val="32"/>
          <w:szCs w:val="32"/>
        </w:rPr>
        <w:t>年预算项目</w:t>
      </w:r>
      <w:r>
        <w:rPr>
          <w:rFonts w:hint="eastAsia" w:ascii="仿宋_GB2312" w:eastAsia="仿宋_GB2312" w:cs="仿宋_GB2312"/>
          <w:color w:val="auto"/>
          <w:sz w:val="32"/>
          <w:szCs w:val="32"/>
        </w:rPr>
        <w:t>共</w:t>
      </w:r>
      <w:r>
        <w:rPr>
          <w:rFonts w:ascii="仿宋_GB2312" w:eastAsia="仿宋_GB2312" w:cs="仿宋_GB2312"/>
          <w:color w:val="auto"/>
          <w:sz w:val="32"/>
          <w:szCs w:val="32"/>
        </w:rPr>
        <w:t>1</w:t>
      </w:r>
      <w:r>
        <w:rPr>
          <w:rFonts w:hint="eastAsia" w:ascii="仿宋_GB2312" w:eastAsia="仿宋_GB2312" w:cs="仿宋_GB2312"/>
          <w:color w:val="auto"/>
          <w:sz w:val="32"/>
          <w:szCs w:val="32"/>
        </w:rPr>
        <w:t>个（详见附件</w:t>
      </w:r>
      <w:r>
        <w:rPr>
          <w:rFonts w:ascii="仿宋_GB2312" w:eastAsia="仿宋_GB2312" w:cs="仿宋_GB2312"/>
          <w:color w:val="auto"/>
          <w:sz w:val="32"/>
          <w:szCs w:val="32"/>
        </w:rPr>
        <w:t>2-2-2</w:t>
      </w:r>
      <w:r>
        <w:rPr>
          <w:rFonts w:hint="eastAsia" w:ascii="仿宋_GB2312" w:eastAsia="仿宋_GB2312" w:cs="仿宋_GB2312"/>
          <w:color w:val="auto"/>
          <w:sz w:val="32"/>
          <w:szCs w:val="32"/>
        </w:rPr>
        <w:t>），涉及资金</w:t>
      </w:r>
      <w:r>
        <w:rPr>
          <w:rFonts w:ascii="仿宋_GB2312" w:hAnsi="宋体" w:eastAsia="仿宋_GB2312" w:cs="仿宋_GB2312"/>
          <w:color w:val="auto"/>
          <w:sz w:val="32"/>
          <w:szCs w:val="32"/>
          <w:u w:color="000000"/>
        </w:rPr>
        <w:t>9.89</w:t>
      </w:r>
      <w:r>
        <w:rPr>
          <w:rFonts w:hint="eastAsia" w:ascii="仿宋_GB2312" w:eastAsia="仿宋_GB2312" w:cs="仿宋_GB2312"/>
          <w:color w:val="auto"/>
          <w:sz w:val="32"/>
          <w:szCs w:val="32"/>
        </w:rPr>
        <w:t>万元，所有项目均细化到具体用款单位及项目资金额度。项目预算细化率</w:t>
      </w:r>
      <w:r>
        <w:rPr>
          <w:rFonts w:ascii="仿宋_GB2312" w:eastAsia="仿宋_GB2312" w:cs="仿宋_GB2312"/>
          <w:color w:val="auto"/>
          <w:sz w:val="32"/>
          <w:szCs w:val="32"/>
        </w:rPr>
        <w:t>=*100%=100%</w:t>
      </w:r>
    </w:p>
    <w:p w14:paraId="61821C79">
      <w:pPr>
        <w:spacing w:after="0" w:line="360" w:lineRule="auto"/>
        <w:ind w:firstLine="640" w:firstLineChars="200"/>
        <w:jc w:val="both"/>
        <w:textAlignment w:val="baseline"/>
        <w:rPr>
          <w:rFonts w:ascii="仿宋_GB2312" w:eastAsia="仿宋_GB2312"/>
          <w:color w:val="auto"/>
          <w:sz w:val="32"/>
          <w:szCs w:val="32"/>
        </w:rPr>
      </w:pPr>
      <w:r>
        <w:rPr>
          <w:rFonts w:hint="eastAsia" w:ascii="仿宋_GB2312" w:eastAsia="仿宋_GB2312" w:cs="仿宋_GB2312"/>
          <w:color w:val="auto"/>
          <w:sz w:val="32"/>
          <w:szCs w:val="32"/>
        </w:rPr>
        <w:t>该指标实际得分</w:t>
      </w:r>
      <w:r>
        <w:rPr>
          <w:rFonts w:ascii="仿宋_GB2312" w:eastAsia="仿宋_GB2312" w:cs="仿宋_GB2312"/>
          <w:color w:val="auto"/>
          <w:sz w:val="32"/>
          <w:szCs w:val="32"/>
        </w:rPr>
        <w:t>2</w:t>
      </w:r>
      <w:r>
        <w:rPr>
          <w:rFonts w:hint="eastAsia" w:ascii="仿宋_GB2312" w:eastAsia="仿宋_GB2312" w:cs="仿宋_GB2312"/>
          <w:color w:val="auto"/>
          <w:sz w:val="32"/>
          <w:szCs w:val="32"/>
        </w:rPr>
        <w:t>分。</w:t>
      </w:r>
    </w:p>
    <w:p w14:paraId="1E2C7F15">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3</w:t>
      </w:r>
      <w:r>
        <w:rPr>
          <w:rFonts w:hint="eastAsia" w:ascii="仿宋_GB2312" w:eastAsia="仿宋_GB2312" w:cs="仿宋_GB2312"/>
          <w:sz w:val="32"/>
          <w:szCs w:val="32"/>
        </w:rPr>
        <w:t>）在职人员控制率（</w:t>
      </w:r>
      <w:r>
        <w:rPr>
          <w:rFonts w:ascii="仿宋_GB2312" w:eastAsia="仿宋_GB2312" w:cs="仿宋_GB2312"/>
          <w:sz w:val="32"/>
          <w:szCs w:val="32"/>
        </w:rPr>
        <w:t>2</w:t>
      </w:r>
      <w:r>
        <w:rPr>
          <w:rFonts w:hint="eastAsia" w:ascii="仿宋_GB2312" w:eastAsia="仿宋_GB2312" w:cs="仿宋_GB2312"/>
          <w:sz w:val="32"/>
          <w:szCs w:val="32"/>
        </w:rPr>
        <w:t>分）</w:t>
      </w:r>
    </w:p>
    <w:p w14:paraId="1EA7FFCA">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该指标主要考核截至</w:t>
      </w:r>
      <w:r>
        <w:rPr>
          <w:rFonts w:ascii="仿宋_GB2312" w:eastAsia="仿宋_GB2312" w:cs="仿宋_GB2312"/>
          <w:sz w:val="32"/>
          <w:szCs w:val="32"/>
        </w:rPr>
        <w:t>2019</w:t>
      </w:r>
      <w:r>
        <w:rPr>
          <w:rFonts w:hint="eastAsia" w:ascii="仿宋_GB2312" w:eastAsia="仿宋_GB2312" w:cs="仿宋_GB2312"/>
          <w:sz w:val="32"/>
          <w:szCs w:val="32"/>
        </w:rPr>
        <w:t>年底区总工会在职人员控制情况，通过在职人员控制率衡量。</w:t>
      </w:r>
    </w:p>
    <w:p w14:paraId="3FA5F205">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在职人员控制率</w:t>
      </w:r>
      <w:r>
        <w:rPr>
          <w:rFonts w:ascii="仿宋_GB2312" w:eastAsia="仿宋_GB2312" w:cs="仿宋_GB2312"/>
          <w:sz w:val="32"/>
          <w:szCs w:val="32"/>
        </w:rPr>
        <w:t>=</w:t>
      </w:r>
      <w:r>
        <w:rPr>
          <w:rFonts w:hint="eastAsia" w:ascii="仿宋_GB2312" w:eastAsia="仿宋_GB2312" w:cs="仿宋_GB2312"/>
          <w:sz w:val="32"/>
          <w:szCs w:val="32"/>
        </w:rPr>
        <w:t>决算在职人员</w:t>
      </w:r>
      <w:r>
        <w:rPr>
          <w:rFonts w:ascii="仿宋_GB2312" w:eastAsia="仿宋_GB2312" w:cs="仿宋_GB2312"/>
          <w:sz w:val="32"/>
          <w:szCs w:val="32"/>
        </w:rPr>
        <w:t>/</w:t>
      </w:r>
      <w:r>
        <w:rPr>
          <w:rFonts w:hint="eastAsia" w:ascii="仿宋_GB2312" w:eastAsia="仿宋_GB2312" w:cs="仿宋_GB2312"/>
          <w:sz w:val="32"/>
          <w:szCs w:val="32"/>
        </w:rPr>
        <w:t>编制数×</w:t>
      </w:r>
      <w:r>
        <w:rPr>
          <w:rFonts w:ascii="仿宋_GB2312" w:eastAsia="仿宋_GB2312" w:cs="仿宋_GB2312"/>
          <w:sz w:val="32"/>
          <w:szCs w:val="32"/>
        </w:rPr>
        <w:t>100%</w:t>
      </w:r>
      <w:r>
        <w:rPr>
          <w:rFonts w:hint="eastAsia" w:ascii="仿宋_GB2312" w:eastAsia="仿宋_GB2312" w:cs="仿宋_GB2312"/>
          <w:sz w:val="32"/>
          <w:szCs w:val="32"/>
        </w:rPr>
        <w:t>。</w:t>
      </w:r>
    </w:p>
    <w:p w14:paraId="4642396D">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根据保定市徐水区委办公室及保定市徐水区人民政府办公室关于印发《保定市徐水区总工会职能配置、内设机构和人员编制规定》的通知，徐水区总工会人员编制为</w:t>
      </w:r>
      <w:r>
        <w:rPr>
          <w:rFonts w:ascii="仿宋_GB2312" w:eastAsia="仿宋_GB2312" w:cs="仿宋_GB2312"/>
          <w:sz w:val="32"/>
          <w:szCs w:val="32"/>
        </w:rPr>
        <w:t>10</w:t>
      </w:r>
      <w:r>
        <w:rPr>
          <w:rFonts w:hint="eastAsia" w:ascii="仿宋_GB2312" w:eastAsia="仿宋_GB2312" w:cs="仿宋_GB2312"/>
          <w:sz w:val="32"/>
          <w:szCs w:val="32"/>
        </w:rPr>
        <w:t>人，根据区总工会</w:t>
      </w:r>
      <w:r>
        <w:rPr>
          <w:rFonts w:ascii="仿宋_GB2312" w:eastAsia="仿宋_GB2312" w:cs="仿宋_GB2312"/>
          <w:sz w:val="32"/>
          <w:szCs w:val="32"/>
        </w:rPr>
        <w:t>2019</w:t>
      </w:r>
      <w:r>
        <w:rPr>
          <w:rFonts w:hint="eastAsia" w:ascii="仿宋_GB2312" w:eastAsia="仿宋_GB2312" w:cs="仿宋_GB2312"/>
          <w:sz w:val="32"/>
          <w:szCs w:val="32"/>
        </w:rPr>
        <w:t>年决算文本</w:t>
      </w:r>
      <w:r>
        <w:rPr>
          <w:rFonts w:ascii="仿宋_GB2312" w:eastAsia="仿宋_GB2312" w:cs="仿宋_GB2312"/>
          <w:sz w:val="32"/>
          <w:szCs w:val="32"/>
        </w:rPr>
        <w:t>-</w:t>
      </w:r>
      <w:r>
        <w:rPr>
          <w:rFonts w:hint="eastAsia" w:ascii="仿宋_GB2312" w:eastAsia="仿宋_GB2312" w:cs="仿宋_GB2312"/>
          <w:sz w:val="32"/>
          <w:szCs w:val="32"/>
        </w:rPr>
        <w:t>部门基本情况表，截至</w:t>
      </w:r>
      <w:r>
        <w:rPr>
          <w:rFonts w:ascii="仿宋_GB2312" w:eastAsia="仿宋_GB2312" w:cs="仿宋_GB2312"/>
          <w:sz w:val="32"/>
          <w:szCs w:val="32"/>
        </w:rPr>
        <w:t>2019</w:t>
      </w:r>
      <w:r>
        <w:rPr>
          <w:rFonts w:hint="eastAsia" w:ascii="仿宋_GB2312" w:eastAsia="仿宋_GB2312" w:cs="仿宋_GB2312"/>
          <w:sz w:val="32"/>
          <w:szCs w:val="32"/>
        </w:rPr>
        <w:t>年底，在职人员</w:t>
      </w:r>
      <w:r>
        <w:rPr>
          <w:rFonts w:ascii="仿宋_GB2312" w:eastAsia="仿宋_GB2312" w:cs="仿宋_GB2312"/>
          <w:sz w:val="32"/>
          <w:szCs w:val="32"/>
        </w:rPr>
        <w:t>10</w:t>
      </w:r>
      <w:r>
        <w:rPr>
          <w:rFonts w:hint="eastAsia" w:ascii="仿宋_GB2312" w:eastAsia="仿宋_GB2312" w:cs="仿宋_GB2312"/>
          <w:sz w:val="32"/>
          <w:szCs w:val="32"/>
        </w:rPr>
        <w:t>人，在职人员控制率</w:t>
      </w:r>
      <w:r>
        <w:rPr>
          <w:rFonts w:ascii="仿宋_GB2312" w:eastAsia="仿宋_GB2312" w:cs="仿宋_GB2312"/>
          <w:sz w:val="32"/>
          <w:szCs w:val="32"/>
        </w:rPr>
        <w:t>=</w:t>
      </w:r>
      <w:r>
        <w:rPr>
          <w:rFonts w:hint="eastAsia" w:ascii="仿宋_GB2312" w:eastAsia="仿宋_GB2312" w:cs="仿宋_GB2312"/>
          <w:sz w:val="32"/>
          <w:szCs w:val="32"/>
        </w:rPr>
        <w:t>（</w:t>
      </w:r>
      <w:r>
        <w:rPr>
          <w:rFonts w:ascii="仿宋_GB2312" w:eastAsia="仿宋_GB2312" w:cs="仿宋_GB2312"/>
          <w:sz w:val="32"/>
          <w:szCs w:val="32"/>
        </w:rPr>
        <w:t>xx/xx</w:t>
      </w:r>
      <w:r>
        <w:rPr>
          <w:rFonts w:hint="eastAsia" w:ascii="仿宋_GB2312" w:eastAsia="仿宋_GB2312" w:cs="仿宋_GB2312"/>
          <w:sz w:val="32"/>
          <w:szCs w:val="32"/>
        </w:rPr>
        <w:t>）</w:t>
      </w:r>
      <w:r>
        <w:rPr>
          <w:rFonts w:ascii="仿宋_GB2312" w:eastAsia="仿宋_GB2312" w:cs="仿宋_GB2312"/>
          <w:sz w:val="32"/>
          <w:szCs w:val="32"/>
        </w:rPr>
        <w:t>*100%=100%</w:t>
      </w:r>
      <w:r>
        <w:rPr>
          <w:rFonts w:hint="eastAsia" w:ascii="仿宋_GB2312" w:eastAsia="仿宋_GB2312" w:cs="仿宋_GB2312"/>
          <w:sz w:val="32"/>
          <w:szCs w:val="32"/>
        </w:rPr>
        <w:t>。</w:t>
      </w:r>
    </w:p>
    <w:p w14:paraId="4DD028A4">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该指标实际得分</w:t>
      </w:r>
      <w:r>
        <w:rPr>
          <w:rFonts w:ascii="仿宋_GB2312" w:eastAsia="仿宋_GB2312" w:cs="仿宋_GB2312"/>
          <w:sz w:val="32"/>
          <w:szCs w:val="32"/>
        </w:rPr>
        <w:t>2</w:t>
      </w:r>
      <w:r>
        <w:rPr>
          <w:rFonts w:hint="eastAsia" w:ascii="仿宋_GB2312" w:eastAsia="仿宋_GB2312" w:cs="仿宋_GB2312"/>
          <w:sz w:val="32"/>
          <w:szCs w:val="32"/>
        </w:rPr>
        <w:t>分。</w:t>
      </w:r>
    </w:p>
    <w:bookmarkEnd w:id="57"/>
    <w:bookmarkEnd w:id="58"/>
    <w:p w14:paraId="6C5D427A">
      <w:pPr>
        <w:pStyle w:val="4"/>
        <w:spacing w:before="0" w:after="0"/>
        <w:ind w:firstLine="643" w:firstLineChars="200"/>
        <w:jc w:val="both"/>
        <w:rPr>
          <w:rFonts w:ascii="楷体" w:hAnsi="楷体" w:eastAsia="楷体" w:cs="Tahoma"/>
          <w:sz w:val="32"/>
          <w:szCs w:val="32"/>
        </w:rPr>
      </w:pPr>
      <w:bookmarkStart w:id="59" w:name="_Toc19940"/>
      <w:r>
        <w:rPr>
          <w:rFonts w:hint="eastAsia" w:ascii="楷体" w:hAnsi="楷体" w:eastAsia="楷体" w:cs="楷体"/>
          <w:sz w:val="32"/>
          <w:szCs w:val="32"/>
        </w:rPr>
        <w:t>（二）过程（</w:t>
      </w:r>
      <w:r>
        <w:rPr>
          <w:rFonts w:ascii="楷体" w:hAnsi="楷体" w:eastAsia="楷体" w:cs="楷体"/>
          <w:sz w:val="32"/>
          <w:szCs w:val="32"/>
        </w:rPr>
        <w:t>48</w:t>
      </w:r>
      <w:r>
        <w:rPr>
          <w:rFonts w:hint="eastAsia" w:ascii="楷体" w:hAnsi="楷体" w:eastAsia="楷体" w:cs="楷体"/>
          <w:sz w:val="32"/>
          <w:szCs w:val="32"/>
        </w:rPr>
        <w:t>分）</w:t>
      </w:r>
      <w:bookmarkEnd w:id="59"/>
    </w:p>
    <w:p w14:paraId="224ED4ED">
      <w:pPr>
        <w:spacing w:after="0" w:line="360" w:lineRule="auto"/>
        <w:ind w:firstLine="640" w:firstLineChars="200"/>
        <w:jc w:val="both"/>
        <w:textAlignment w:val="baseline"/>
        <w:rPr>
          <w:rFonts w:ascii="仿宋_GB2312" w:eastAsia="仿宋_GB2312"/>
          <w:sz w:val="32"/>
          <w:szCs w:val="32"/>
        </w:rPr>
      </w:pPr>
      <w:bookmarkStart w:id="60" w:name="_Toc464638480"/>
      <w:r>
        <w:rPr>
          <w:rFonts w:hint="eastAsia" w:ascii="仿宋_GB2312" w:eastAsia="仿宋_GB2312" w:cs="仿宋_GB2312"/>
          <w:sz w:val="32"/>
          <w:szCs w:val="32"/>
        </w:rPr>
        <w:t>该一级指标包含预算执行、预算管理和绩效评价三个二级指标，主要反映预算调整、收入支出完成情况，“三公”经费、政府采购执行情况，财务管理是否规范、资金使用是否合规，决算真实性。</w:t>
      </w:r>
    </w:p>
    <w:p w14:paraId="1FCADA6B">
      <w:pPr>
        <w:spacing w:after="0" w:line="360" w:lineRule="auto"/>
        <w:jc w:val="center"/>
        <w:textAlignment w:val="baseline"/>
        <w:rPr>
          <w:rFonts w:ascii="宋体" w:hAnsi="宋体" w:eastAsia="宋体"/>
          <w:b/>
          <w:bCs/>
          <w:sz w:val="32"/>
          <w:szCs w:val="32"/>
        </w:rPr>
      </w:pPr>
      <w:r>
        <w:rPr>
          <w:rFonts w:hint="eastAsia" w:ascii="宋体" w:hAnsi="宋体" w:eastAsia="宋体" w:cs="宋体"/>
          <w:b/>
          <w:bCs/>
          <w:sz w:val="32"/>
          <w:szCs w:val="32"/>
        </w:rPr>
        <w:t>表</w:t>
      </w:r>
      <w:r>
        <w:rPr>
          <w:rFonts w:ascii="宋体" w:hAnsi="宋体" w:eastAsia="宋体" w:cs="宋体"/>
          <w:b/>
          <w:bCs/>
          <w:sz w:val="32"/>
          <w:szCs w:val="32"/>
        </w:rPr>
        <w:t xml:space="preserve">3  </w:t>
      </w:r>
      <w:r>
        <w:rPr>
          <w:rFonts w:hint="eastAsia" w:ascii="宋体" w:hAnsi="宋体" w:eastAsia="宋体" w:cs="宋体"/>
          <w:b/>
          <w:bCs/>
          <w:sz w:val="32"/>
          <w:szCs w:val="32"/>
        </w:rPr>
        <w:t>过程指标及得分情况表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57"/>
        <w:gridCol w:w="1388"/>
        <w:gridCol w:w="2277"/>
        <w:gridCol w:w="1155"/>
        <w:gridCol w:w="1276"/>
      </w:tblGrid>
      <w:tr w14:paraId="4E6D3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Align w:val="center"/>
          </w:tcPr>
          <w:p w14:paraId="58BAA3CD">
            <w:pPr>
              <w:spacing w:after="0"/>
              <w:jc w:val="center"/>
              <w:textAlignment w:val="center"/>
              <w:rPr>
                <w:rFonts w:ascii="宋体" w:hAnsi="宋体" w:eastAsia="宋体"/>
                <w:b/>
                <w:bCs/>
                <w:color w:val="000000"/>
                <w:sz w:val="21"/>
                <w:szCs w:val="21"/>
              </w:rPr>
            </w:pPr>
            <w:r>
              <w:rPr>
                <w:rFonts w:hint="eastAsia" w:ascii="宋体" w:hAnsi="宋体" w:eastAsia="宋体" w:cs="宋体"/>
                <w:b/>
                <w:bCs/>
                <w:color w:val="000000"/>
                <w:sz w:val="21"/>
                <w:szCs w:val="21"/>
              </w:rPr>
              <w:t>一级指标</w:t>
            </w:r>
          </w:p>
        </w:tc>
        <w:tc>
          <w:tcPr>
            <w:tcW w:w="1388" w:type="dxa"/>
            <w:vAlign w:val="center"/>
          </w:tcPr>
          <w:p w14:paraId="753C0D8B">
            <w:pPr>
              <w:spacing w:after="0"/>
              <w:jc w:val="center"/>
              <w:textAlignment w:val="center"/>
              <w:rPr>
                <w:rFonts w:ascii="宋体" w:hAnsi="宋体" w:eastAsia="宋体"/>
                <w:b/>
                <w:bCs/>
                <w:color w:val="000000"/>
                <w:sz w:val="21"/>
                <w:szCs w:val="21"/>
              </w:rPr>
            </w:pPr>
            <w:r>
              <w:rPr>
                <w:rFonts w:hint="eastAsia" w:ascii="宋体" w:hAnsi="宋体" w:eastAsia="宋体" w:cs="宋体"/>
                <w:b/>
                <w:bCs/>
                <w:color w:val="000000"/>
                <w:sz w:val="21"/>
                <w:szCs w:val="21"/>
              </w:rPr>
              <w:t>二级指标</w:t>
            </w:r>
          </w:p>
        </w:tc>
        <w:tc>
          <w:tcPr>
            <w:tcW w:w="2277" w:type="dxa"/>
            <w:vAlign w:val="center"/>
          </w:tcPr>
          <w:p w14:paraId="725CE971">
            <w:pPr>
              <w:spacing w:after="0"/>
              <w:jc w:val="center"/>
              <w:textAlignment w:val="center"/>
              <w:rPr>
                <w:rFonts w:ascii="宋体" w:hAnsi="宋体" w:eastAsia="宋体"/>
                <w:b/>
                <w:bCs/>
                <w:color w:val="000000"/>
                <w:sz w:val="21"/>
                <w:szCs w:val="21"/>
              </w:rPr>
            </w:pPr>
            <w:r>
              <w:rPr>
                <w:rFonts w:hint="eastAsia" w:ascii="宋体" w:hAnsi="宋体" w:eastAsia="宋体" w:cs="宋体"/>
                <w:b/>
                <w:bCs/>
                <w:color w:val="000000"/>
                <w:sz w:val="21"/>
                <w:szCs w:val="21"/>
              </w:rPr>
              <w:t>三级指标</w:t>
            </w:r>
          </w:p>
        </w:tc>
        <w:tc>
          <w:tcPr>
            <w:tcW w:w="1155" w:type="dxa"/>
            <w:vAlign w:val="center"/>
          </w:tcPr>
          <w:p w14:paraId="764F019C">
            <w:pPr>
              <w:spacing w:after="0"/>
              <w:jc w:val="center"/>
              <w:textAlignment w:val="center"/>
              <w:rPr>
                <w:rFonts w:ascii="宋体" w:hAnsi="宋体" w:eastAsia="宋体"/>
                <w:b/>
                <w:bCs/>
                <w:color w:val="000000"/>
                <w:sz w:val="21"/>
                <w:szCs w:val="21"/>
              </w:rPr>
            </w:pPr>
            <w:r>
              <w:rPr>
                <w:rFonts w:hint="eastAsia" w:ascii="宋体" w:hAnsi="宋体" w:eastAsia="宋体" w:cs="宋体"/>
                <w:b/>
                <w:bCs/>
                <w:color w:val="000000"/>
                <w:sz w:val="21"/>
                <w:szCs w:val="21"/>
              </w:rPr>
              <w:t>分数权重</w:t>
            </w:r>
          </w:p>
        </w:tc>
        <w:tc>
          <w:tcPr>
            <w:tcW w:w="1276" w:type="dxa"/>
            <w:vAlign w:val="center"/>
          </w:tcPr>
          <w:p w14:paraId="670E2007">
            <w:pPr>
              <w:spacing w:after="0"/>
              <w:jc w:val="center"/>
              <w:textAlignment w:val="center"/>
              <w:rPr>
                <w:rFonts w:ascii="宋体" w:hAnsi="宋体" w:eastAsia="宋体"/>
                <w:b/>
                <w:bCs/>
                <w:color w:val="000000"/>
                <w:sz w:val="21"/>
                <w:szCs w:val="21"/>
              </w:rPr>
            </w:pPr>
            <w:r>
              <w:rPr>
                <w:rFonts w:hint="eastAsia" w:ascii="宋体" w:hAnsi="宋体" w:eastAsia="宋体" w:cs="宋体"/>
                <w:b/>
                <w:bCs/>
                <w:color w:val="000000"/>
                <w:sz w:val="21"/>
                <w:szCs w:val="21"/>
              </w:rPr>
              <w:t>得分</w:t>
            </w:r>
          </w:p>
        </w:tc>
      </w:tr>
      <w:tr w14:paraId="636E4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restart"/>
            <w:vAlign w:val="center"/>
          </w:tcPr>
          <w:p w14:paraId="64F7BE32">
            <w:pPr>
              <w:spacing w:line="420" w:lineRule="exact"/>
              <w:jc w:val="center"/>
              <w:rPr>
                <w:rFonts w:ascii="宋体" w:hAnsi="宋体" w:eastAsia="宋体"/>
                <w:sz w:val="21"/>
                <w:szCs w:val="21"/>
              </w:rPr>
            </w:pPr>
            <w:r>
              <w:rPr>
                <w:rFonts w:hint="eastAsia" w:ascii="宋体" w:hAnsi="宋体" w:eastAsia="宋体" w:cs="宋体"/>
                <w:sz w:val="21"/>
                <w:szCs w:val="21"/>
              </w:rPr>
              <w:t>过程（</w:t>
            </w:r>
            <w:r>
              <w:rPr>
                <w:rFonts w:ascii="宋体" w:hAnsi="宋体" w:eastAsia="宋体" w:cs="宋体"/>
                <w:sz w:val="21"/>
                <w:szCs w:val="21"/>
              </w:rPr>
              <w:t>48</w:t>
            </w:r>
            <w:r>
              <w:rPr>
                <w:rFonts w:hint="eastAsia" w:ascii="宋体" w:hAnsi="宋体" w:eastAsia="宋体" w:cs="宋体"/>
                <w:sz w:val="21"/>
                <w:szCs w:val="21"/>
              </w:rPr>
              <w:t>分）</w:t>
            </w:r>
          </w:p>
        </w:tc>
        <w:tc>
          <w:tcPr>
            <w:tcW w:w="1388" w:type="dxa"/>
            <w:vMerge w:val="restart"/>
            <w:vAlign w:val="center"/>
          </w:tcPr>
          <w:p w14:paraId="5B5BAB47">
            <w:pPr>
              <w:spacing w:line="420" w:lineRule="exact"/>
              <w:jc w:val="center"/>
              <w:rPr>
                <w:rFonts w:ascii="宋体" w:hAnsi="宋体" w:eastAsia="宋体"/>
                <w:sz w:val="21"/>
                <w:szCs w:val="21"/>
              </w:rPr>
            </w:pPr>
            <w:r>
              <w:rPr>
                <w:rFonts w:hint="eastAsia" w:ascii="宋体" w:hAnsi="宋体" w:eastAsia="宋体" w:cs="宋体"/>
                <w:sz w:val="21"/>
                <w:szCs w:val="21"/>
              </w:rPr>
              <w:t>预算执行</w:t>
            </w:r>
          </w:p>
          <w:p w14:paraId="68471DDF">
            <w:pPr>
              <w:spacing w:line="420" w:lineRule="exact"/>
              <w:jc w:val="center"/>
              <w:rPr>
                <w:rFonts w:ascii="宋体" w:hAnsi="宋体" w:eastAsia="宋体"/>
                <w:sz w:val="21"/>
                <w:szCs w:val="21"/>
              </w:rPr>
            </w:pPr>
            <w:r>
              <w:rPr>
                <w:rFonts w:hint="eastAsia" w:ascii="宋体" w:hAnsi="宋体" w:eastAsia="宋体" w:cs="宋体"/>
                <w:sz w:val="21"/>
                <w:szCs w:val="21"/>
              </w:rPr>
              <w:t>（</w:t>
            </w:r>
            <w:r>
              <w:rPr>
                <w:rFonts w:ascii="宋体" w:hAnsi="宋体" w:eastAsia="宋体" w:cs="宋体"/>
                <w:sz w:val="21"/>
                <w:szCs w:val="21"/>
              </w:rPr>
              <w:t>24</w:t>
            </w:r>
            <w:r>
              <w:rPr>
                <w:rFonts w:hint="eastAsia" w:ascii="宋体" w:hAnsi="宋体" w:eastAsia="宋体" w:cs="宋体"/>
                <w:sz w:val="21"/>
                <w:szCs w:val="21"/>
              </w:rPr>
              <w:t>分）</w:t>
            </w:r>
          </w:p>
        </w:tc>
        <w:tc>
          <w:tcPr>
            <w:tcW w:w="2277" w:type="dxa"/>
            <w:vAlign w:val="center"/>
          </w:tcPr>
          <w:p w14:paraId="29E0618A">
            <w:pPr>
              <w:spacing w:line="420" w:lineRule="exact"/>
              <w:jc w:val="center"/>
              <w:rPr>
                <w:rFonts w:ascii="宋体" w:hAnsi="宋体" w:eastAsia="宋体"/>
                <w:sz w:val="21"/>
                <w:szCs w:val="21"/>
              </w:rPr>
            </w:pPr>
            <w:r>
              <w:rPr>
                <w:rFonts w:hint="eastAsia" w:ascii="宋体" w:hAnsi="宋体" w:eastAsia="宋体" w:cs="宋体"/>
                <w:sz w:val="21"/>
                <w:szCs w:val="21"/>
              </w:rPr>
              <w:t>预算收入调整率</w:t>
            </w:r>
          </w:p>
        </w:tc>
        <w:tc>
          <w:tcPr>
            <w:tcW w:w="1155" w:type="dxa"/>
            <w:vAlign w:val="center"/>
          </w:tcPr>
          <w:p w14:paraId="3C02B403">
            <w:pPr>
              <w:spacing w:line="420" w:lineRule="exact"/>
              <w:jc w:val="center"/>
              <w:rPr>
                <w:rFonts w:ascii="宋体" w:hAnsi="宋体" w:eastAsia="宋体" w:cs="宋体"/>
                <w:sz w:val="21"/>
                <w:szCs w:val="21"/>
              </w:rPr>
            </w:pPr>
            <w:r>
              <w:rPr>
                <w:rFonts w:ascii="宋体" w:hAnsi="宋体" w:eastAsia="宋体" w:cs="宋体"/>
                <w:sz w:val="21"/>
                <w:szCs w:val="21"/>
              </w:rPr>
              <w:t>2</w:t>
            </w:r>
          </w:p>
        </w:tc>
        <w:tc>
          <w:tcPr>
            <w:tcW w:w="1276" w:type="dxa"/>
            <w:vAlign w:val="center"/>
          </w:tcPr>
          <w:p w14:paraId="7443E090">
            <w:pPr>
              <w:spacing w:line="420" w:lineRule="exact"/>
              <w:jc w:val="center"/>
              <w:rPr>
                <w:rFonts w:ascii="宋体" w:hAnsi="宋体" w:eastAsia="宋体" w:cs="宋体"/>
                <w:sz w:val="21"/>
                <w:szCs w:val="21"/>
              </w:rPr>
            </w:pPr>
          </w:p>
        </w:tc>
      </w:tr>
      <w:tr w14:paraId="3A535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618DD814">
            <w:pPr>
              <w:spacing w:line="420" w:lineRule="exact"/>
              <w:jc w:val="center"/>
              <w:rPr>
                <w:rFonts w:ascii="宋体" w:hAnsi="宋体" w:eastAsia="宋体"/>
                <w:sz w:val="21"/>
                <w:szCs w:val="21"/>
              </w:rPr>
            </w:pPr>
          </w:p>
        </w:tc>
        <w:tc>
          <w:tcPr>
            <w:tcW w:w="1388" w:type="dxa"/>
            <w:vMerge w:val="continue"/>
            <w:vAlign w:val="center"/>
          </w:tcPr>
          <w:p w14:paraId="33012127">
            <w:pPr>
              <w:spacing w:line="420" w:lineRule="exact"/>
              <w:jc w:val="center"/>
              <w:rPr>
                <w:rFonts w:ascii="宋体" w:hAnsi="宋体" w:eastAsia="宋体"/>
                <w:sz w:val="21"/>
                <w:szCs w:val="21"/>
              </w:rPr>
            </w:pPr>
          </w:p>
        </w:tc>
        <w:tc>
          <w:tcPr>
            <w:tcW w:w="2277" w:type="dxa"/>
            <w:vAlign w:val="center"/>
          </w:tcPr>
          <w:p w14:paraId="3689BDD8">
            <w:pPr>
              <w:spacing w:line="420" w:lineRule="exact"/>
              <w:jc w:val="center"/>
              <w:rPr>
                <w:rFonts w:ascii="宋体" w:hAnsi="宋体" w:eastAsia="宋体"/>
                <w:sz w:val="21"/>
                <w:szCs w:val="21"/>
              </w:rPr>
            </w:pPr>
            <w:r>
              <w:rPr>
                <w:rFonts w:hint="eastAsia" w:ascii="宋体" w:hAnsi="宋体" w:eastAsia="宋体" w:cs="宋体"/>
                <w:sz w:val="21"/>
                <w:szCs w:val="21"/>
              </w:rPr>
              <w:t>收入完成率</w:t>
            </w:r>
          </w:p>
        </w:tc>
        <w:tc>
          <w:tcPr>
            <w:tcW w:w="1155" w:type="dxa"/>
            <w:vAlign w:val="center"/>
          </w:tcPr>
          <w:p w14:paraId="3E3532D2">
            <w:pPr>
              <w:spacing w:line="420" w:lineRule="exact"/>
              <w:jc w:val="center"/>
              <w:rPr>
                <w:rFonts w:ascii="宋体" w:hAnsi="宋体" w:eastAsia="宋体" w:cs="宋体"/>
                <w:sz w:val="21"/>
                <w:szCs w:val="21"/>
              </w:rPr>
            </w:pPr>
            <w:r>
              <w:rPr>
                <w:rFonts w:ascii="宋体" w:hAnsi="宋体" w:eastAsia="宋体" w:cs="宋体"/>
                <w:sz w:val="21"/>
                <w:szCs w:val="21"/>
              </w:rPr>
              <w:t>4</w:t>
            </w:r>
          </w:p>
        </w:tc>
        <w:tc>
          <w:tcPr>
            <w:tcW w:w="1276" w:type="dxa"/>
            <w:vAlign w:val="center"/>
          </w:tcPr>
          <w:p w14:paraId="6F1ADB2D">
            <w:pPr>
              <w:spacing w:line="420" w:lineRule="exact"/>
              <w:jc w:val="center"/>
              <w:rPr>
                <w:rFonts w:ascii="宋体" w:hAnsi="宋体" w:eastAsia="宋体" w:cs="宋体"/>
                <w:sz w:val="21"/>
                <w:szCs w:val="21"/>
              </w:rPr>
            </w:pPr>
          </w:p>
        </w:tc>
      </w:tr>
      <w:tr w14:paraId="0A675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3A3C30DD">
            <w:pPr>
              <w:spacing w:line="420" w:lineRule="exact"/>
              <w:jc w:val="center"/>
              <w:rPr>
                <w:rFonts w:ascii="宋体" w:hAnsi="宋体" w:eastAsia="宋体"/>
                <w:sz w:val="21"/>
                <w:szCs w:val="21"/>
              </w:rPr>
            </w:pPr>
          </w:p>
        </w:tc>
        <w:tc>
          <w:tcPr>
            <w:tcW w:w="1388" w:type="dxa"/>
            <w:vMerge w:val="continue"/>
            <w:vAlign w:val="center"/>
          </w:tcPr>
          <w:p w14:paraId="3F0F8FF3">
            <w:pPr>
              <w:spacing w:line="420" w:lineRule="exact"/>
              <w:jc w:val="center"/>
              <w:rPr>
                <w:rFonts w:ascii="宋体" w:hAnsi="宋体" w:eastAsia="宋体"/>
                <w:sz w:val="21"/>
                <w:szCs w:val="21"/>
              </w:rPr>
            </w:pPr>
          </w:p>
        </w:tc>
        <w:tc>
          <w:tcPr>
            <w:tcW w:w="2277" w:type="dxa"/>
            <w:vAlign w:val="center"/>
          </w:tcPr>
          <w:p w14:paraId="33832C93">
            <w:pPr>
              <w:spacing w:line="420" w:lineRule="exact"/>
              <w:jc w:val="center"/>
              <w:rPr>
                <w:rFonts w:ascii="宋体" w:hAnsi="宋体" w:eastAsia="宋体"/>
                <w:sz w:val="21"/>
                <w:szCs w:val="21"/>
              </w:rPr>
            </w:pPr>
            <w:r>
              <w:rPr>
                <w:rFonts w:hint="eastAsia" w:ascii="宋体" w:hAnsi="宋体" w:eastAsia="宋体" w:cs="宋体"/>
                <w:sz w:val="21"/>
                <w:szCs w:val="21"/>
              </w:rPr>
              <w:t>预算支出调整率</w:t>
            </w:r>
          </w:p>
        </w:tc>
        <w:tc>
          <w:tcPr>
            <w:tcW w:w="1155" w:type="dxa"/>
            <w:vAlign w:val="center"/>
          </w:tcPr>
          <w:p w14:paraId="5E1463F2">
            <w:pPr>
              <w:spacing w:line="420" w:lineRule="exact"/>
              <w:jc w:val="center"/>
              <w:rPr>
                <w:rFonts w:ascii="宋体" w:hAnsi="宋体" w:eastAsia="宋体" w:cs="宋体"/>
                <w:sz w:val="21"/>
                <w:szCs w:val="21"/>
              </w:rPr>
            </w:pPr>
            <w:r>
              <w:rPr>
                <w:rFonts w:ascii="宋体" w:hAnsi="宋体" w:eastAsia="宋体" w:cs="宋体"/>
                <w:sz w:val="21"/>
                <w:szCs w:val="21"/>
              </w:rPr>
              <w:t>2</w:t>
            </w:r>
          </w:p>
        </w:tc>
        <w:tc>
          <w:tcPr>
            <w:tcW w:w="1276" w:type="dxa"/>
            <w:vAlign w:val="center"/>
          </w:tcPr>
          <w:p w14:paraId="2C57B49D">
            <w:pPr>
              <w:spacing w:line="420" w:lineRule="exact"/>
              <w:jc w:val="center"/>
              <w:rPr>
                <w:rFonts w:ascii="宋体" w:hAnsi="宋体" w:eastAsia="宋体" w:cs="宋体"/>
                <w:sz w:val="21"/>
                <w:szCs w:val="21"/>
              </w:rPr>
            </w:pPr>
          </w:p>
        </w:tc>
      </w:tr>
      <w:tr w14:paraId="12C0B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345CF103">
            <w:pPr>
              <w:spacing w:line="420" w:lineRule="exact"/>
              <w:jc w:val="center"/>
              <w:rPr>
                <w:rFonts w:ascii="宋体" w:hAnsi="宋体" w:eastAsia="宋体"/>
                <w:sz w:val="21"/>
                <w:szCs w:val="21"/>
              </w:rPr>
            </w:pPr>
          </w:p>
        </w:tc>
        <w:tc>
          <w:tcPr>
            <w:tcW w:w="1388" w:type="dxa"/>
            <w:vMerge w:val="continue"/>
            <w:vAlign w:val="center"/>
          </w:tcPr>
          <w:p w14:paraId="2C934F32">
            <w:pPr>
              <w:spacing w:line="420" w:lineRule="exact"/>
              <w:jc w:val="center"/>
              <w:rPr>
                <w:rFonts w:ascii="宋体" w:hAnsi="宋体" w:eastAsia="宋体"/>
                <w:sz w:val="21"/>
                <w:szCs w:val="21"/>
              </w:rPr>
            </w:pPr>
          </w:p>
        </w:tc>
        <w:tc>
          <w:tcPr>
            <w:tcW w:w="2277" w:type="dxa"/>
            <w:vAlign w:val="center"/>
          </w:tcPr>
          <w:p w14:paraId="3445A26A">
            <w:pPr>
              <w:spacing w:line="420" w:lineRule="exact"/>
              <w:jc w:val="center"/>
              <w:rPr>
                <w:rFonts w:ascii="宋体" w:hAnsi="宋体" w:eastAsia="宋体"/>
                <w:sz w:val="21"/>
                <w:szCs w:val="21"/>
              </w:rPr>
            </w:pPr>
            <w:r>
              <w:rPr>
                <w:rFonts w:hint="eastAsia" w:ascii="宋体" w:hAnsi="宋体" w:eastAsia="宋体" w:cs="宋体"/>
                <w:sz w:val="21"/>
                <w:szCs w:val="21"/>
              </w:rPr>
              <w:t>财政拨款支出完成率</w:t>
            </w:r>
          </w:p>
        </w:tc>
        <w:tc>
          <w:tcPr>
            <w:tcW w:w="1155" w:type="dxa"/>
            <w:vAlign w:val="center"/>
          </w:tcPr>
          <w:p w14:paraId="371D2B7A">
            <w:pPr>
              <w:spacing w:line="420" w:lineRule="exact"/>
              <w:jc w:val="center"/>
              <w:rPr>
                <w:rFonts w:ascii="宋体" w:hAnsi="宋体" w:eastAsia="宋体" w:cs="宋体"/>
                <w:sz w:val="21"/>
                <w:szCs w:val="21"/>
              </w:rPr>
            </w:pPr>
            <w:r>
              <w:rPr>
                <w:rFonts w:ascii="宋体" w:hAnsi="宋体" w:eastAsia="宋体" w:cs="宋体"/>
                <w:sz w:val="21"/>
                <w:szCs w:val="21"/>
              </w:rPr>
              <w:t>4</w:t>
            </w:r>
          </w:p>
        </w:tc>
        <w:tc>
          <w:tcPr>
            <w:tcW w:w="1276" w:type="dxa"/>
            <w:vAlign w:val="center"/>
          </w:tcPr>
          <w:p w14:paraId="73CC8CE9">
            <w:pPr>
              <w:spacing w:line="420" w:lineRule="exact"/>
              <w:jc w:val="center"/>
              <w:rPr>
                <w:rFonts w:ascii="宋体" w:hAnsi="宋体" w:eastAsia="宋体" w:cs="宋体"/>
                <w:sz w:val="21"/>
                <w:szCs w:val="21"/>
              </w:rPr>
            </w:pPr>
          </w:p>
        </w:tc>
      </w:tr>
      <w:tr w14:paraId="4E704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4F8D803B">
            <w:pPr>
              <w:spacing w:line="420" w:lineRule="exact"/>
              <w:jc w:val="center"/>
              <w:rPr>
                <w:rFonts w:ascii="宋体" w:hAnsi="宋体" w:eastAsia="宋体"/>
                <w:sz w:val="21"/>
                <w:szCs w:val="21"/>
              </w:rPr>
            </w:pPr>
          </w:p>
        </w:tc>
        <w:tc>
          <w:tcPr>
            <w:tcW w:w="1388" w:type="dxa"/>
            <w:vMerge w:val="continue"/>
            <w:vAlign w:val="center"/>
          </w:tcPr>
          <w:p w14:paraId="78AFFF08">
            <w:pPr>
              <w:spacing w:line="420" w:lineRule="exact"/>
              <w:jc w:val="center"/>
              <w:rPr>
                <w:rFonts w:ascii="宋体" w:hAnsi="宋体" w:eastAsia="宋体"/>
                <w:sz w:val="21"/>
                <w:szCs w:val="21"/>
              </w:rPr>
            </w:pPr>
          </w:p>
        </w:tc>
        <w:tc>
          <w:tcPr>
            <w:tcW w:w="2277" w:type="dxa"/>
            <w:vAlign w:val="center"/>
          </w:tcPr>
          <w:p w14:paraId="7E6D1EDD">
            <w:pPr>
              <w:spacing w:line="420" w:lineRule="exact"/>
              <w:jc w:val="center"/>
              <w:rPr>
                <w:rFonts w:ascii="宋体" w:hAnsi="宋体" w:eastAsia="宋体"/>
                <w:sz w:val="21"/>
                <w:szCs w:val="21"/>
              </w:rPr>
            </w:pPr>
            <w:r>
              <w:rPr>
                <w:rFonts w:hint="eastAsia" w:ascii="宋体" w:hAnsi="宋体" w:eastAsia="宋体" w:cs="宋体"/>
                <w:sz w:val="21"/>
                <w:szCs w:val="21"/>
              </w:rPr>
              <w:t>“三公经费”控制率</w:t>
            </w:r>
          </w:p>
        </w:tc>
        <w:tc>
          <w:tcPr>
            <w:tcW w:w="1155" w:type="dxa"/>
            <w:vAlign w:val="center"/>
          </w:tcPr>
          <w:p w14:paraId="41BE2A59">
            <w:pPr>
              <w:spacing w:line="420" w:lineRule="exact"/>
              <w:jc w:val="center"/>
              <w:rPr>
                <w:rFonts w:ascii="宋体" w:hAnsi="宋体" w:eastAsia="宋体"/>
                <w:sz w:val="21"/>
                <w:szCs w:val="21"/>
              </w:rPr>
            </w:pPr>
            <w:r>
              <w:rPr>
                <w:rFonts w:ascii="宋体" w:hAnsi="宋体" w:eastAsia="宋体" w:cs="宋体"/>
                <w:sz w:val="21"/>
                <w:szCs w:val="21"/>
              </w:rPr>
              <w:t>0</w:t>
            </w:r>
          </w:p>
        </w:tc>
        <w:tc>
          <w:tcPr>
            <w:tcW w:w="1276" w:type="dxa"/>
            <w:vAlign w:val="center"/>
          </w:tcPr>
          <w:p w14:paraId="59A8C416">
            <w:pPr>
              <w:spacing w:line="420" w:lineRule="exact"/>
              <w:jc w:val="center"/>
              <w:rPr>
                <w:rFonts w:ascii="宋体" w:hAnsi="宋体" w:eastAsia="宋体"/>
                <w:sz w:val="21"/>
                <w:szCs w:val="21"/>
              </w:rPr>
            </w:pPr>
          </w:p>
        </w:tc>
      </w:tr>
      <w:tr w14:paraId="6DBEA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2DB640E4">
            <w:pPr>
              <w:spacing w:line="420" w:lineRule="exact"/>
              <w:jc w:val="center"/>
              <w:rPr>
                <w:rFonts w:ascii="宋体" w:hAnsi="宋体" w:eastAsia="宋体"/>
                <w:sz w:val="21"/>
                <w:szCs w:val="21"/>
              </w:rPr>
            </w:pPr>
          </w:p>
        </w:tc>
        <w:tc>
          <w:tcPr>
            <w:tcW w:w="1388" w:type="dxa"/>
            <w:vMerge w:val="continue"/>
            <w:vAlign w:val="center"/>
          </w:tcPr>
          <w:p w14:paraId="407EA5E4">
            <w:pPr>
              <w:spacing w:line="420" w:lineRule="exact"/>
              <w:jc w:val="center"/>
              <w:rPr>
                <w:rFonts w:ascii="宋体" w:hAnsi="宋体" w:eastAsia="宋体"/>
                <w:sz w:val="21"/>
                <w:szCs w:val="21"/>
              </w:rPr>
            </w:pPr>
          </w:p>
        </w:tc>
        <w:tc>
          <w:tcPr>
            <w:tcW w:w="2277" w:type="dxa"/>
            <w:vAlign w:val="center"/>
          </w:tcPr>
          <w:p w14:paraId="4B081753">
            <w:pPr>
              <w:spacing w:line="420" w:lineRule="exact"/>
              <w:jc w:val="center"/>
              <w:rPr>
                <w:rFonts w:ascii="宋体" w:hAnsi="宋体" w:eastAsia="宋体"/>
                <w:sz w:val="21"/>
                <w:szCs w:val="21"/>
              </w:rPr>
            </w:pPr>
            <w:r>
              <w:rPr>
                <w:rFonts w:hint="eastAsia" w:ascii="宋体" w:hAnsi="宋体" w:eastAsia="宋体" w:cs="宋体"/>
                <w:sz w:val="21"/>
                <w:szCs w:val="21"/>
              </w:rPr>
              <w:t>政府采购执行率</w:t>
            </w:r>
          </w:p>
        </w:tc>
        <w:tc>
          <w:tcPr>
            <w:tcW w:w="1155" w:type="dxa"/>
            <w:vAlign w:val="center"/>
          </w:tcPr>
          <w:p w14:paraId="520574CA">
            <w:pPr>
              <w:spacing w:line="420" w:lineRule="exact"/>
              <w:jc w:val="center"/>
              <w:rPr>
                <w:rFonts w:ascii="宋体" w:hAnsi="宋体" w:eastAsia="宋体"/>
                <w:sz w:val="21"/>
                <w:szCs w:val="21"/>
              </w:rPr>
            </w:pPr>
            <w:r>
              <w:rPr>
                <w:rFonts w:ascii="宋体" w:hAnsi="宋体" w:eastAsia="宋体" w:cs="宋体"/>
                <w:sz w:val="21"/>
                <w:szCs w:val="21"/>
              </w:rPr>
              <w:t>0</w:t>
            </w:r>
          </w:p>
        </w:tc>
        <w:tc>
          <w:tcPr>
            <w:tcW w:w="1276" w:type="dxa"/>
            <w:vAlign w:val="center"/>
          </w:tcPr>
          <w:p w14:paraId="7E80896E">
            <w:pPr>
              <w:spacing w:line="420" w:lineRule="exact"/>
              <w:jc w:val="center"/>
              <w:rPr>
                <w:rFonts w:ascii="宋体" w:hAnsi="宋体" w:eastAsia="宋体"/>
                <w:sz w:val="21"/>
                <w:szCs w:val="21"/>
              </w:rPr>
            </w:pPr>
          </w:p>
        </w:tc>
      </w:tr>
      <w:tr w14:paraId="5F30E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445477F4">
            <w:pPr>
              <w:spacing w:line="420" w:lineRule="exact"/>
              <w:jc w:val="center"/>
              <w:rPr>
                <w:rFonts w:ascii="宋体" w:hAnsi="宋体" w:eastAsia="宋体"/>
                <w:sz w:val="21"/>
                <w:szCs w:val="21"/>
              </w:rPr>
            </w:pPr>
          </w:p>
        </w:tc>
        <w:tc>
          <w:tcPr>
            <w:tcW w:w="1388" w:type="dxa"/>
            <w:vMerge w:val="continue"/>
            <w:vAlign w:val="center"/>
          </w:tcPr>
          <w:p w14:paraId="154DB181">
            <w:pPr>
              <w:spacing w:line="420" w:lineRule="exact"/>
              <w:jc w:val="center"/>
              <w:rPr>
                <w:rFonts w:ascii="宋体" w:hAnsi="宋体" w:eastAsia="宋体"/>
                <w:sz w:val="21"/>
                <w:szCs w:val="21"/>
              </w:rPr>
            </w:pPr>
          </w:p>
        </w:tc>
        <w:tc>
          <w:tcPr>
            <w:tcW w:w="2277" w:type="dxa"/>
            <w:vAlign w:val="center"/>
          </w:tcPr>
          <w:p w14:paraId="3C6F68FF">
            <w:pPr>
              <w:spacing w:line="420" w:lineRule="exact"/>
              <w:jc w:val="center"/>
              <w:rPr>
                <w:rFonts w:ascii="宋体" w:hAnsi="宋体" w:eastAsia="宋体"/>
                <w:sz w:val="21"/>
                <w:szCs w:val="21"/>
              </w:rPr>
            </w:pPr>
            <w:r>
              <w:rPr>
                <w:rFonts w:hint="eastAsia" w:ascii="宋体" w:hAnsi="宋体" w:eastAsia="宋体" w:cs="宋体"/>
                <w:sz w:val="21"/>
                <w:szCs w:val="21"/>
              </w:rPr>
              <w:t>资金使用合规性</w:t>
            </w:r>
          </w:p>
        </w:tc>
        <w:tc>
          <w:tcPr>
            <w:tcW w:w="1155" w:type="dxa"/>
            <w:vAlign w:val="center"/>
          </w:tcPr>
          <w:p w14:paraId="044199B1">
            <w:pPr>
              <w:spacing w:line="420" w:lineRule="exact"/>
              <w:jc w:val="center"/>
              <w:rPr>
                <w:rFonts w:ascii="宋体" w:hAnsi="宋体" w:eastAsia="宋体" w:cs="宋体"/>
                <w:sz w:val="21"/>
                <w:szCs w:val="21"/>
              </w:rPr>
            </w:pPr>
            <w:r>
              <w:rPr>
                <w:rFonts w:ascii="宋体" w:hAnsi="宋体" w:eastAsia="宋体" w:cs="宋体"/>
                <w:sz w:val="21"/>
                <w:szCs w:val="21"/>
              </w:rPr>
              <w:t>3</w:t>
            </w:r>
          </w:p>
        </w:tc>
        <w:tc>
          <w:tcPr>
            <w:tcW w:w="1276" w:type="dxa"/>
            <w:vAlign w:val="center"/>
          </w:tcPr>
          <w:p w14:paraId="5918D6F5">
            <w:pPr>
              <w:spacing w:line="420" w:lineRule="exact"/>
              <w:jc w:val="center"/>
              <w:rPr>
                <w:rFonts w:ascii="宋体" w:hAnsi="宋体" w:eastAsia="宋体" w:cs="宋体"/>
                <w:sz w:val="21"/>
                <w:szCs w:val="21"/>
              </w:rPr>
            </w:pPr>
          </w:p>
        </w:tc>
      </w:tr>
      <w:tr w14:paraId="581B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6F93BAB3">
            <w:pPr>
              <w:spacing w:line="420" w:lineRule="exact"/>
              <w:jc w:val="center"/>
              <w:rPr>
                <w:rFonts w:ascii="宋体" w:hAnsi="宋体" w:eastAsia="宋体"/>
                <w:sz w:val="21"/>
                <w:szCs w:val="21"/>
              </w:rPr>
            </w:pPr>
          </w:p>
        </w:tc>
        <w:tc>
          <w:tcPr>
            <w:tcW w:w="1388" w:type="dxa"/>
            <w:vMerge w:val="continue"/>
            <w:vAlign w:val="center"/>
          </w:tcPr>
          <w:p w14:paraId="300061E7">
            <w:pPr>
              <w:spacing w:line="420" w:lineRule="exact"/>
              <w:jc w:val="center"/>
              <w:rPr>
                <w:rFonts w:ascii="宋体" w:hAnsi="宋体" w:eastAsia="宋体"/>
                <w:sz w:val="21"/>
                <w:szCs w:val="21"/>
              </w:rPr>
            </w:pPr>
          </w:p>
        </w:tc>
        <w:tc>
          <w:tcPr>
            <w:tcW w:w="2277" w:type="dxa"/>
            <w:vAlign w:val="center"/>
          </w:tcPr>
          <w:p w14:paraId="741F0861">
            <w:pPr>
              <w:spacing w:line="420" w:lineRule="exact"/>
              <w:jc w:val="center"/>
              <w:rPr>
                <w:rFonts w:ascii="宋体" w:hAnsi="宋体" w:eastAsia="宋体"/>
                <w:sz w:val="21"/>
                <w:szCs w:val="21"/>
              </w:rPr>
            </w:pPr>
            <w:r>
              <w:rPr>
                <w:rFonts w:hint="eastAsia" w:ascii="宋体" w:hAnsi="宋体" w:eastAsia="宋体" w:cs="宋体"/>
                <w:sz w:val="21"/>
                <w:szCs w:val="21"/>
              </w:rPr>
              <w:t>决算真实性</w:t>
            </w:r>
          </w:p>
        </w:tc>
        <w:tc>
          <w:tcPr>
            <w:tcW w:w="1155" w:type="dxa"/>
            <w:vAlign w:val="center"/>
          </w:tcPr>
          <w:p w14:paraId="6F2E584F">
            <w:pPr>
              <w:spacing w:line="420" w:lineRule="exact"/>
              <w:jc w:val="center"/>
              <w:rPr>
                <w:rFonts w:ascii="宋体" w:hAnsi="宋体" w:eastAsia="宋体" w:cs="宋体"/>
                <w:sz w:val="21"/>
                <w:szCs w:val="21"/>
              </w:rPr>
            </w:pPr>
            <w:r>
              <w:rPr>
                <w:rFonts w:ascii="宋体" w:hAnsi="宋体" w:eastAsia="宋体" w:cs="宋体"/>
                <w:sz w:val="21"/>
                <w:szCs w:val="21"/>
              </w:rPr>
              <w:t>3</w:t>
            </w:r>
          </w:p>
        </w:tc>
        <w:tc>
          <w:tcPr>
            <w:tcW w:w="1276" w:type="dxa"/>
            <w:vAlign w:val="center"/>
          </w:tcPr>
          <w:p w14:paraId="6651145F">
            <w:pPr>
              <w:spacing w:line="420" w:lineRule="exact"/>
              <w:jc w:val="center"/>
              <w:rPr>
                <w:rFonts w:ascii="宋体" w:hAnsi="宋体" w:eastAsia="宋体" w:cs="宋体"/>
                <w:sz w:val="21"/>
                <w:szCs w:val="21"/>
              </w:rPr>
            </w:pPr>
          </w:p>
        </w:tc>
      </w:tr>
      <w:tr w14:paraId="4EE9B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5B6B92F6">
            <w:pPr>
              <w:spacing w:line="420" w:lineRule="exact"/>
              <w:jc w:val="center"/>
              <w:rPr>
                <w:rFonts w:ascii="宋体" w:hAnsi="宋体" w:eastAsia="宋体"/>
                <w:sz w:val="21"/>
                <w:szCs w:val="21"/>
              </w:rPr>
            </w:pPr>
          </w:p>
        </w:tc>
        <w:tc>
          <w:tcPr>
            <w:tcW w:w="1388" w:type="dxa"/>
            <w:vMerge w:val="restart"/>
            <w:vAlign w:val="center"/>
          </w:tcPr>
          <w:p w14:paraId="2ECB250A">
            <w:pPr>
              <w:spacing w:line="420" w:lineRule="exact"/>
              <w:jc w:val="center"/>
              <w:rPr>
                <w:rFonts w:ascii="宋体" w:hAnsi="宋体" w:eastAsia="宋体"/>
                <w:sz w:val="21"/>
                <w:szCs w:val="21"/>
              </w:rPr>
            </w:pPr>
            <w:r>
              <w:rPr>
                <w:rFonts w:hint="eastAsia" w:ascii="宋体" w:hAnsi="宋体" w:eastAsia="宋体" w:cs="宋体"/>
                <w:sz w:val="21"/>
                <w:szCs w:val="21"/>
              </w:rPr>
              <w:t>预算管理</w:t>
            </w:r>
          </w:p>
          <w:p w14:paraId="466ABE22">
            <w:pPr>
              <w:spacing w:line="420" w:lineRule="exact"/>
              <w:jc w:val="center"/>
              <w:rPr>
                <w:rFonts w:ascii="宋体" w:hAnsi="宋体" w:eastAsia="宋体"/>
                <w:sz w:val="21"/>
                <w:szCs w:val="21"/>
              </w:rPr>
            </w:pPr>
            <w:r>
              <w:rPr>
                <w:rFonts w:hint="eastAsia" w:ascii="宋体" w:hAnsi="宋体" w:eastAsia="宋体" w:cs="宋体"/>
                <w:sz w:val="21"/>
                <w:szCs w:val="21"/>
              </w:rPr>
              <w:t>（</w:t>
            </w:r>
            <w:r>
              <w:rPr>
                <w:rFonts w:ascii="宋体" w:hAnsi="宋体" w:eastAsia="宋体" w:cs="宋体"/>
                <w:sz w:val="21"/>
                <w:szCs w:val="21"/>
              </w:rPr>
              <w:t>16</w:t>
            </w:r>
            <w:r>
              <w:rPr>
                <w:rFonts w:hint="eastAsia" w:ascii="宋体" w:hAnsi="宋体" w:eastAsia="宋体" w:cs="宋体"/>
                <w:sz w:val="21"/>
                <w:szCs w:val="21"/>
              </w:rPr>
              <w:t>分）</w:t>
            </w:r>
          </w:p>
        </w:tc>
        <w:tc>
          <w:tcPr>
            <w:tcW w:w="2277" w:type="dxa"/>
            <w:vAlign w:val="center"/>
          </w:tcPr>
          <w:p w14:paraId="6BB29E42">
            <w:pPr>
              <w:spacing w:line="420" w:lineRule="exact"/>
              <w:jc w:val="center"/>
              <w:rPr>
                <w:rFonts w:ascii="宋体" w:hAnsi="宋体" w:eastAsia="宋体"/>
                <w:sz w:val="21"/>
                <w:szCs w:val="21"/>
              </w:rPr>
            </w:pPr>
            <w:r>
              <w:rPr>
                <w:rFonts w:hint="eastAsia" w:ascii="宋体" w:hAnsi="宋体" w:eastAsia="宋体" w:cs="宋体"/>
                <w:sz w:val="21"/>
                <w:szCs w:val="21"/>
              </w:rPr>
              <w:t>管理制度健全性</w:t>
            </w:r>
          </w:p>
        </w:tc>
        <w:tc>
          <w:tcPr>
            <w:tcW w:w="1155" w:type="dxa"/>
            <w:vAlign w:val="center"/>
          </w:tcPr>
          <w:p w14:paraId="61E719D0">
            <w:pPr>
              <w:spacing w:line="420" w:lineRule="exact"/>
              <w:jc w:val="center"/>
              <w:rPr>
                <w:rFonts w:ascii="宋体" w:hAnsi="宋体" w:eastAsia="宋体" w:cs="宋体"/>
                <w:sz w:val="21"/>
                <w:szCs w:val="21"/>
              </w:rPr>
            </w:pPr>
            <w:r>
              <w:rPr>
                <w:rFonts w:ascii="宋体" w:hAnsi="宋体" w:eastAsia="宋体" w:cs="宋体"/>
                <w:sz w:val="21"/>
                <w:szCs w:val="21"/>
              </w:rPr>
              <w:t>4</w:t>
            </w:r>
          </w:p>
        </w:tc>
        <w:tc>
          <w:tcPr>
            <w:tcW w:w="1276" w:type="dxa"/>
            <w:vAlign w:val="center"/>
          </w:tcPr>
          <w:p w14:paraId="36900AB1">
            <w:pPr>
              <w:spacing w:line="420" w:lineRule="exact"/>
              <w:jc w:val="center"/>
              <w:rPr>
                <w:rFonts w:ascii="宋体" w:hAnsi="宋体" w:eastAsia="宋体" w:cs="宋体"/>
                <w:sz w:val="21"/>
                <w:szCs w:val="21"/>
              </w:rPr>
            </w:pPr>
          </w:p>
        </w:tc>
      </w:tr>
      <w:tr w14:paraId="4FABD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6233F681">
            <w:pPr>
              <w:spacing w:line="420" w:lineRule="exact"/>
              <w:jc w:val="center"/>
              <w:rPr>
                <w:rFonts w:ascii="宋体" w:hAnsi="宋体" w:eastAsia="宋体"/>
                <w:sz w:val="21"/>
                <w:szCs w:val="21"/>
              </w:rPr>
            </w:pPr>
          </w:p>
        </w:tc>
        <w:tc>
          <w:tcPr>
            <w:tcW w:w="1388" w:type="dxa"/>
            <w:vMerge w:val="continue"/>
            <w:vAlign w:val="center"/>
          </w:tcPr>
          <w:p w14:paraId="3811D4C6">
            <w:pPr>
              <w:spacing w:line="420" w:lineRule="exact"/>
              <w:jc w:val="center"/>
              <w:rPr>
                <w:rFonts w:ascii="宋体" w:hAnsi="宋体" w:eastAsia="宋体"/>
                <w:sz w:val="21"/>
                <w:szCs w:val="21"/>
              </w:rPr>
            </w:pPr>
          </w:p>
        </w:tc>
        <w:tc>
          <w:tcPr>
            <w:tcW w:w="2277" w:type="dxa"/>
            <w:vAlign w:val="center"/>
          </w:tcPr>
          <w:p w14:paraId="12180EE9">
            <w:pPr>
              <w:spacing w:line="420" w:lineRule="exact"/>
              <w:jc w:val="center"/>
              <w:rPr>
                <w:rFonts w:ascii="宋体" w:hAnsi="宋体" w:eastAsia="宋体"/>
                <w:sz w:val="21"/>
                <w:szCs w:val="21"/>
              </w:rPr>
            </w:pPr>
            <w:r>
              <w:rPr>
                <w:rFonts w:hint="eastAsia" w:ascii="宋体" w:hAnsi="宋体" w:eastAsia="宋体" w:cs="宋体"/>
                <w:sz w:val="21"/>
                <w:szCs w:val="21"/>
              </w:rPr>
              <w:t>预决算信息公开</w:t>
            </w:r>
          </w:p>
        </w:tc>
        <w:tc>
          <w:tcPr>
            <w:tcW w:w="1155" w:type="dxa"/>
            <w:vAlign w:val="center"/>
          </w:tcPr>
          <w:p w14:paraId="5A955A4D">
            <w:pPr>
              <w:spacing w:line="420" w:lineRule="exact"/>
              <w:jc w:val="center"/>
              <w:rPr>
                <w:rFonts w:ascii="宋体" w:hAnsi="宋体" w:eastAsia="宋体" w:cs="宋体"/>
                <w:sz w:val="21"/>
                <w:szCs w:val="21"/>
              </w:rPr>
            </w:pPr>
            <w:r>
              <w:rPr>
                <w:rFonts w:ascii="宋体" w:hAnsi="宋体" w:eastAsia="宋体" w:cs="宋体"/>
                <w:sz w:val="21"/>
                <w:szCs w:val="21"/>
              </w:rPr>
              <w:t>4</w:t>
            </w:r>
          </w:p>
        </w:tc>
        <w:tc>
          <w:tcPr>
            <w:tcW w:w="1276" w:type="dxa"/>
            <w:vAlign w:val="center"/>
          </w:tcPr>
          <w:p w14:paraId="491ED1A5">
            <w:pPr>
              <w:spacing w:line="420" w:lineRule="exact"/>
              <w:jc w:val="center"/>
              <w:rPr>
                <w:rFonts w:ascii="宋体" w:hAnsi="宋体" w:eastAsia="宋体" w:cs="宋体"/>
                <w:sz w:val="21"/>
                <w:szCs w:val="21"/>
              </w:rPr>
            </w:pPr>
          </w:p>
        </w:tc>
      </w:tr>
      <w:tr w14:paraId="3EE12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0CC4635C">
            <w:pPr>
              <w:spacing w:line="420" w:lineRule="exact"/>
              <w:jc w:val="center"/>
              <w:rPr>
                <w:rFonts w:ascii="宋体" w:hAnsi="宋体" w:eastAsia="宋体"/>
                <w:sz w:val="21"/>
                <w:szCs w:val="21"/>
              </w:rPr>
            </w:pPr>
          </w:p>
        </w:tc>
        <w:tc>
          <w:tcPr>
            <w:tcW w:w="1388" w:type="dxa"/>
            <w:vMerge w:val="continue"/>
            <w:vAlign w:val="center"/>
          </w:tcPr>
          <w:p w14:paraId="1248EEDC">
            <w:pPr>
              <w:spacing w:line="420" w:lineRule="exact"/>
              <w:jc w:val="center"/>
              <w:rPr>
                <w:rFonts w:ascii="宋体" w:hAnsi="宋体" w:eastAsia="宋体"/>
                <w:sz w:val="21"/>
                <w:szCs w:val="21"/>
              </w:rPr>
            </w:pPr>
          </w:p>
        </w:tc>
        <w:tc>
          <w:tcPr>
            <w:tcW w:w="2277" w:type="dxa"/>
            <w:vAlign w:val="center"/>
          </w:tcPr>
          <w:p w14:paraId="367681A3">
            <w:pPr>
              <w:spacing w:line="420" w:lineRule="exact"/>
              <w:jc w:val="center"/>
              <w:rPr>
                <w:rFonts w:ascii="宋体" w:hAnsi="宋体" w:eastAsia="宋体"/>
                <w:sz w:val="21"/>
                <w:szCs w:val="21"/>
              </w:rPr>
            </w:pPr>
            <w:r>
              <w:rPr>
                <w:rFonts w:hint="eastAsia" w:ascii="宋体" w:hAnsi="宋体" w:eastAsia="宋体" w:cs="宋体"/>
                <w:sz w:val="21"/>
                <w:szCs w:val="21"/>
              </w:rPr>
              <w:t>基础信息完善性</w:t>
            </w:r>
          </w:p>
        </w:tc>
        <w:tc>
          <w:tcPr>
            <w:tcW w:w="1155" w:type="dxa"/>
            <w:vAlign w:val="center"/>
          </w:tcPr>
          <w:p w14:paraId="13C6B405">
            <w:pPr>
              <w:spacing w:line="420" w:lineRule="exact"/>
              <w:jc w:val="center"/>
              <w:rPr>
                <w:rFonts w:ascii="宋体" w:hAnsi="宋体" w:eastAsia="宋体" w:cs="宋体"/>
                <w:sz w:val="21"/>
                <w:szCs w:val="21"/>
              </w:rPr>
            </w:pPr>
            <w:r>
              <w:rPr>
                <w:rFonts w:ascii="宋体" w:hAnsi="宋体" w:eastAsia="宋体" w:cs="宋体"/>
                <w:sz w:val="21"/>
                <w:szCs w:val="21"/>
              </w:rPr>
              <w:t>4</w:t>
            </w:r>
          </w:p>
        </w:tc>
        <w:tc>
          <w:tcPr>
            <w:tcW w:w="1276" w:type="dxa"/>
            <w:vAlign w:val="center"/>
          </w:tcPr>
          <w:p w14:paraId="5FED2B1E">
            <w:pPr>
              <w:spacing w:line="420" w:lineRule="exact"/>
              <w:jc w:val="center"/>
              <w:rPr>
                <w:rFonts w:ascii="宋体" w:hAnsi="宋体" w:eastAsia="宋体" w:cs="宋体"/>
                <w:sz w:val="21"/>
                <w:szCs w:val="21"/>
              </w:rPr>
            </w:pPr>
          </w:p>
        </w:tc>
      </w:tr>
      <w:tr w14:paraId="134FE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6EDBED70">
            <w:pPr>
              <w:spacing w:line="420" w:lineRule="exact"/>
              <w:jc w:val="center"/>
              <w:rPr>
                <w:rFonts w:ascii="宋体" w:hAnsi="宋体" w:eastAsia="宋体"/>
                <w:sz w:val="21"/>
                <w:szCs w:val="21"/>
              </w:rPr>
            </w:pPr>
          </w:p>
        </w:tc>
        <w:tc>
          <w:tcPr>
            <w:tcW w:w="1388" w:type="dxa"/>
            <w:vMerge w:val="continue"/>
            <w:vAlign w:val="center"/>
          </w:tcPr>
          <w:p w14:paraId="51B49441">
            <w:pPr>
              <w:spacing w:line="420" w:lineRule="exact"/>
              <w:jc w:val="center"/>
              <w:rPr>
                <w:rFonts w:ascii="宋体" w:hAnsi="宋体" w:eastAsia="宋体"/>
                <w:sz w:val="21"/>
                <w:szCs w:val="21"/>
              </w:rPr>
            </w:pPr>
          </w:p>
        </w:tc>
        <w:tc>
          <w:tcPr>
            <w:tcW w:w="2277" w:type="dxa"/>
            <w:vAlign w:val="center"/>
          </w:tcPr>
          <w:p w14:paraId="7D017BC1">
            <w:pPr>
              <w:spacing w:line="420" w:lineRule="exact"/>
              <w:jc w:val="center"/>
              <w:rPr>
                <w:rFonts w:ascii="宋体" w:hAnsi="宋体" w:eastAsia="宋体"/>
                <w:sz w:val="21"/>
                <w:szCs w:val="21"/>
              </w:rPr>
            </w:pPr>
            <w:r>
              <w:rPr>
                <w:rFonts w:hint="eastAsia" w:ascii="宋体" w:hAnsi="宋体" w:eastAsia="宋体" w:cs="宋体"/>
                <w:sz w:val="21"/>
                <w:szCs w:val="21"/>
              </w:rPr>
              <w:t>资产管理规范性</w:t>
            </w:r>
          </w:p>
        </w:tc>
        <w:tc>
          <w:tcPr>
            <w:tcW w:w="1155" w:type="dxa"/>
            <w:vAlign w:val="center"/>
          </w:tcPr>
          <w:p w14:paraId="718FE970">
            <w:pPr>
              <w:spacing w:line="420" w:lineRule="exact"/>
              <w:jc w:val="center"/>
              <w:rPr>
                <w:rFonts w:ascii="宋体" w:hAnsi="宋体" w:eastAsia="宋体" w:cs="宋体"/>
                <w:sz w:val="21"/>
                <w:szCs w:val="21"/>
              </w:rPr>
            </w:pPr>
            <w:r>
              <w:rPr>
                <w:rFonts w:ascii="宋体" w:hAnsi="宋体" w:eastAsia="宋体" w:cs="宋体"/>
                <w:sz w:val="21"/>
                <w:szCs w:val="21"/>
              </w:rPr>
              <w:t>4</w:t>
            </w:r>
          </w:p>
        </w:tc>
        <w:tc>
          <w:tcPr>
            <w:tcW w:w="1276" w:type="dxa"/>
            <w:vAlign w:val="center"/>
          </w:tcPr>
          <w:p w14:paraId="69191CCC">
            <w:pPr>
              <w:spacing w:line="420" w:lineRule="exact"/>
              <w:jc w:val="center"/>
              <w:rPr>
                <w:rFonts w:ascii="宋体" w:hAnsi="宋体" w:eastAsia="宋体" w:cs="宋体"/>
                <w:sz w:val="21"/>
                <w:szCs w:val="21"/>
              </w:rPr>
            </w:pPr>
          </w:p>
        </w:tc>
      </w:tr>
      <w:tr w14:paraId="41157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exact"/>
          <w:jc w:val="center"/>
        </w:trPr>
        <w:tc>
          <w:tcPr>
            <w:tcW w:w="1557" w:type="dxa"/>
            <w:vMerge w:val="continue"/>
            <w:vAlign w:val="center"/>
          </w:tcPr>
          <w:p w14:paraId="2879AF6F">
            <w:pPr>
              <w:spacing w:line="420" w:lineRule="exact"/>
              <w:jc w:val="center"/>
              <w:rPr>
                <w:rFonts w:ascii="宋体" w:hAnsi="宋体" w:eastAsia="宋体"/>
                <w:sz w:val="21"/>
                <w:szCs w:val="21"/>
              </w:rPr>
            </w:pPr>
          </w:p>
        </w:tc>
        <w:tc>
          <w:tcPr>
            <w:tcW w:w="1388" w:type="dxa"/>
            <w:vMerge w:val="restart"/>
            <w:vAlign w:val="center"/>
          </w:tcPr>
          <w:p w14:paraId="32E738FB">
            <w:pPr>
              <w:spacing w:line="420" w:lineRule="exact"/>
              <w:jc w:val="center"/>
              <w:rPr>
                <w:rFonts w:ascii="宋体" w:hAnsi="宋体" w:eastAsia="宋体"/>
                <w:sz w:val="21"/>
                <w:szCs w:val="21"/>
              </w:rPr>
            </w:pPr>
            <w:r>
              <w:rPr>
                <w:rFonts w:hint="eastAsia" w:ascii="宋体" w:hAnsi="宋体" w:eastAsia="宋体" w:cs="宋体"/>
                <w:sz w:val="21"/>
                <w:szCs w:val="21"/>
              </w:rPr>
              <w:t>绩效评价</w:t>
            </w:r>
          </w:p>
          <w:p w14:paraId="2490B507">
            <w:pPr>
              <w:spacing w:line="420" w:lineRule="exact"/>
              <w:jc w:val="center"/>
              <w:rPr>
                <w:rFonts w:ascii="宋体" w:hAnsi="宋体" w:eastAsia="宋体"/>
                <w:sz w:val="21"/>
                <w:szCs w:val="21"/>
              </w:rPr>
            </w:pPr>
            <w:r>
              <w:rPr>
                <w:rFonts w:hint="eastAsia" w:ascii="宋体" w:hAnsi="宋体" w:eastAsia="宋体" w:cs="宋体"/>
                <w:sz w:val="21"/>
                <w:szCs w:val="21"/>
              </w:rPr>
              <w:t>（</w:t>
            </w:r>
            <w:r>
              <w:rPr>
                <w:rFonts w:ascii="宋体" w:hAnsi="宋体" w:eastAsia="宋体" w:cs="宋体"/>
                <w:sz w:val="21"/>
                <w:szCs w:val="21"/>
              </w:rPr>
              <w:t>8</w:t>
            </w:r>
            <w:r>
              <w:rPr>
                <w:rFonts w:hint="eastAsia" w:ascii="宋体" w:hAnsi="宋体" w:eastAsia="宋体" w:cs="宋体"/>
                <w:sz w:val="21"/>
                <w:szCs w:val="21"/>
              </w:rPr>
              <w:t>分）</w:t>
            </w:r>
          </w:p>
        </w:tc>
        <w:tc>
          <w:tcPr>
            <w:tcW w:w="2277" w:type="dxa"/>
            <w:vAlign w:val="center"/>
          </w:tcPr>
          <w:p w14:paraId="4B40F38D">
            <w:pPr>
              <w:spacing w:line="420" w:lineRule="exact"/>
              <w:jc w:val="center"/>
              <w:rPr>
                <w:rFonts w:ascii="宋体" w:hAnsi="宋体" w:eastAsia="宋体"/>
                <w:sz w:val="21"/>
                <w:szCs w:val="21"/>
              </w:rPr>
            </w:pPr>
            <w:r>
              <w:rPr>
                <w:rFonts w:hint="eastAsia" w:ascii="宋体" w:hAnsi="宋体" w:eastAsia="宋体" w:cs="宋体"/>
                <w:sz w:val="21"/>
                <w:szCs w:val="21"/>
              </w:rPr>
              <w:t>绩效自评覆盖率</w:t>
            </w:r>
          </w:p>
        </w:tc>
        <w:tc>
          <w:tcPr>
            <w:tcW w:w="1155" w:type="dxa"/>
            <w:vAlign w:val="center"/>
          </w:tcPr>
          <w:p w14:paraId="322F2069">
            <w:pPr>
              <w:spacing w:line="420" w:lineRule="exact"/>
              <w:jc w:val="center"/>
              <w:rPr>
                <w:rFonts w:ascii="宋体" w:hAnsi="宋体" w:eastAsia="宋体" w:cs="宋体"/>
                <w:sz w:val="21"/>
                <w:szCs w:val="21"/>
              </w:rPr>
            </w:pPr>
            <w:r>
              <w:rPr>
                <w:rFonts w:ascii="宋体" w:hAnsi="宋体" w:eastAsia="宋体" w:cs="宋体"/>
                <w:sz w:val="21"/>
                <w:szCs w:val="21"/>
              </w:rPr>
              <w:t>4</w:t>
            </w:r>
          </w:p>
        </w:tc>
        <w:tc>
          <w:tcPr>
            <w:tcW w:w="1276" w:type="dxa"/>
            <w:vAlign w:val="center"/>
          </w:tcPr>
          <w:p w14:paraId="4743ADE9">
            <w:pPr>
              <w:spacing w:line="420" w:lineRule="exact"/>
              <w:jc w:val="center"/>
              <w:rPr>
                <w:rFonts w:ascii="宋体" w:hAnsi="宋体" w:eastAsia="宋体" w:cs="宋体"/>
                <w:sz w:val="21"/>
                <w:szCs w:val="21"/>
              </w:rPr>
            </w:pPr>
          </w:p>
        </w:tc>
      </w:tr>
      <w:tr w14:paraId="76D9D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exact"/>
          <w:jc w:val="center"/>
        </w:trPr>
        <w:tc>
          <w:tcPr>
            <w:tcW w:w="1557" w:type="dxa"/>
            <w:vMerge w:val="continue"/>
            <w:vAlign w:val="center"/>
          </w:tcPr>
          <w:p w14:paraId="762F88C3">
            <w:pPr>
              <w:spacing w:line="420" w:lineRule="exact"/>
              <w:jc w:val="center"/>
              <w:rPr>
                <w:rFonts w:ascii="宋体" w:hAnsi="宋体" w:eastAsia="宋体"/>
                <w:sz w:val="21"/>
                <w:szCs w:val="21"/>
              </w:rPr>
            </w:pPr>
          </w:p>
        </w:tc>
        <w:tc>
          <w:tcPr>
            <w:tcW w:w="1388" w:type="dxa"/>
            <w:vMerge w:val="continue"/>
            <w:vAlign w:val="center"/>
          </w:tcPr>
          <w:p w14:paraId="5EEF681C">
            <w:pPr>
              <w:spacing w:line="420" w:lineRule="exact"/>
              <w:jc w:val="center"/>
              <w:rPr>
                <w:rFonts w:ascii="宋体" w:hAnsi="宋体" w:eastAsia="宋体"/>
                <w:sz w:val="21"/>
                <w:szCs w:val="21"/>
              </w:rPr>
            </w:pPr>
          </w:p>
        </w:tc>
        <w:tc>
          <w:tcPr>
            <w:tcW w:w="2277" w:type="dxa"/>
            <w:vAlign w:val="center"/>
          </w:tcPr>
          <w:p w14:paraId="7F39C4E2">
            <w:pPr>
              <w:spacing w:line="420" w:lineRule="exact"/>
              <w:jc w:val="center"/>
              <w:rPr>
                <w:rFonts w:ascii="宋体" w:hAnsi="宋体" w:eastAsia="宋体"/>
                <w:sz w:val="21"/>
                <w:szCs w:val="21"/>
              </w:rPr>
            </w:pPr>
            <w:r>
              <w:rPr>
                <w:rFonts w:hint="eastAsia" w:ascii="宋体" w:hAnsi="宋体" w:eastAsia="宋体" w:cs="宋体"/>
                <w:sz w:val="21"/>
                <w:szCs w:val="21"/>
              </w:rPr>
              <w:t>绩效评价优等率</w:t>
            </w:r>
          </w:p>
        </w:tc>
        <w:tc>
          <w:tcPr>
            <w:tcW w:w="1155" w:type="dxa"/>
            <w:vAlign w:val="center"/>
          </w:tcPr>
          <w:p w14:paraId="2CFFBCE8">
            <w:pPr>
              <w:spacing w:line="420" w:lineRule="exact"/>
              <w:jc w:val="center"/>
              <w:rPr>
                <w:rFonts w:ascii="宋体" w:hAnsi="宋体" w:eastAsia="宋体" w:cs="宋体"/>
                <w:sz w:val="21"/>
                <w:szCs w:val="21"/>
              </w:rPr>
            </w:pPr>
            <w:r>
              <w:rPr>
                <w:rFonts w:ascii="宋体" w:hAnsi="宋体" w:eastAsia="宋体" w:cs="宋体"/>
                <w:sz w:val="21"/>
                <w:szCs w:val="21"/>
              </w:rPr>
              <w:t>4</w:t>
            </w:r>
          </w:p>
        </w:tc>
        <w:tc>
          <w:tcPr>
            <w:tcW w:w="1276" w:type="dxa"/>
            <w:vAlign w:val="center"/>
          </w:tcPr>
          <w:p w14:paraId="08FB27C1">
            <w:pPr>
              <w:spacing w:line="420" w:lineRule="exact"/>
              <w:jc w:val="center"/>
              <w:rPr>
                <w:rFonts w:ascii="宋体" w:hAnsi="宋体" w:eastAsia="宋体" w:cs="宋体"/>
                <w:sz w:val="21"/>
                <w:szCs w:val="21"/>
              </w:rPr>
            </w:pPr>
          </w:p>
        </w:tc>
      </w:tr>
      <w:tr w14:paraId="210D9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2945" w:type="dxa"/>
            <w:gridSpan w:val="2"/>
            <w:vAlign w:val="center"/>
          </w:tcPr>
          <w:p w14:paraId="067BEC63">
            <w:pPr>
              <w:spacing w:line="420" w:lineRule="exact"/>
              <w:jc w:val="center"/>
              <w:rPr>
                <w:rFonts w:ascii="宋体" w:hAnsi="宋体" w:eastAsia="宋体"/>
                <w:sz w:val="21"/>
                <w:szCs w:val="21"/>
              </w:rPr>
            </w:pPr>
            <w:r>
              <w:rPr>
                <w:rFonts w:hint="eastAsia" w:ascii="宋体" w:hAnsi="宋体" w:eastAsia="宋体" w:cs="宋体"/>
                <w:sz w:val="21"/>
                <w:szCs w:val="21"/>
              </w:rPr>
              <w:t>合计</w:t>
            </w:r>
          </w:p>
        </w:tc>
        <w:tc>
          <w:tcPr>
            <w:tcW w:w="2277" w:type="dxa"/>
            <w:vAlign w:val="center"/>
          </w:tcPr>
          <w:p w14:paraId="1090123E">
            <w:pPr>
              <w:spacing w:line="420" w:lineRule="exact"/>
              <w:jc w:val="center"/>
              <w:rPr>
                <w:rFonts w:ascii="宋体" w:hAnsi="宋体" w:eastAsia="宋体"/>
                <w:sz w:val="21"/>
                <w:szCs w:val="21"/>
              </w:rPr>
            </w:pPr>
          </w:p>
        </w:tc>
        <w:tc>
          <w:tcPr>
            <w:tcW w:w="1155" w:type="dxa"/>
            <w:vAlign w:val="center"/>
          </w:tcPr>
          <w:p w14:paraId="5EA30516">
            <w:pPr>
              <w:spacing w:line="420" w:lineRule="exact"/>
              <w:jc w:val="center"/>
              <w:rPr>
                <w:rFonts w:ascii="宋体" w:hAnsi="宋体" w:eastAsia="宋体"/>
                <w:sz w:val="21"/>
                <w:szCs w:val="21"/>
              </w:rPr>
            </w:pPr>
            <w:r>
              <w:rPr>
                <w:rFonts w:ascii="宋体" w:hAnsi="宋体" w:eastAsia="宋体" w:cs="宋体"/>
                <w:sz w:val="21"/>
                <w:szCs w:val="21"/>
              </w:rPr>
              <w:t>42</w:t>
            </w:r>
          </w:p>
        </w:tc>
        <w:tc>
          <w:tcPr>
            <w:tcW w:w="1276" w:type="dxa"/>
            <w:vAlign w:val="center"/>
          </w:tcPr>
          <w:p w14:paraId="1B73E170">
            <w:pPr>
              <w:spacing w:line="420" w:lineRule="exact"/>
              <w:jc w:val="center"/>
              <w:rPr>
                <w:rFonts w:ascii="宋体" w:hAnsi="宋体" w:eastAsia="宋体"/>
                <w:sz w:val="21"/>
                <w:szCs w:val="21"/>
              </w:rPr>
            </w:pPr>
          </w:p>
        </w:tc>
      </w:tr>
      <w:bookmarkEnd w:id="60"/>
    </w:tbl>
    <w:p w14:paraId="7120D1A5">
      <w:pPr>
        <w:spacing w:after="0" w:line="360" w:lineRule="auto"/>
        <w:ind w:firstLine="640" w:firstLineChars="200"/>
        <w:jc w:val="both"/>
        <w:textAlignment w:val="baseline"/>
        <w:rPr>
          <w:rFonts w:ascii="仿宋_GB2312" w:eastAsia="仿宋_GB2312"/>
          <w:sz w:val="32"/>
          <w:szCs w:val="32"/>
        </w:rPr>
      </w:pPr>
      <w:bookmarkStart w:id="61" w:name="_Toc464638487"/>
      <w:bookmarkStart w:id="62" w:name="_Toc465149514"/>
      <w:r>
        <w:rPr>
          <w:rFonts w:ascii="仿宋_GB2312" w:eastAsia="仿宋_GB2312" w:cs="仿宋_GB2312"/>
          <w:sz w:val="32"/>
          <w:szCs w:val="32"/>
        </w:rPr>
        <w:t>1.</w:t>
      </w:r>
      <w:r>
        <w:rPr>
          <w:rFonts w:hint="eastAsia" w:ascii="仿宋_GB2312" w:eastAsia="仿宋_GB2312" w:cs="仿宋_GB2312"/>
          <w:sz w:val="32"/>
          <w:szCs w:val="32"/>
        </w:rPr>
        <w:t>预算执行（</w:t>
      </w:r>
      <w:r>
        <w:rPr>
          <w:rFonts w:ascii="仿宋_GB2312" w:eastAsia="仿宋_GB2312" w:cs="仿宋_GB2312"/>
          <w:sz w:val="32"/>
          <w:szCs w:val="32"/>
        </w:rPr>
        <w:t>24</w:t>
      </w:r>
      <w:r>
        <w:rPr>
          <w:rFonts w:hint="eastAsia" w:ascii="仿宋_GB2312" w:eastAsia="仿宋_GB2312" w:cs="仿宋_GB2312"/>
          <w:sz w:val="32"/>
          <w:szCs w:val="32"/>
        </w:rPr>
        <w:t>分）</w:t>
      </w:r>
    </w:p>
    <w:p w14:paraId="0A24020E">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）预算收入调整率（</w:t>
      </w:r>
      <w:r>
        <w:rPr>
          <w:rFonts w:ascii="仿宋_GB2312" w:eastAsia="仿宋_GB2312" w:cs="仿宋_GB2312"/>
          <w:sz w:val="32"/>
          <w:szCs w:val="32"/>
        </w:rPr>
        <w:t>2</w:t>
      </w:r>
      <w:r>
        <w:rPr>
          <w:rFonts w:hint="eastAsia" w:ascii="仿宋_GB2312" w:eastAsia="仿宋_GB2312" w:cs="仿宋_GB2312"/>
          <w:sz w:val="32"/>
          <w:szCs w:val="32"/>
        </w:rPr>
        <w:t>分）</w:t>
      </w:r>
    </w:p>
    <w:p w14:paraId="4C54585B">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该指标主要评价预算收入的调整情况，进而衡量预算收入编制的准确性，通过预算收入调整率衡量。</w:t>
      </w:r>
    </w:p>
    <w:p w14:paraId="61C957C2">
      <w:pPr>
        <w:spacing w:after="0" w:line="360" w:lineRule="auto"/>
        <w:ind w:firstLine="640" w:firstLineChars="200"/>
        <w:jc w:val="both"/>
        <w:textAlignment w:val="baseline"/>
        <w:rPr>
          <w:rFonts w:ascii="仿宋_GB2312" w:eastAsia="仿宋_GB2312" w:cs="仿宋_GB2312"/>
          <w:sz w:val="32"/>
          <w:szCs w:val="32"/>
        </w:rPr>
      </w:pPr>
      <w:r>
        <w:rPr>
          <w:rFonts w:hint="eastAsia" w:ascii="仿宋_GB2312" w:eastAsia="仿宋_GB2312" w:cs="仿宋_GB2312"/>
          <w:sz w:val="32"/>
          <w:szCs w:val="32"/>
        </w:rPr>
        <w:t>预算收入调整率</w:t>
      </w:r>
      <w:r>
        <w:rPr>
          <w:rFonts w:ascii="仿宋_GB2312" w:eastAsia="仿宋_GB2312" w:cs="仿宋_GB2312"/>
          <w:sz w:val="32"/>
          <w:szCs w:val="32"/>
        </w:rPr>
        <w:t>=</w:t>
      </w:r>
      <w:r>
        <w:rPr>
          <w:rFonts w:hint="eastAsia" w:ascii="仿宋_GB2312" w:eastAsia="仿宋_GB2312" w:cs="仿宋_GB2312"/>
          <w:sz w:val="32"/>
          <w:szCs w:val="32"/>
        </w:rPr>
        <w:t>（调整预算数</w:t>
      </w:r>
      <w:r>
        <w:rPr>
          <w:rFonts w:ascii="仿宋_GB2312" w:eastAsia="仿宋_GB2312" w:cs="仿宋_GB2312"/>
          <w:sz w:val="32"/>
          <w:szCs w:val="32"/>
        </w:rPr>
        <w:t>-</w:t>
      </w:r>
      <w:r>
        <w:rPr>
          <w:rFonts w:hint="eastAsia" w:ascii="仿宋_GB2312" w:eastAsia="仿宋_GB2312" w:cs="仿宋_GB2312"/>
          <w:sz w:val="32"/>
          <w:szCs w:val="32"/>
        </w:rPr>
        <w:t>年初预算数）</w:t>
      </w:r>
      <w:r>
        <w:rPr>
          <w:rFonts w:ascii="仿宋_GB2312" w:eastAsia="仿宋_GB2312" w:cs="仿宋_GB2312"/>
          <w:sz w:val="32"/>
          <w:szCs w:val="32"/>
        </w:rPr>
        <w:t>/</w:t>
      </w:r>
      <w:r>
        <w:rPr>
          <w:rFonts w:hint="eastAsia" w:ascii="仿宋_GB2312" w:eastAsia="仿宋_GB2312" w:cs="仿宋_GB2312"/>
          <w:sz w:val="32"/>
          <w:szCs w:val="32"/>
        </w:rPr>
        <w:t>年初预算数</w:t>
      </w:r>
      <w:r>
        <w:rPr>
          <w:rFonts w:ascii="仿宋_GB2312" w:eastAsia="仿宋_GB2312" w:cs="仿宋_GB2312"/>
          <w:sz w:val="32"/>
          <w:szCs w:val="32"/>
        </w:rPr>
        <w:t>*100%</w:t>
      </w:r>
    </w:p>
    <w:p w14:paraId="32CDBBE4">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该项指标实际得分</w:t>
      </w:r>
      <w:r>
        <w:rPr>
          <w:rFonts w:ascii="仿宋_GB2312" w:eastAsia="仿宋_GB2312" w:cs="仿宋_GB2312"/>
          <w:sz w:val="32"/>
          <w:szCs w:val="32"/>
        </w:rPr>
        <w:t>2</w:t>
      </w:r>
      <w:r>
        <w:rPr>
          <w:rFonts w:hint="eastAsia" w:ascii="仿宋_GB2312" w:eastAsia="仿宋_GB2312" w:cs="仿宋_GB2312"/>
          <w:sz w:val="32"/>
          <w:szCs w:val="32"/>
        </w:rPr>
        <w:t>分。</w:t>
      </w:r>
    </w:p>
    <w:p w14:paraId="4843044C">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）收入完成率（</w:t>
      </w:r>
      <w:r>
        <w:rPr>
          <w:rFonts w:ascii="仿宋_GB2312" w:eastAsia="仿宋_GB2312" w:cs="仿宋_GB2312"/>
          <w:sz w:val="32"/>
          <w:szCs w:val="32"/>
        </w:rPr>
        <w:t>4</w:t>
      </w:r>
      <w:r>
        <w:rPr>
          <w:rFonts w:hint="eastAsia" w:ascii="仿宋_GB2312" w:eastAsia="仿宋_GB2312" w:cs="仿宋_GB2312"/>
          <w:sz w:val="32"/>
          <w:szCs w:val="32"/>
        </w:rPr>
        <w:t>分）</w:t>
      </w:r>
    </w:p>
    <w:p w14:paraId="30A418B9">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该指标主要评价部门预算收入的完成情况，用以反映部门预算收入的完成程度，通过收入完成率衡量。</w:t>
      </w:r>
    </w:p>
    <w:p w14:paraId="071E0990">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收入完成率</w:t>
      </w:r>
      <w:r>
        <w:rPr>
          <w:rFonts w:ascii="仿宋_GB2312" w:eastAsia="仿宋_GB2312" w:cs="仿宋_GB2312"/>
          <w:sz w:val="32"/>
          <w:szCs w:val="32"/>
        </w:rPr>
        <w:t>=</w:t>
      </w:r>
      <w:r>
        <w:rPr>
          <w:rFonts w:hint="eastAsia" w:ascii="仿宋_GB2312" w:eastAsia="仿宋_GB2312" w:cs="仿宋_GB2312"/>
          <w:sz w:val="32"/>
          <w:szCs w:val="32"/>
        </w:rPr>
        <w:t>（决算收入</w:t>
      </w:r>
      <w:r>
        <w:rPr>
          <w:rFonts w:ascii="仿宋_GB2312" w:eastAsia="仿宋_GB2312" w:cs="仿宋_GB2312"/>
          <w:sz w:val="32"/>
          <w:szCs w:val="32"/>
        </w:rPr>
        <w:t>/</w:t>
      </w:r>
      <w:r>
        <w:rPr>
          <w:rFonts w:hint="eastAsia" w:ascii="仿宋_GB2312" w:eastAsia="仿宋_GB2312" w:cs="仿宋_GB2312"/>
          <w:sz w:val="32"/>
          <w:szCs w:val="32"/>
        </w:rPr>
        <w:t>预算收入）×</w:t>
      </w:r>
      <w:r>
        <w:rPr>
          <w:rFonts w:ascii="仿宋_GB2312" w:eastAsia="仿宋_GB2312" w:cs="仿宋_GB2312"/>
          <w:sz w:val="32"/>
          <w:szCs w:val="32"/>
        </w:rPr>
        <w:t>100%</w:t>
      </w:r>
      <w:r>
        <w:rPr>
          <w:rFonts w:hint="eastAsia" w:ascii="仿宋_GB2312" w:eastAsia="仿宋_GB2312" w:cs="仿宋_GB2312"/>
          <w:sz w:val="32"/>
          <w:szCs w:val="32"/>
        </w:rPr>
        <w:t>。</w:t>
      </w:r>
    </w:p>
    <w:p w14:paraId="113E2755">
      <w:pPr>
        <w:spacing w:after="0" w:line="360" w:lineRule="auto"/>
        <w:ind w:firstLine="640" w:firstLineChars="200"/>
        <w:jc w:val="both"/>
        <w:textAlignment w:val="baseline"/>
        <w:rPr>
          <w:rFonts w:ascii="仿宋_GB2312" w:eastAsia="仿宋_GB2312"/>
          <w:color w:val="auto"/>
          <w:sz w:val="32"/>
          <w:szCs w:val="32"/>
        </w:rPr>
      </w:pPr>
      <w:r>
        <w:rPr>
          <w:rFonts w:hint="eastAsia" w:ascii="仿宋_GB2312" w:eastAsia="仿宋_GB2312" w:cs="仿宋_GB2312"/>
          <w:sz w:val="32"/>
          <w:szCs w:val="32"/>
        </w:rPr>
        <w:t>根</w:t>
      </w:r>
      <w:r>
        <w:rPr>
          <w:rFonts w:hint="eastAsia" w:ascii="仿宋_GB2312" w:eastAsia="仿宋_GB2312" w:cs="仿宋_GB2312"/>
          <w:color w:val="auto"/>
          <w:sz w:val="32"/>
          <w:szCs w:val="32"/>
        </w:rPr>
        <w:t>据区总工会</w:t>
      </w:r>
      <w:r>
        <w:rPr>
          <w:rFonts w:ascii="仿宋_GB2312" w:eastAsia="仿宋_GB2312" w:cs="仿宋_GB2312"/>
          <w:color w:val="auto"/>
          <w:sz w:val="32"/>
          <w:szCs w:val="32"/>
        </w:rPr>
        <w:t>2019</w:t>
      </w:r>
      <w:r>
        <w:rPr>
          <w:rFonts w:hint="eastAsia" w:ascii="仿宋_GB2312" w:eastAsia="仿宋_GB2312" w:cs="仿宋_GB2312"/>
          <w:color w:val="auto"/>
          <w:sz w:val="32"/>
          <w:szCs w:val="32"/>
        </w:rPr>
        <w:t>年预算文本、决算文本，</w:t>
      </w:r>
      <w:r>
        <w:rPr>
          <w:rFonts w:ascii="仿宋_GB2312" w:eastAsia="仿宋_GB2312" w:cs="仿宋_GB2312"/>
          <w:color w:val="auto"/>
          <w:sz w:val="32"/>
          <w:szCs w:val="32"/>
        </w:rPr>
        <w:t>2019</w:t>
      </w:r>
      <w:r>
        <w:rPr>
          <w:rFonts w:hint="eastAsia" w:ascii="仿宋_GB2312" w:eastAsia="仿宋_GB2312" w:cs="仿宋_GB2312"/>
          <w:color w:val="auto"/>
          <w:sz w:val="32"/>
          <w:szCs w:val="32"/>
        </w:rPr>
        <w:t>年收入预算数</w:t>
      </w:r>
      <w:r>
        <w:rPr>
          <w:rFonts w:ascii="仿宋_GB2312" w:eastAsia="仿宋_GB2312" w:cs="仿宋_GB2312"/>
          <w:color w:val="auto"/>
          <w:sz w:val="32"/>
          <w:szCs w:val="32"/>
        </w:rPr>
        <w:t>180.2</w:t>
      </w:r>
      <w:r>
        <w:rPr>
          <w:rFonts w:hint="eastAsia" w:ascii="仿宋_GB2312" w:eastAsia="仿宋_GB2312" w:cs="仿宋_GB2312"/>
          <w:color w:val="auto"/>
          <w:sz w:val="32"/>
          <w:szCs w:val="32"/>
        </w:rPr>
        <w:t>万元，收入决算数</w:t>
      </w:r>
      <w:r>
        <w:rPr>
          <w:rFonts w:ascii="仿宋_GB2312" w:eastAsia="仿宋_GB2312" w:cs="仿宋_GB2312"/>
          <w:color w:val="auto"/>
          <w:sz w:val="32"/>
          <w:szCs w:val="32"/>
        </w:rPr>
        <w:t>172.38</w:t>
      </w:r>
      <w:r>
        <w:rPr>
          <w:rFonts w:hint="eastAsia" w:ascii="仿宋_GB2312" w:eastAsia="仿宋_GB2312" w:cs="仿宋_GB2312"/>
          <w:color w:val="auto"/>
          <w:sz w:val="32"/>
          <w:szCs w:val="32"/>
        </w:rPr>
        <w:t>万元，收入完成率</w:t>
      </w:r>
      <w:r>
        <w:rPr>
          <w:rFonts w:ascii="仿宋_GB2312" w:eastAsia="仿宋_GB2312" w:cs="仿宋_GB2312"/>
          <w:color w:val="auto"/>
          <w:sz w:val="32"/>
          <w:szCs w:val="32"/>
        </w:rPr>
        <w:t>=</w:t>
      </w:r>
      <w:r>
        <w:rPr>
          <w:rFonts w:hint="eastAsia" w:ascii="仿宋_GB2312" w:eastAsia="仿宋_GB2312" w:cs="仿宋_GB2312"/>
          <w:color w:val="auto"/>
          <w:sz w:val="32"/>
          <w:szCs w:val="32"/>
        </w:rPr>
        <w:t>（决算数</w:t>
      </w:r>
      <w:r>
        <w:rPr>
          <w:rFonts w:ascii="仿宋_GB2312" w:eastAsia="仿宋_GB2312" w:cs="仿宋_GB2312"/>
          <w:color w:val="auto"/>
          <w:sz w:val="32"/>
          <w:szCs w:val="32"/>
        </w:rPr>
        <w:t>/</w:t>
      </w:r>
      <w:r>
        <w:rPr>
          <w:rFonts w:hint="eastAsia" w:ascii="仿宋_GB2312" w:eastAsia="仿宋_GB2312" w:cs="仿宋_GB2312"/>
          <w:color w:val="auto"/>
          <w:sz w:val="32"/>
          <w:szCs w:val="32"/>
        </w:rPr>
        <w:t>预算数）</w:t>
      </w:r>
      <w:r>
        <w:rPr>
          <w:rFonts w:ascii="仿宋_GB2312" w:eastAsia="仿宋_GB2312" w:cs="仿宋_GB2312"/>
          <w:color w:val="auto"/>
          <w:sz w:val="32"/>
          <w:szCs w:val="32"/>
        </w:rPr>
        <w:t>*100%=96%</w:t>
      </w:r>
      <w:r>
        <w:rPr>
          <w:rFonts w:hint="eastAsia" w:ascii="仿宋_GB2312" w:eastAsia="仿宋_GB2312" w:cs="仿宋_GB2312"/>
          <w:color w:val="auto"/>
          <w:sz w:val="32"/>
          <w:szCs w:val="32"/>
        </w:rPr>
        <w:t>。</w:t>
      </w:r>
    </w:p>
    <w:p w14:paraId="27DEB761">
      <w:pPr>
        <w:spacing w:after="0" w:line="360" w:lineRule="auto"/>
        <w:ind w:firstLine="640" w:firstLineChars="200"/>
        <w:jc w:val="both"/>
        <w:textAlignment w:val="baseline"/>
        <w:rPr>
          <w:rFonts w:ascii="仿宋_GB2312" w:eastAsia="仿宋_GB2312"/>
          <w:color w:val="auto"/>
          <w:sz w:val="32"/>
          <w:szCs w:val="32"/>
        </w:rPr>
      </w:pPr>
      <w:r>
        <w:rPr>
          <w:rFonts w:hint="eastAsia" w:ascii="仿宋_GB2312" w:eastAsia="仿宋_GB2312" w:cs="仿宋_GB2312"/>
          <w:color w:val="auto"/>
          <w:sz w:val="32"/>
          <w:szCs w:val="32"/>
        </w:rPr>
        <w:t>该指标实际得分</w:t>
      </w:r>
      <w:r>
        <w:rPr>
          <w:rFonts w:ascii="仿宋_GB2312" w:eastAsia="仿宋_GB2312" w:cs="仿宋_GB2312"/>
          <w:color w:val="auto"/>
          <w:sz w:val="32"/>
          <w:szCs w:val="32"/>
        </w:rPr>
        <w:t>4</w:t>
      </w:r>
      <w:r>
        <w:rPr>
          <w:rFonts w:hint="eastAsia" w:ascii="仿宋_GB2312" w:eastAsia="仿宋_GB2312" w:cs="仿宋_GB2312"/>
          <w:color w:val="auto"/>
          <w:sz w:val="32"/>
          <w:szCs w:val="32"/>
        </w:rPr>
        <w:t>分。</w:t>
      </w:r>
    </w:p>
    <w:p w14:paraId="3EE28E34">
      <w:pPr>
        <w:spacing w:after="0" w:line="360" w:lineRule="auto"/>
        <w:ind w:firstLine="640" w:firstLineChars="200"/>
        <w:jc w:val="both"/>
        <w:textAlignment w:val="baseline"/>
        <w:rPr>
          <w:rFonts w:ascii="仿宋_GB2312" w:eastAsia="仿宋_GB2312"/>
          <w:color w:val="auto"/>
          <w:sz w:val="32"/>
          <w:szCs w:val="32"/>
        </w:rPr>
      </w:pPr>
      <w:r>
        <w:rPr>
          <w:rFonts w:hint="eastAsia" w:ascii="仿宋_GB2312" w:eastAsia="仿宋_GB2312" w:cs="仿宋_GB2312"/>
          <w:color w:val="auto"/>
          <w:sz w:val="32"/>
          <w:szCs w:val="32"/>
        </w:rPr>
        <w:t>（</w:t>
      </w:r>
      <w:r>
        <w:rPr>
          <w:rFonts w:ascii="仿宋_GB2312" w:eastAsia="仿宋_GB2312" w:cs="仿宋_GB2312"/>
          <w:color w:val="auto"/>
          <w:sz w:val="32"/>
          <w:szCs w:val="32"/>
        </w:rPr>
        <w:t>3</w:t>
      </w:r>
      <w:r>
        <w:rPr>
          <w:rFonts w:hint="eastAsia" w:ascii="仿宋_GB2312" w:eastAsia="仿宋_GB2312" w:cs="仿宋_GB2312"/>
          <w:color w:val="auto"/>
          <w:sz w:val="32"/>
          <w:szCs w:val="32"/>
        </w:rPr>
        <w:t>）预算支出调整率（</w:t>
      </w:r>
      <w:r>
        <w:rPr>
          <w:rFonts w:ascii="仿宋_GB2312" w:eastAsia="仿宋_GB2312" w:cs="仿宋_GB2312"/>
          <w:color w:val="auto"/>
          <w:sz w:val="32"/>
          <w:szCs w:val="32"/>
        </w:rPr>
        <w:t>2</w:t>
      </w:r>
      <w:r>
        <w:rPr>
          <w:rFonts w:hint="eastAsia" w:ascii="仿宋_GB2312" w:eastAsia="仿宋_GB2312" w:cs="仿宋_GB2312"/>
          <w:color w:val="auto"/>
          <w:sz w:val="32"/>
          <w:szCs w:val="32"/>
        </w:rPr>
        <w:t>分）</w:t>
      </w:r>
    </w:p>
    <w:p w14:paraId="0A2F8AB7">
      <w:pPr>
        <w:spacing w:after="0" w:line="360" w:lineRule="auto"/>
        <w:ind w:firstLine="640" w:firstLineChars="200"/>
        <w:jc w:val="both"/>
        <w:textAlignment w:val="baseline"/>
        <w:rPr>
          <w:rFonts w:ascii="仿宋_GB2312" w:eastAsia="仿宋_GB2312"/>
          <w:color w:val="auto"/>
          <w:sz w:val="32"/>
          <w:szCs w:val="32"/>
        </w:rPr>
      </w:pPr>
      <w:r>
        <w:rPr>
          <w:rFonts w:hint="eastAsia" w:ascii="仿宋_GB2312" w:eastAsia="仿宋_GB2312" w:cs="仿宋_GB2312"/>
          <w:color w:val="auto"/>
          <w:sz w:val="32"/>
          <w:szCs w:val="32"/>
        </w:rPr>
        <w:t>该指标主要评价预算支出的调整情况，进而衡量预算支出编制的准确性，通过预算支出调整率衡量。</w:t>
      </w:r>
    </w:p>
    <w:p w14:paraId="25F2EFD6">
      <w:pPr>
        <w:spacing w:after="0" w:line="360" w:lineRule="auto"/>
        <w:ind w:firstLine="640" w:firstLineChars="200"/>
        <w:jc w:val="both"/>
        <w:textAlignment w:val="baseline"/>
        <w:rPr>
          <w:rFonts w:ascii="仿宋_GB2312" w:eastAsia="仿宋_GB2312" w:cs="仿宋_GB2312"/>
          <w:color w:val="auto"/>
          <w:sz w:val="32"/>
          <w:szCs w:val="32"/>
        </w:rPr>
      </w:pPr>
      <w:r>
        <w:rPr>
          <w:rFonts w:hint="eastAsia" w:ascii="仿宋_GB2312" w:eastAsia="仿宋_GB2312" w:cs="仿宋_GB2312"/>
          <w:color w:val="auto"/>
          <w:sz w:val="32"/>
          <w:szCs w:val="32"/>
        </w:rPr>
        <w:t>预算支出调整率</w:t>
      </w:r>
      <w:r>
        <w:rPr>
          <w:rFonts w:ascii="仿宋_GB2312" w:eastAsia="仿宋_GB2312" w:cs="仿宋_GB2312"/>
          <w:color w:val="auto"/>
          <w:sz w:val="32"/>
          <w:szCs w:val="32"/>
        </w:rPr>
        <w:t>=</w:t>
      </w:r>
      <w:r>
        <w:rPr>
          <w:rFonts w:hint="eastAsia" w:ascii="仿宋_GB2312" w:eastAsia="仿宋_GB2312" w:cs="仿宋_GB2312"/>
          <w:color w:val="auto"/>
          <w:sz w:val="32"/>
          <w:szCs w:val="32"/>
        </w:rPr>
        <w:t>（</w:t>
      </w:r>
      <w:r>
        <w:rPr>
          <w:rFonts w:ascii="仿宋_GB2312" w:eastAsia="仿宋_GB2312" w:cs="仿宋_GB2312"/>
          <w:color w:val="auto"/>
          <w:sz w:val="32"/>
          <w:szCs w:val="32"/>
        </w:rPr>
        <w:t>184.89-180.2</w:t>
      </w:r>
      <w:r>
        <w:rPr>
          <w:rFonts w:hint="eastAsia" w:ascii="仿宋_GB2312" w:eastAsia="仿宋_GB2312" w:cs="仿宋_GB2312"/>
          <w:color w:val="auto"/>
          <w:sz w:val="32"/>
          <w:szCs w:val="32"/>
        </w:rPr>
        <w:t>）</w:t>
      </w:r>
      <w:r>
        <w:rPr>
          <w:rFonts w:ascii="仿宋_GB2312" w:eastAsia="仿宋_GB2312" w:cs="仿宋_GB2312"/>
          <w:color w:val="auto"/>
          <w:sz w:val="32"/>
          <w:szCs w:val="32"/>
        </w:rPr>
        <w:t>/</w:t>
      </w:r>
      <w:r>
        <w:rPr>
          <w:rFonts w:hint="eastAsia" w:ascii="仿宋_GB2312" w:eastAsia="仿宋_GB2312" w:cs="仿宋_GB2312"/>
          <w:color w:val="auto"/>
          <w:sz w:val="32"/>
          <w:szCs w:val="32"/>
        </w:rPr>
        <w:t>年初预算数</w:t>
      </w:r>
      <w:r>
        <w:rPr>
          <w:rFonts w:ascii="仿宋_GB2312" w:eastAsia="仿宋_GB2312" w:cs="仿宋_GB2312"/>
          <w:color w:val="auto"/>
          <w:sz w:val="32"/>
          <w:szCs w:val="32"/>
        </w:rPr>
        <w:t>*102%</w:t>
      </w:r>
    </w:p>
    <w:p w14:paraId="1334B95E">
      <w:pPr>
        <w:spacing w:after="0" w:line="360" w:lineRule="auto"/>
        <w:ind w:firstLine="640" w:firstLineChars="200"/>
        <w:jc w:val="both"/>
        <w:textAlignment w:val="baseline"/>
        <w:rPr>
          <w:rFonts w:ascii="仿宋_GB2312" w:eastAsia="仿宋_GB2312"/>
          <w:color w:val="auto"/>
          <w:sz w:val="32"/>
          <w:szCs w:val="32"/>
        </w:rPr>
      </w:pPr>
      <w:r>
        <w:rPr>
          <w:rFonts w:hint="eastAsia" w:ascii="仿宋_GB2312" w:eastAsia="仿宋_GB2312" w:cs="仿宋_GB2312"/>
          <w:color w:val="auto"/>
          <w:sz w:val="32"/>
          <w:szCs w:val="32"/>
        </w:rPr>
        <w:t>该指标实际得分</w:t>
      </w:r>
      <w:r>
        <w:rPr>
          <w:rFonts w:ascii="仿宋_GB2312" w:eastAsia="仿宋_GB2312" w:cs="仿宋_GB2312"/>
          <w:color w:val="auto"/>
          <w:sz w:val="32"/>
          <w:szCs w:val="32"/>
        </w:rPr>
        <w:t>2</w:t>
      </w:r>
      <w:r>
        <w:rPr>
          <w:rFonts w:hint="eastAsia" w:ascii="仿宋_GB2312" w:eastAsia="仿宋_GB2312" w:cs="仿宋_GB2312"/>
          <w:color w:val="auto"/>
          <w:sz w:val="32"/>
          <w:szCs w:val="32"/>
        </w:rPr>
        <w:t>分。</w:t>
      </w:r>
    </w:p>
    <w:p w14:paraId="79FCC45B">
      <w:pPr>
        <w:spacing w:after="0" w:line="360" w:lineRule="auto"/>
        <w:ind w:firstLine="640" w:firstLineChars="200"/>
        <w:jc w:val="both"/>
        <w:textAlignment w:val="baseline"/>
        <w:rPr>
          <w:rFonts w:ascii="仿宋_GB2312" w:eastAsia="仿宋_GB2312"/>
          <w:color w:val="auto"/>
          <w:sz w:val="32"/>
          <w:szCs w:val="32"/>
        </w:rPr>
      </w:pPr>
      <w:r>
        <w:rPr>
          <w:rFonts w:hint="eastAsia" w:ascii="仿宋_GB2312" w:eastAsia="仿宋_GB2312" w:cs="仿宋_GB2312"/>
          <w:color w:val="auto"/>
          <w:sz w:val="32"/>
          <w:szCs w:val="32"/>
        </w:rPr>
        <w:t>（</w:t>
      </w:r>
      <w:r>
        <w:rPr>
          <w:rFonts w:ascii="仿宋_GB2312" w:eastAsia="仿宋_GB2312" w:cs="仿宋_GB2312"/>
          <w:color w:val="auto"/>
          <w:sz w:val="32"/>
          <w:szCs w:val="32"/>
        </w:rPr>
        <w:t>4</w:t>
      </w:r>
      <w:r>
        <w:rPr>
          <w:rFonts w:hint="eastAsia" w:ascii="仿宋_GB2312" w:eastAsia="仿宋_GB2312" w:cs="仿宋_GB2312"/>
          <w:color w:val="auto"/>
          <w:sz w:val="32"/>
          <w:szCs w:val="32"/>
        </w:rPr>
        <w:t>）财政拨款支出完成率（</w:t>
      </w:r>
      <w:r>
        <w:rPr>
          <w:rFonts w:ascii="仿宋_GB2312" w:eastAsia="仿宋_GB2312" w:cs="仿宋_GB2312"/>
          <w:color w:val="auto"/>
          <w:sz w:val="32"/>
          <w:szCs w:val="32"/>
        </w:rPr>
        <w:t>4</w:t>
      </w:r>
      <w:r>
        <w:rPr>
          <w:rFonts w:hint="eastAsia" w:ascii="仿宋_GB2312" w:eastAsia="仿宋_GB2312" w:cs="仿宋_GB2312"/>
          <w:color w:val="auto"/>
          <w:sz w:val="32"/>
          <w:szCs w:val="32"/>
        </w:rPr>
        <w:t>分）</w:t>
      </w:r>
    </w:p>
    <w:p w14:paraId="24C2FACA">
      <w:pPr>
        <w:spacing w:after="0" w:line="360" w:lineRule="auto"/>
        <w:ind w:firstLine="640" w:firstLineChars="200"/>
        <w:jc w:val="both"/>
        <w:textAlignment w:val="baseline"/>
        <w:rPr>
          <w:rFonts w:ascii="仿宋_GB2312" w:eastAsia="仿宋_GB2312"/>
          <w:color w:val="auto"/>
          <w:sz w:val="32"/>
          <w:szCs w:val="32"/>
        </w:rPr>
      </w:pPr>
      <w:r>
        <w:rPr>
          <w:rFonts w:hint="eastAsia" w:ascii="仿宋_GB2312" w:eastAsia="仿宋_GB2312" w:cs="仿宋_GB2312"/>
          <w:color w:val="auto"/>
          <w:sz w:val="32"/>
          <w:szCs w:val="32"/>
        </w:rPr>
        <w:t>该指标主要评价部门财政拨款的支出进度，通过财政拨款支出完成率来衡量。</w:t>
      </w:r>
    </w:p>
    <w:p w14:paraId="638FD0E8">
      <w:pPr>
        <w:spacing w:after="0" w:line="360" w:lineRule="auto"/>
        <w:ind w:firstLine="640" w:firstLineChars="200"/>
        <w:jc w:val="both"/>
        <w:textAlignment w:val="baseline"/>
        <w:rPr>
          <w:rFonts w:ascii="仿宋_GB2312" w:eastAsia="仿宋_GB2312"/>
          <w:color w:val="auto"/>
          <w:sz w:val="32"/>
          <w:szCs w:val="32"/>
        </w:rPr>
      </w:pPr>
      <w:r>
        <w:rPr>
          <w:rFonts w:hint="eastAsia" w:ascii="仿宋_GB2312" w:eastAsia="仿宋_GB2312" w:cs="仿宋_GB2312"/>
          <w:color w:val="auto"/>
          <w:sz w:val="32"/>
          <w:szCs w:val="32"/>
        </w:rPr>
        <w:t>财政拨款支出完成率</w:t>
      </w:r>
      <w:r>
        <w:rPr>
          <w:rFonts w:ascii="仿宋_GB2312" w:eastAsia="仿宋_GB2312" w:cs="仿宋_GB2312"/>
          <w:color w:val="auto"/>
          <w:sz w:val="32"/>
          <w:szCs w:val="32"/>
        </w:rPr>
        <w:t>=</w:t>
      </w:r>
      <w:r>
        <w:rPr>
          <w:rFonts w:hint="eastAsia" w:ascii="仿宋_GB2312" w:eastAsia="仿宋_GB2312" w:cs="仿宋_GB2312"/>
          <w:color w:val="auto"/>
          <w:sz w:val="32"/>
          <w:szCs w:val="32"/>
        </w:rPr>
        <w:t>（部门决算财政拨款支出</w:t>
      </w:r>
      <w:r>
        <w:rPr>
          <w:rFonts w:ascii="仿宋_GB2312" w:eastAsia="仿宋_GB2312" w:cs="仿宋_GB2312"/>
          <w:color w:val="auto"/>
          <w:sz w:val="32"/>
          <w:szCs w:val="32"/>
        </w:rPr>
        <w:t>/</w:t>
      </w:r>
      <w:r>
        <w:rPr>
          <w:rFonts w:hint="eastAsia" w:ascii="仿宋_GB2312" w:eastAsia="仿宋_GB2312" w:cs="仿宋_GB2312"/>
          <w:color w:val="auto"/>
          <w:sz w:val="32"/>
          <w:szCs w:val="32"/>
        </w:rPr>
        <w:t>部门决算财政拨款收入）</w:t>
      </w:r>
      <w:r>
        <w:rPr>
          <w:rFonts w:ascii="仿宋_GB2312" w:eastAsia="仿宋_GB2312" w:cs="仿宋_GB2312"/>
          <w:color w:val="auto"/>
          <w:sz w:val="32"/>
          <w:szCs w:val="32"/>
        </w:rPr>
        <w:t>*100%</w:t>
      </w:r>
      <w:r>
        <w:rPr>
          <w:rFonts w:hint="eastAsia" w:ascii="仿宋_GB2312" w:eastAsia="仿宋_GB2312" w:cs="仿宋_GB2312"/>
          <w:color w:val="auto"/>
          <w:sz w:val="32"/>
          <w:szCs w:val="32"/>
        </w:rPr>
        <w:t>。</w:t>
      </w:r>
    </w:p>
    <w:p w14:paraId="678FBC6C">
      <w:pPr>
        <w:spacing w:after="0" w:line="360" w:lineRule="auto"/>
        <w:ind w:firstLine="640" w:firstLineChars="200"/>
        <w:jc w:val="both"/>
        <w:textAlignment w:val="baseline"/>
        <w:rPr>
          <w:rFonts w:ascii="仿宋_GB2312" w:eastAsia="仿宋_GB2312"/>
          <w:color w:val="auto"/>
          <w:sz w:val="32"/>
          <w:szCs w:val="32"/>
        </w:rPr>
      </w:pPr>
      <w:r>
        <w:rPr>
          <w:rFonts w:hint="eastAsia" w:ascii="仿宋_GB2312" w:eastAsia="仿宋_GB2312" w:cs="仿宋_GB2312"/>
          <w:color w:val="auto"/>
          <w:sz w:val="32"/>
          <w:szCs w:val="32"/>
        </w:rPr>
        <w:t>区总工会提供的</w:t>
      </w:r>
      <w:r>
        <w:rPr>
          <w:rFonts w:ascii="仿宋_GB2312" w:eastAsia="仿宋_GB2312" w:cs="仿宋_GB2312"/>
          <w:color w:val="auto"/>
          <w:sz w:val="32"/>
          <w:szCs w:val="32"/>
        </w:rPr>
        <w:t>2019</w:t>
      </w:r>
      <w:r>
        <w:rPr>
          <w:rFonts w:hint="eastAsia" w:ascii="仿宋_GB2312" w:eastAsia="仿宋_GB2312" w:cs="仿宋_GB2312"/>
          <w:color w:val="auto"/>
          <w:sz w:val="32"/>
          <w:szCs w:val="32"/>
        </w:rPr>
        <w:t>年决算文本，部门决算财政拨款支出数</w:t>
      </w:r>
      <w:r>
        <w:rPr>
          <w:rFonts w:ascii="仿宋_GB2312" w:eastAsia="仿宋_GB2312" w:cs="仿宋_GB2312"/>
          <w:color w:val="auto"/>
          <w:sz w:val="32"/>
          <w:szCs w:val="32"/>
        </w:rPr>
        <w:t>172.38</w:t>
      </w:r>
      <w:r>
        <w:rPr>
          <w:rFonts w:hint="eastAsia" w:ascii="仿宋_GB2312" w:eastAsia="仿宋_GB2312" w:cs="仿宋_GB2312"/>
          <w:color w:val="auto"/>
          <w:sz w:val="32"/>
          <w:szCs w:val="32"/>
        </w:rPr>
        <w:t>万元，财政拨款收入数</w:t>
      </w:r>
      <w:r>
        <w:rPr>
          <w:rFonts w:ascii="仿宋_GB2312" w:eastAsia="仿宋_GB2312" w:cs="仿宋_GB2312"/>
          <w:color w:val="auto"/>
          <w:sz w:val="32"/>
          <w:szCs w:val="32"/>
        </w:rPr>
        <w:t>172.38</w:t>
      </w:r>
      <w:r>
        <w:rPr>
          <w:rFonts w:hint="eastAsia" w:ascii="仿宋_GB2312" w:eastAsia="仿宋_GB2312" w:cs="仿宋_GB2312"/>
          <w:color w:val="auto"/>
          <w:sz w:val="32"/>
          <w:szCs w:val="32"/>
        </w:rPr>
        <w:t>万元，财政拨款支出率</w:t>
      </w:r>
      <w:r>
        <w:rPr>
          <w:rFonts w:ascii="仿宋_GB2312" w:eastAsia="仿宋_GB2312" w:cs="仿宋_GB2312"/>
          <w:color w:val="auto"/>
          <w:sz w:val="32"/>
          <w:szCs w:val="32"/>
        </w:rPr>
        <w:t>=</w:t>
      </w:r>
      <w:r>
        <w:rPr>
          <w:rFonts w:hint="eastAsia" w:ascii="仿宋_GB2312" w:eastAsia="仿宋_GB2312" w:cs="仿宋_GB2312"/>
          <w:color w:val="auto"/>
          <w:sz w:val="32"/>
          <w:szCs w:val="32"/>
        </w:rPr>
        <w:t>（财政拨款支出数</w:t>
      </w:r>
      <w:r>
        <w:rPr>
          <w:rFonts w:ascii="仿宋_GB2312" w:eastAsia="仿宋_GB2312" w:cs="仿宋_GB2312"/>
          <w:color w:val="auto"/>
          <w:sz w:val="32"/>
          <w:szCs w:val="32"/>
        </w:rPr>
        <w:t>/</w:t>
      </w:r>
      <w:r>
        <w:rPr>
          <w:rFonts w:hint="eastAsia" w:ascii="仿宋_GB2312" w:eastAsia="仿宋_GB2312" w:cs="仿宋_GB2312"/>
          <w:color w:val="auto"/>
          <w:sz w:val="32"/>
          <w:szCs w:val="32"/>
        </w:rPr>
        <w:t>财政拨款收入数）</w:t>
      </w:r>
      <w:r>
        <w:rPr>
          <w:rFonts w:ascii="仿宋_GB2312" w:eastAsia="仿宋_GB2312" w:cs="仿宋_GB2312"/>
          <w:color w:val="auto"/>
          <w:sz w:val="32"/>
          <w:szCs w:val="32"/>
        </w:rPr>
        <w:t>*100%=100%</w:t>
      </w:r>
      <w:r>
        <w:rPr>
          <w:rFonts w:ascii="Arial" w:hAnsi="Arial" w:eastAsia="仿宋_GB2312" w:cs="Arial"/>
          <w:color w:val="auto"/>
          <w:sz w:val="32"/>
          <w:szCs w:val="32"/>
        </w:rPr>
        <w:t>≥</w:t>
      </w:r>
      <w:r>
        <w:rPr>
          <w:rFonts w:ascii="仿宋_GB2312" w:eastAsia="仿宋_GB2312" w:cs="仿宋_GB2312"/>
          <w:color w:val="auto"/>
          <w:sz w:val="32"/>
          <w:szCs w:val="32"/>
        </w:rPr>
        <w:t>90%</w:t>
      </w:r>
      <w:r>
        <w:rPr>
          <w:rFonts w:hint="eastAsia" w:ascii="仿宋_GB2312" w:eastAsia="仿宋_GB2312" w:cs="仿宋_GB2312"/>
          <w:color w:val="auto"/>
          <w:sz w:val="32"/>
          <w:szCs w:val="32"/>
        </w:rPr>
        <w:t>。区总工会</w:t>
      </w:r>
      <w:r>
        <w:rPr>
          <w:rFonts w:ascii="仿宋_GB2312" w:eastAsia="仿宋_GB2312" w:cs="仿宋_GB2312"/>
          <w:color w:val="auto"/>
          <w:sz w:val="32"/>
          <w:szCs w:val="32"/>
        </w:rPr>
        <w:t>2019</w:t>
      </w:r>
      <w:r>
        <w:rPr>
          <w:rFonts w:hint="eastAsia" w:ascii="仿宋_GB2312" w:eastAsia="仿宋_GB2312" w:cs="仿宋_GB2312"/>
          <w:color w:val="auto"/>
          <w:sz w:val="32"/>
          <w:szCs w:val="32"/>
        </w:rPr>
        <w:t>年年初结转和结余</w:t>
      </w:r>
      <w:r>
        <w:rPr>
          <w:rFonts w:ascii="仿宋_GB2312" w:eastAsia="仿宋_GB2312" w:cs="仿宋_GB2312"/>
          <w:color w:val="auto"/>
          <w:sz w:val="32"/>
          <w:szCs w:val="32"/>
        </w:rPr>
        <w:t>0</w:t>
      </w:r>
      <w:r>
        <w:rPr>
          <w:rFonts w:hint="eastAsia" w:ascii="仿宋_GB2312" w:eastAsia="仿宋_GB2312" w:cs="仿宋_GB2312"/>
          <w:color w:val="auto"/>
          <w:sz w:val="32"/>
          <w:szCs w:val="32"/>
        </w:rPr>
        <w:t>万元，故支出数大于收入数。</w:t>
      </w:r>
    </w:p>
    <w:p w14:paraId="56E18E61">
      <w:pPr>
        <w:spacing w:after="0" w:line="360" w:lineRule="auto"/>
        <w:ind w:firstLine="640" w:firstLineChars="200"/>
        <w:jc w:val="both"/>
        <w:textAlignment w:val="baseline"/>
        <w:rPr>
          <w:rFonts w:ascii="仿宋_GB2312" w:eastAsia="仿宋_GB2312"/>
          <w:color w:val="auto"/>
          <w:sz w:val="32"/>
          <w:szCs w:val="32"/>
        </w:rPr>
      </w:pPr>
      <w:r>
        <w:rPr>
          <w:rFonts w:hint="eastAsia" w:ascii="仿宋_GB2312" w:eastAsia="仿宋_GB2312" w:cs="仿宋_GB2312"/>
          <w:color w:val="auto"/>
          <w:sz w:val="32"/>
          <w:szCs w:val="32"/>
        </w:rPr>
        <w:t>该指标实际得分</w:t>
      </w:r>
      <w:r>
        <w:rPr>
          <w:rFonts w:ascii="仿宋_GB2312" w:eastAsia="仿宋_GB2312" w:cs="仿宋_GB2312"/>
          <w:color w:val="auto"/>
          <w:sz w:val="32"/>
          <w:szCs w:val="32"/>
        </w:rPr>
        <w:t>4</w:t>
      </w:r>
      <w:r>
        <w:rPr>
          <w:rFonts w:hint="eastAsia" w:ascii="仿宋_GB2312" w:eastAsia="仿宋_GB2312" w:cs="仿宋_GB2312"/>
          <w:color w:val="auto"/>
          <w:sz w:val="32"/>
          <w:szCs w:val="32"/>
        </w:rPr>
        <w:t>分。</w:t>
      </w:r>
    </w:p>
    <w:p w14:paraId="7927F69B">
      <w:pPr>
        <w:spacing w:after="0" w:line="360" w:lineRule="auto"/>
        <w:ind w:firstLine="640" w:firstLineChars="200"/>
        <w:jc w:val="both"/>
        <w:textAlignment w:val="baseline"/>
        <w:rPr>
          <w:rFonts w:ascii="仿宋_GB2312" w:eastAsia="仿宋_GB2312"/>
          <w:color w:val="auto"/>
          <w:sz w:val="32"/>
          <w:szCs w:val="32"/>
        </w:rPr>
      </w:pPr>
      <w:r>
        <w:rPr>
          <w:rFonts w:hint="eastAsia" w:ascii="仿宋_GB2312" w:eastAsia="仿宋_GB2312" w:cs="仿宋_GB2312"/>
          <w:color w:val="auto"/>
          <w:sz w:val="32"/>
          <w:szCs w:val="32"/>
        </w:rPr>
        <w:t>（</w:t>
      </w:r>
      <w:r>
        <w:rPr>
          <w:rFonts w:ascii="仿宋_GB2312" w:eastAsia="仿宋_GB2312" w:cs="仿宋_GB2312"/>
          <w:color w:val="auto"/>
          <w:sz w:val="32"/>
          <w:szCs w:val="32"/>
        </w:rPr>
        <w:t>5</w:t>
      </w:r>
      <w:r>
        <w:rPr>
          <w:rFonts w:hint="eastAsia" w:ascii="仿宋_GB2312" w:eastAsia="仿宋_GB2312" w:cs="仿宋_GB2312"/>
          <w:color w:val="auto"/>
          <w:sz w:val="32"/>
          <w:szCs w:val="32"/>
        </w:rPr>
        <w:t>）“三公”经费控制率（</w:t>
      </w:r>
      <w:r>
        <w:rPr>
          <w:rFonts w:ascii="仿宋_GB2312" w:eastAsia="仿宋_GB2312" w:cs="仿宋_GB2312"/>
          <w:color w:val="auto"/>
          <w:sz w:val="32"/>
          <w:szCs w:val="32"/>
        </w:rPr>
        <w:t>3</w:t>
      </w:r>
      <w:r>
        <w:rPr>
          <w:rFonts w:hint="eastAsia" w:ascii="仿宋_GB2312" w:eastAsia="仿宋_GB2312" w:cs="仿宋_GB2312"/>
          <w:color w:val="auto"/>
          <w:sz w:val="32"/>
          <w:szCs w:val="32"/>
        </w:rPr>
        <w:t>分）</w:t>
      </w:r>
    </w:p>
    <w:p w14:paraId="27CEC06F">
      <w:pPr>
        <w:spacing w:after="0" w:line="360" w:lineRule="auto"/>
        <w:ind w:firstLine="640" w:firstLineChars="200"/>
        <w:jc w:val="both"/>
        <w:textAlignment w:val="baseline"/>
        <w:rPr>
          <w:rFonts w:ascii="仿宋_GB2312" w:eastAsia="仿宋_GB2312"/>
          <w:color w:val="auto"/>
          <w:sz w:val="32"/>
          <w:szCs w:val="32"/>
        </w:rPr>
      </w:pPr>
      <w:r>
        <w:rPr>
          <w:rFonts w:hint="eastAsia" w:ascii="仿宋_GB2312" w:eastAsia="仿宋_GB2312" w:cs="仿宋_GB2312"/>
          <w:color w:val="auto"/>
          <w:sz w:val="32"/>
          <w:szCs w:val="32"/>
        </w:rPr>
        <w:t>财政局未划拨工会经费</w:t>
      </w:r>
    </w:p>
    <w:p w14:paraId="5EAE1302">
      <w:pPr>
        <w:spacing w:after="0" w:line="360" w:lineRule="auto"/>
        <w:ind w:firstLine="640" w:firstLineChars="200"/>
        <w:jc w:val="both"/>
        <w:textAlignment w:val="baseline"/>
        <w:rPr>
          <w:rFonts w:ascii="仿宋_GB2312" w:eastAsia="仿宋_GB2312"/>
          <w:color w:val="auto"/>
          <w:sz w:val="32"/>
          <w:szCs w:val="32"/>
        </w:rPr>
      </w:pPr>
      <w:r>
        <w:rPr>
          <w:rFonts w:hint="eastAsia" w:ascii="仿宋_GB2312" w:eastAsia="仿宋_GB2312" w:cs="仿宋_GB2312"/>
          <w:color w:val="auto"/>
          <w:sz w:val="32"/>
          <w:szCs w:val="32"/>
        </w:rPr>
        <w:t>（</w:t>
      </w:r>
      <w:r>
        <w:rPr>
          <w:rFonts w:ascii="仿宋_GB2312" w:eastAsia="仿宋_GB2312" w:cs="仿宋_GB2312"/>
          <w:color w:val="auto"/>
          <w:sz w:val="32"/>
          <w:szCs w:val="32"/>
        </w:rPr>
        <w:t>6</w:t>
      </w:r>
      <w:r>
        <w:rPr>
          <w:rFonts w:hint="eastAsia" w:ascii="仿宋_GB2312" w:eastAsia="仿宋_GB2312" w:cs="仿宋_GB2312"/>
          <w:color w:val="auto"/>
          <w:sz w:val="32"/>
          <w:szCs w:val="32"/>
        </w:rPr>
        <w:t>）政府采购执行率（</w:t>
      </w:r>
      <w:r>
        <w:rPr>
          <w:rFonts w:ascii="仿宋_GB2312" w:eastAsia="仿宋_GB2312" w:cs="仿宋_GB2312"/>
          <w:color w:val="auto"/>
          <w:sz w:val="32"/>
          <w:szCs w:val="32"/>
        </w:rPr>
        <w:t>3</w:t>
      </w:r>
      <w:r>
        <w:rPr>
          <w:rFonts w:hint="eastAsia" w:ascii="仿宋_GB2312" w:eastAsia="仿宋_GB2312" w:cs="仿宋_GB2312"/>
          <w:color w:val="auto"/>
          <w:sz w:val="32"/>
          <w:szCs w:val="32"/>
        </w:rPr>
        <w:t>分）</w:t>
      </w:r>
    </w:p>
    <w:p w14:paraId="4684FDD5">
      <w:pPr>
        <w:spacing w:after="0" w:line="360" w:lineRule="auto"/>
        <w:ind w:firstLine="640" w:firstLineChars="200"/>
        <w:jc w:val="both"/>
        <w:textAlignment w:val="baseline"/>
        <w:rPr>
          <w:rFonts w:ascii="仿宋_GB2312" w:eastAsia="仿宋_GB2312"/>
          <w:color w:val="auto"/>
          <w:sz w:val="32"/>
          <w:szCs w:val="32"/>
        </w:rPr>
      </w:pPr>
      <w:r>
        <w:rPr>
          <w:rFonts w:hint="eastAsia" w:ascii="仿宋_GB2312" w:eastAsia="仿宋_GB2312" w:cs="仿宋_GB2312"/>
          <w:color w:val="auto"/>
          <w:sz w:val="32"/>
          <w:szCs w:val="32"/>
        </w:rPr>
        <w:t>财政局未划拨工会经费，所有未发生政府采购。</w:t>
      </w:r>
    </w:p>
    <w:p w14:paraId="00D4EC54">
      <w:pPr>
        <w:spacing w:after="0" w:line="360" w:lineRule="auto"/>
        <w:ind w:firstLine="640" w:firstLineChars="200"/>
        <w:jc w:val="both"/>
        <w:textAlignment w:val="baseline"/>
        <w:rPr>
          <w:rFonts w:ascii="仿宋_GB2312" w:eastAsia="仿宋_GB2312"/>
          <w:color w:val="auto"/>
          <w:sz w:val="32"/>
          <w:szCs w:val="32"/>
        </w:rPr>
      </w:pPr>
      <w:r>
        <w:rPr>
          <w:rFonts w:hint="eastAsia" w:ascii="仿宋_GB2312" w:eastAsia="仿宋_GB2312" w:cs="仿宋_GB2312"/>
          <w:color w:val="auto"/>
          <w:sz w:val="32"/>
          <w:szCs w:val="32"/>
        </w:rPr>
        <w:t>该指标实际得分为</w:t>
      </w:r>
      <w:r>
        <w:rPr>
          <w:rFonts w:ascii="仿宋_GB2312" w:eastAsia="仿宋_GB2312" w:cs="仿宋_GB2312"/>
          <w:color w:val="auto"/>
          <w:sz w:val="32"/>
          <w:szCs w:val="32"/>
        </w:rPr>
        <w:t>0</w:t>
      </w:r>
      <w:r>
        <w:rPr>
          <w:rFonts w:hint="eastAsia" w:ascii="仿宋_GB2312" w:eastAsia="仿宋_GB2312" w:cs="仿宋_GB2312"/>
          <w:color w:val="auto"/>
          <w:sz w:val="32"/>
          <w:szCs w:val="32"/>
        </w:rPr>
        <w:t>分。</w:t>
      </w:r>
    </w:p>
    <w:p w14:paraId="6B0C1E90">
      <w:pPr>
        <w:spacing w:after="0" w:line="360" w:lineRule="auto"/>
        <w:ind w:firstLine="640" w:firstLineChars="200"/>
        <w:jc w:val="both"/>
        <w:textAlignment w:val="baseline"/>
        <w:rPr>
          <w:rFonts w:ascii="仿宋_GB2312" w:eastAsia="仿宋_GB2312"/>
          <w:color w:val="auto"/>
          <w:sz w:val="32"/>
          <w:szCs w:val="32"/>
        </w:rPr>
      </w:pPr>
      <w:r>
        <w:rPr>
          <w:rFonts w:hint="eastAsia" w:ascii="仿宋_GB2312" w:eastAsia="仿宋_GB2312" w:cs="仿宋_GB2312"/>
          <w:color w:val="auto"/>
          <w:sz w:val="32"/>
          <w:szCs w:val="32"/>
        </w:rPr>
        <w:t>（</w:t>
      </w:r>
      <w:r>
        <w:rPr>
          <w:rFonts w:ascii="仿宋_GB2312" w:eastAsia="仿宋_GB2312" w:cs="仿宋_GB2312"/>
          <w:color w:val="auto"/>
          <w:sz w:val="32"/>
          <w:szCs w:val="32"/>
        </w:rPr>
        <w:t>7</w:t>
      </w:r>
      <w:r>
        <w:rPr>
          <w:rFonts w:hint="eastAsia" w:ascii="仿宋_GB2312" w:eastAsia="仿宋_GB2312" w:cs="仿宋_GB2312"/>
          <w:color w:val="auto"/>
          <w:sz w:val="32"/>
          <w:szCs w:val="32"/>
        </w:rPr>
        <w:t>）资金使用合规性（</w:t>
      </w:r>
      <w:r>
        <w:rPr>
          <w:rFonts w:ascii="仿宋_GB2312" w:eastAsia="仿宋_GB2312" w:cs="仿宋_GB2312"/>
          <w:color w:val="auto"/>
          <w:sz w:val="32"/>
          <w:szCs w:val="32"/>
        </w:rPr>
        <w:t>3</w:t>
      </w:r>
      <w:r>
        <w:rPr>
          <w:rFonts w:hint="eastAsia" w:ascii="仿宋_GB2312" w:eastAsia="仿宋_GB2312" w:cs="仿宋_GB2312"/>
          <w:color w:val="auto"/>
          <w:sz w:val="32"/>
          <w:szCs w:val="32"/>
        </w:rPr>
        <w:t>分）</w:t>
      </w:r>
    </w:p>
    <w:p w14:paraId="579DC94D">
      <w:pPr>
        <w:spacing w:after="0" w:line="360" w:lineRule="auto"/>
        <w:ind w:firstLine="640" w:firstLineChars="200"/>
        <w:jc w:val="both"/>
        <w:textAlignment w:val="baseline"/>
        <w:rPr>
          <w:rFonts w:ascii="仿宋_GB2312" w:eastAsia="仿宋_GB2312"/>
          <w:color w:val="auto"/>
          <w:sz w:val="32"/>
          <w:szCs w:val="32"/>
        </w:rPr>
      </w:pPr>
      <w:r>
        <w:rPr>
          <w:rFonts w:hint="eastAsia" w:ascii="仿宋_GB2312" w:eastAsia="仿宋_GB2312" w:cs="仿宋_GB2312"/>
          <w:color w:val="auto"/>
          <w:sz w:val="32"/>
          <w:szCs w:val="32"/>
        </w:rPr>
        <w:t>该指标主要评价资金使用是否按照相关法律法规和资金管理办法规定的用途使用，财务管理是否符合相关会计准则和财务制度。</w:t>
      </w:r>
    </w:p>
    <w:p w14:paraId="36BA126A">
      <w:pPr>
        <w:spacing w:after="0" w:line="360" w:lineRule="auto"/>
        <w:ind w:firstLine="640" w:firstLineChars="200"/>
        <w:jc w:val="both"/>
        <w:textAlignment w:val="baseline"/>
        <w:rPr>
          <w:rFonts w:ascii="仿宋_GB2312" w:eastAsia="仿宋_GB2312"/>
          <w:color w:val="auto"/>
          <w:sz w:val="32"/>
          <w:szCs w:val="32"/>
        </w:rPr>
      </w:pPr>
      <w:r>
        <w:rPr>
          <w:rFonts w:hint="eastAsia" w:ascii="仿宋_GB2312" w:eastAsia="仿宋_GB2312" w:cs="仿宋_GB2312"/>
          <w:color w:val="auto"/>
          <w:sz w:val="32"/>
          <w:szCs w:val="32"/>
        </w:rPr>
        <w:t>根据区总工会</w:t>
      </w:r>
      <w:r>
        <w:rPr>
          <w:rFonts w:ascii="仿宋_GB2312" w:eastAsia="仿宋_GB2312" w:cs="仿宋_GB2312"/>
          <w:color w:val="auto"/>
          <w:sz w:val="32"/>
          <w:szCs w:val="32"/>
        </w:rPr>
        <w:t>2019</w:t>
      </w:r>
      <w:r>
        <w:rPr>
          <w:rFonts w:hint="eastAsia" w:ascii="仿宋_GB2312" w:eastAsia="仿宋_GB2312" w:cs="仿宋_GB2312"/>
          <w:color w:val="auto"/>
          <w:sz w:val="32"/>
          <w:szCs w:val="32"/>
        </w:rPr>
        <w:t>年明细账、会计凭证等相关资料，区总工会资金使用符合相关会计准则和财务制度，资金拨付有完备的审批程序和手续，资金使用符合部门预算批复的用途，未发现截留、挤占、挪用财政资金的情况。</w:t>
      </w:r>
    </w:p>
    <w:p w14:paraId="02BCF897">
      <w:pPr>
        <w:spacing w:after="0" w:line="360" w:lineRule="auto"/>
        <w:ind w:firstLine="640" w:firstLineChars="200"/>
        <w:jc w:val="both"/>
        <w:textAlignment w:val="baseline"/>
        <w:rPr>
          <w:rFonts w:ascii="仿宋_GB2312" w:eastAsia="仿宋_GB2312"/>
          <w:color w:val="auto"/>
          <w:sz w:val="32"/>
          <w:szCs w:val="32"/>
        </w:rPr>
      </w:pPr>
      <w:r>
        <w:rPr>
          <w:rFonts w:hint="eastAsia" w:ascii="仿宋_GB2312" w:eastAsia="仿宋_GB2312" w:cs="仿宋_GB2312"/>
          <w:color w:val="auto"/>
          <w:sz w:val="32"/>
          <w:szCs w:val="32"/>
        </w:rPr>
        <w:t>该指标实际得分</w:t>
      </w:r>
      <w:r>
        <w:rPr>
          <w:rFonts w:ascii="仿宋_GB2312" w:eastAsia="仿宋_GB2312" w:cs="仿宋_GB2312"/>
          <w:color w:val="auto"/>
          <w:sz w:val="32"/>
          <w:szCs w:val="32"/>
        </w:rPr>
        <w:t>3</w:t>
      </w:r>
      <w:r>
        <w:rPr>
          <w:rFonts w:hint="eastAsia" w:ascii="仿宋_GB2312" w:eastAsia="仿宋_GB2312" w:cs="仿宋_GB2312"/>
          <w:color w:val="auto"/>
          <w:sz w:val="32"/>
          <w:szCs w:val="32"/>
        </w:rPr>
        <w:t>分。</w:t>
      </w:r>
    </w:p>
    <w:p w14:paraId="40DC7D29">
      <w:pPr>
        <w:spacing w:after="0" w:line="360" w:lineRule="auto"/>
        <w:ind w:firstLine="640" w:firstLineChars="200"/>
        <w:jc w:val="both"/>
        <w:textAlignment w:val="baseline"/>
        <w:rPr>
          <w:rFonts w:ascii="仿宋_GB2312" w:eastAsia="仿宋_GB2312"/>
          <w:color w:val="auto"/>
          <w:sz w:val="32"/>
          <w:szCs w:val="32"/>
        </w:rPr>
      </w:pPr>
      <w:r>
        <w:rPr>
          <w:rFonts w:hint="eastAsia" w:ascii="仿宋_GB2312" w:eastAsia="仿宋_GB2312" w:cs="仿宋_GB2312"/>
          <w:color w:val="auto"/>
          <w:sz w:val="32"/>
          <w:szCs w:val="32"/>
        </w:rPr>
        <w:t>（</w:t>
      </w:r>
      <w:r>
        <w:rPr>
          <w:rFonts w:ascii="仿宋_GB2312" w:eastAsia="仿宋_GB2312" w:cs="仿宋_GB2312"/>
          <w:color w:val="auto"/>
          <w:sz w:val="32"/>
          <w:szCs w:val="32"/>
        </w:rPr>
        <w:t>8</w:t>
      </w:r>
      <w:r>
        <w:rPr>
          <w:rFonts w:hint="eastAsia" w:ascii="仿宋_GB2312" w:eastAsia="仿宋_GB2312" w:cs="仿宋_GB2312"/>
          <w:color w:val="auto"/>
          <w:sz w:val="32"/>
          <w:szCs w:val="32"/>
        </w:rPr>
        <w:t>）决算真实性（</w:t>
      </w:r>
      <w:r>
        <w:rPr>
          <w:rFonts w:ascii="仿宋_GB2312" w:eastAsia="仿宋_GB2312" w:cs="仿宋_GB2312"/>
          <w:color w:val="auto"/>
          <w:sz w:val="32"/>
          <w:szCs w:val="32"/>
        </w:rPr>
        <w:t>3</w:t>
      </w:r>
      <w:r>
        <w:rPr>
          <w:rFonts w:hint="eastAsia" w:ascii="仿宋_GB2312" w:eastAsia="仿宋_GB2312" w:cs="仿宋_GB2312"/>
          <w:color w:val="auto"/>
          <w:sz w:val="32"/>
          <w:szCs w:val="32"/>
        </w:rPr>
        <w:t>分）</w:t>
      </w:r>
    </w:p>
    <w:p w14:paraId="2F7AD105">
      <w:pPr>
        <w:spacing w:after="0" w:line="360" w:lineRule="auto"/>
        <w:ind w:firstLine="640" w:firstLineChars="200"/>
        <w:jc w:val="both"/>
        <w:textAlignment w:val="baseline"/>
        <w:rPr>
          <w:rFonts w:ascii="仿宋_GB2312" w:eastAsia="仿宋_GB2312"/>
          <w:color w:val="auto"/>
          <w:sz w:val="32"/>
          <w:szCs w:val="32"/>
        </w:rPr>
      </w:pPr>
      <w:r>
        <w:rPr>
          <w:rFonts w:hint="eastAsia" w:ascii="仿宋_GB2312" w:eastAsia="仿宋_GB2312" w:cs="仿宋_GB2312"/>
          <w:color w:val="auto"/>
          <w:sz w:val="32"/>
          <w:szCs w:val="32"/>
        </w:rPr>
        <w:t>该指标主要评价决算编制数据是否与账表一致，即决算报表数据与会计账簿数据是否一致。</w:t>
      </w:r>
    </w:p>
    <w:p w14:paraId="110C698E">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经核查区总工会</w:t>
      </w:r>
      <w:r>
        <w:rPr>
          <w:rFonts w:ascii="仿宋_GB2312" w:eastAsia="仿宋_GB2312" w:cs="仿宋_GB2312"/>
          <w:sz w:val="32"/>
          <w:szCs w:val="32"/>
        </w:rPr>
        <w:t>2019</w:t>
      </w:r>
      <w:r>
        <w:rPr>
          <w:rFonts w:hint="eastAsia" w:ascii="仿宋_GB2312" w:eastAsia="仿宋_GB2312" w:cs="仿宋_GB2312"/>
          <w:sz w:val="32"/>
          <w:szCs w:val="32"/>
        </w:rPr>
        <w:t>年决算文本、明细账及总账，区总工会决算文本数据均与明细账、总账一致。</w:t>
      </w:r>
    </w:p>
    <w:p w14:paraId="3A4768B8">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该指标实际得分</w:t>
      </w:r>
      <w:r>
        <w:rPr>
          <w:rFonts w:ascii="仿宋_GB2312" w:eastAsia="仿宋_GB2312" w:cs="仿宋_GB2312"/>
          <w:sz w:val="32"/>
          <w:szCs w:val="32"/>
        </w:rPr>
        <w:t>3</w:t>
      </w:r>
      <w:r>
        <w:rPr>
          <w:rFonts w:hint="eastAsia" w:ascii="仿宋_GB2312" w:eastAsia="仿宋_GB2312" w:cs="仿宋_GB2312"/>
          <w:sz w:val="32"/>
          <w:szCs w:val="32"/>
        </w:rPr>
        <w:t>分。</w:t>
      </w:r>
    </w:p>
    <w:p w14:paraId="244AA91C">
      <w:pPr>
        <w:spacing w:after="0" w:line="360" w:lineRule="auto"/>
        <w:ind w:firstLine="640" w:firstLineChars="200"/>
        <w:jc w:val="both"/>
        <w:textAlignment w:val="baseline"/>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预算管理（</w:t>
      </w:r>
      <w:r>
        <w:rPr>
          <w:rFonts w:ascii="仿宋_GB2312" w:eastAsia="仿宋_GB2312" w:cs="仿宋_GB2312"/>
          <w:sz w:val="32"/>
          <w:szCs w:val="32"/>
        </w:rPr>
        <w:t>16</w:t>
      </w:r>
      <w:r>
        <w:rPr>
          <w:rFonts w:hint="eastAsia" w:ascii="仿宋_GB2312" w:eastAsia="仿宋_GB2312" w:cs="仿宋_GB2312"/>
          <w:sz w:val="32"/>
          <w:szCs w:val="32"/>
        </w:rPr>
        <w:t>分）</w:t>
      </w:r>
    </w:p>
    <w:p w14:paraId="7511D193">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）管理制度健全性（</w:t>
      </w:r>
      <w:r>
        <w:rPr>
          <w:rFonts w:ascii="仿宋_GB2312" w:eastAsia="仿宋_GB2312" w:cs="仿宋_GB2312"/>
          <w:sz w:val="32"/>
          <w:szCs w:val="32"/>
        </w:rPr>
        <w:t>4</w:t>
      </w:r>
      <w:r>
        <w:rPr>
          <w:rFonts w:hint="eastAsia" w:ascii="仿宋_GB2312" w:eastAsia="仿宋_GB2312" w:cs="仿宋_GB2312"/>
          <w:sz w:val="32"/>
          <w:szCs w:val="32"/>
        </w:rPr>
        <w:t>分）</w:t>
      </w:r>
    </w:p>
    <w:p w14:paraId="49FDD038">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该指标主要评价部门是否制定资金管理办法、财务管理制度、会计核算制度等相关内部控制制度，制度执行是否得到有效执行。</w:t>
      </w:r>
    </w:p>
    <w:p w14:paraId="20D31F6C">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区总工会工作制度涵盖了财务制度、网络安全制度、公务用车制度等相关制度，经检查区总工会付款流程审批单、资产盘点表等资料，区总工会已按照相关管理制度的规定执行。</w:t>
      </w:r>
    </w:p>
    <w:p w14:paraId="04BBB44C">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该项指标实际得分</w:t>
      </w:r>
      <w:r>
        <w:rPr>
          <w:rFonts w:ascii="仿宋_GB2312" w:eastAsia="仿宋_GB2312" w:cs="仿宋_GB2312"/>
          <w:sz w:val="32"/>
          <w:szCs w:val="32"/>
        </w:rPr>
        <w:t>4</w:t>
      </w:r>
      <w:r>
        <w:rPr>
          <w:rFonts w:hint="eastAsia" w:ascii="仿宋_GB2312" w:eastAsia="仿宋_GB2312" w:cs="仿宋_GB2312"/>
          <w:sz w:val="32"/>
          <w:szCs w:val="32"/>
        </w:rPr>
        <w:t>分。</w:t>
      </w:r>
    </w:p>
    <w:p w14:paraId="600942E0">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）预决算信息公开性（</w:t>
      </w:r>
      <w:r>
        <w:rPr>
          <w:rFonts w:ascii="仿宋_GB2312" w:eastAsia="仿宋_GB2312" w:cs="仿宋_GB2312"/>
          <w:sz w:val="32"/>
          <w:szCs w:val="32"/>
        </w:rPr>
        <w:t>4</w:t>
      </w:r>
      <w:r>
        <w:rPr>
          <w:rFonts w:hint="eastAsia" w:ascii="仿宋_GB2312" w:eastAsia="仿宋_GB2312" w:cs="仿宋_GB2312"/>
          <w:sz w:val="32"/>
          <w:szCs w:val="32"/>
        </w:rPr>
        <w:t>分）</w:t>
      </w:r>
    </w:p>
    <w:p w14:paraId="32E36A03">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该指标主要评价部门是否按照政府信息公开的有关要求在相关网站公开部门预算、预算执行情况、年度工作任务等相关信息。</w:t>
      </w:r>
    </w:p>
    <w:p w14:paraId="607FEC37">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区总工会</w:t>
      </w:r>
      <w:r>
        <w:rPr>
          <w:rFonts w:ascii="仿宋_GB2312" w:eastAsia="仿宋_GB2312" w:cs="仿宋_GB2312"/>
          <w:sz w:val="32"/>
          <w:szCs w:val="32"/>
        </w:rPr>
        <w:t>2019</w:t>
      </w:r>
      <w:r>
        <w:rPr>
          <w:rFonts w:hint="eastAsia" w:ascii="仿宋_GB2312" w:eastAsia="仿宋_GB2312" w:cs="仿宋_GB2312"/>
          <w:sz w:val="32"/>
          <w:szCs w:val="32"/>
        </w:rPr>
        <w:t>年按政府信息公开的有关要求在保定市徐水区人民政府网公开了</w:t>
      </w:r>
      <w:r>
        <w:rPr>
          <w:rFonts w:ascii="仿宋_GB2312" w:eastAsia="仿宋_GB2312" w:cs="仿宋_GB2312"/>
          <w:sz w:val="32"/>
          <w:szCs w:val="32"/>
        </w:rPr>
        <w:t>2019</w:t>
      </w:r>
      <w:r>
        <w:rPr>
          <w:rFonts w:hint="eastAsia" w:ascii="仿宋_GB2312" w:eastAsia="仿宋_GB2312" w:cs="仿宋_GB2312"/>
          <w:sz w:val="32"/>
          <w:szCs w:val="32"/>
        </w:rPr>
        <w:t>年的预决算情况、部门责任清单、行政监督清单等相关信息。</w:t>
      </w:r>
    </w:p>
    <w:p w14:paraId="6C1C4285">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该指标实际得分</w:t>
      </w:r>
      <w:r>
        <w:rPr>
          <w:rFonts w:ascii="仿宋_GB2312" w:eastAsia="仿宋_GB2312" w:cs="仿宋_GB2312"/>
          <w:sz w:val="32"/>
          <w:szCs w:val="32"/>
        </w:rPr>
        <w:t>4</w:t>
      </w:r>
      <w:r>
        <w:rPr>
          <w:rFonts w:hint="eastAsia" w:ascii="仿宋_GB2312" w:eastAsia="仿宋_GB2312" w:cs="仿宋_GB2312"/>
          <w:sz w:val="32"/>
          <w:szCs w:val="32"/>
        </w:rPr>
        <w:t>分。</w:t>
      </w:r>
    </w:p>
    <w:p w14:paraId="7DB3018B">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3</w:t>
      </w:r>
      <w:r>
        <w:rPr>
          <w:rFonts w:hint="eastAsia" w:ascii="仿宋_GB2312" w:eastAsia="仿宋_GB2312" w:cs="仿宋_GB2312"/>
          <w:sz w:val="32"/>
          <w:szCs w:val="32"/>
        </w:rPr>
        <w:t>）基础信息完善性（</w:t>
      </w:r>
      <w:r>
        <w:rPr>
          <w:rFonts w:ascii="仿宋_GB2312" w:eastAsia="仿宋_GB2312" w:cs="仿宋_GB2312"/>
          <w:sz w:val="32"/>
          <w:szCs w:val="32"/>
        </w:rPr>
        <w:t>4</w:t>
      </w:r>
      <w:r>
        <w:rPr>
          <w:rFonts w:hint="eastAsia" w:ascii="仿宋_GB2312" w:eastAsia="仿宋_GB2312" w:cs="仿宋_GB2312"/>
          <w:sz w:val="32"/>
          <w:szCs w:val="32"/>
        </w:rPr>
        <w:t>分）</w:t>
      </w:r>
    </w:p>
    <w:p w14:paraId="3FAA1A93">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该指标主要评价基础数据信息和财务信息资料是否真实、完整。</w:t>
      </w:r>
    </w:p>
    <w:p w14:paraId="7BD4E4F5">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根据区总工会提供的会计账簿、凭证及其他相关资料，区总工会会计信息资料真实完整，</w:t>
      </w:r>
    </w:p>
    <w:p w14:paraId="02E2EA47">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该指标实际得分</w:t>
      </w:r>
      <w:r>
        <w:rPr>
          <w:rFonts w:ascii="仿宋_GB2312" w:eastAsia="仿宋_GB2312" w:cs="仿宋_GB2312"/>
          <w:sz w:val="32"/>
          <w:szCs w:val="32"/>
        </w:rPr>
        <w:t>4</w:t>
      </w:r>
      <w:r>
        <w:rPr>
          <w:rFonts w:hint="eastAsia" w:ascii="仿宋_GB2312" w:eastAsia="仿宋_GB2312" w:cs="仿宋_GB2312"/>
          <w:sz w:val="32"/>
          <w:szCs w:val="32"/>
        </w:rPr>
        <w:t>分。</w:t>
      </w:r>
    </w:p>
    <w:p w14:paraId="019AF7B8">
      <w:pPr>
        <w:spacing w:after="0" w:line="360" w:lineRule="auto"/>
        <w:ind w:firstLine="640" w:firstLineChars="200"/>
        <w:jc w:val="both"/>
        <w:textAlignment w:val="baseline"/>
        <w:rPr>
          <w:rFonts w:ascii="仿宋_GB2312" w:eastAsia="仿宋_GB2312"/>
          <w:color w:val="auto"/>
          <w:sz w:val="32"/>
          <w:szCs w:val="32"/>
        </w:rPr>
      </w:pPr>
      <w:r>
        <w:rPr>
          <w:rFonts w:hint="eastAsia" w:ascii="仿宋_GB2312" w:eastAsia="仿宋_GB2312" w:cs="仿宋_GB2312"/>
          <w:color w:val="auto"/>
          <w:sz w:val="32"/>
          <w:szCs w:val="32"/>
        </w:rPr>
        <w:t>（</w:t>
      </w:r>
      <w:r>
        <w:rPr>
          <w:rFonts w:ascii="仿宋_GB2312" w:eastAsia="仿宋_GB2312" w:cs="仿宋_GB2312"/>
          <w:color w:val="auto"/>
          <w:sz w:val="32"/>
          <w:szCs w:val="32"/>
        </w:rPr>
        <w:t>4</w:t>
      </w:r>
      <w:r>
        <w:rPr>
          <w:rFonts w:hint="eastAsia" w:ascii="仿宋_GB2312" w:eastAsia="仿宋_GB2312" w:cs="仿宋_GB2312"/>
          <w:color w:val="auto"/>
          <w:sz w:val="32"/>
          <w:szCs w:val="32"/>
        </w:rPr>
        <w:t>）资产管理规范性（</w:t>
      </w:r>
      <w:r>
        <w:rPr>
          <w:rFonts w:ascii="仿宋_GB2312" w:eastAsia="仿宋_GB2312" w:cs="仿宋_GB2312"/>
          <w:color w:val="auto"/>
          <w:sz w:val="32"/>
          <w:szCs w:val="32"/>
        </w:rPr>
        <w:t>4</w:t>
      </w:r>
      <w:r>
        <w:rPr>
          <w:rFonts w:hint="eastAsia" w:ascii="仿宋_GB2312" w:eastAsia="仿宋_GB2312" w:cs="仿宋_GB2312"/>
          <w:color w:val="auto"/>
          <w:sz w:val="32"/>
          <w:szCs w:val="32"/>
        </w:rPr>
        <w:t>分）</w:t>
      </w:r>
    </w:p>
    <w:p w14:paraId="01478AFC">
      <w:pPr>
        <w:spacing w:after="0" w:line="360" w:lineRule="auto"/>
        <w:ind w:firstLine="640" w:firstLineChars="200"/>
        <w:jc w:val="both"/>
        <w:textAlignment w:val="baseline"/>
        <w:rPr>
          <w:rFonts w:ascii="仿宋_GB2312" w:eastAsia="仿宋_GB2312"/>
          <w:color w:val="auto"/>
          <w:sz w:val="32"/>
          <w:szCs w:val="32"/>
        </w:rPr>
      </w:pPr>
      <w:r>
        <w:rPr>
          <w:rFonts w:hint="eastAsia" w:ascii="仿宋_GB2312" w:eastAsia="仿宋_GB2312" w:cs="仿宋_GB2312"/>
          <w:color w:val="auto"/>
          <w:sz w:val="32"/>
          <w:szCs w:val="32"/>
        </w:rPr>
        <w:t>根据《工会法》有关规定，工会资产不归当地政府。</w:t>
      </w:r>
    </w:p>
    <w:p w14:paraId="55DB2120">
      <w:pPr>
        <w:spacing w:after="0" w:line="360" w:lineRule="auto"/>
        <w:ind w:firstLine="640" w:firstLineChars="200"/>
        <w:jc w:val="both"/>
        <w:textAlignment w:val="baseline"/>
        <w:rPr>
          <w:rFonts w:ascii="仿宋_GB2312" w:eastAsia="仿宋_GB2312"/>
          <w:color w:val="auto"/>
          <w:sz w:val="32"/>
          <w:szCs w:val="32"/>
        </w:rPr>
      </w:pPr>
      <w:r>
        <w:rPr>
          <w:rFonts w:hint="eastAsia" w:ascii="仿宋_GB2312" w:eastAsia="仿宋_GB2312" w:cs="仿宋_GB2312"/>
          <w:color w:val="auto"/>
          <w:sz w:val="32"/>
          <w:szCs w:val="32"/>
        </w:rPr>
        <w:t>该项指标实际得分</w:t>
      </w:r>
      <w:r>
        <w:rPr>
          <w:rFonts w:ascii="仿宋_GB2312" w:eastAsia="仿宋_GB2312" w:cs="仿宋_GB2312"/>
          <w:color w:val="auto"/>
          <w:sz w:val="32"/>
          <w:szCs w:val="32"/>
        </w:rPr>
        <w:t>4</w:t>
      </w:r>
      <w:r>
        <w:rPr>
          <w:rFonts w:hint="eastAsia" w:ascii="仿宋_GB2312" w:eastAsia="仿宋_GB2312" w:cs="仿宋_GB2312"/>
          <w:color w:val="auto"/>
          <w:sz w:val="32"/>
          <w:szCs w:val="32"/>
        </w:rPr>
        <w:t>分。</w:t>
      </w:r>
    </w:p>
    <w:p w14:paraId="3AC75114">
      <w:pPr>
        <w:spacing w:after="0" w:line="360" w:lineRule="auto"/>
        <w:ind w:firstLine="640" w:firstLineChars="200"/>
        <w:jc w:val="both"/>
        <w:textAlignment w:val="baseline"/>
        <w:rPr>
          <w:rFonts w:ascii="仿宋_GB2312" w:eastAsia="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绩效评价（</w:t>
      </w:r>
      <w:r>
        <w:rPr>
          <w:rFonts w:ascii="仿宋_GB2312" w:eastAsia="仿宋_GB2312" w:cs="仿宋_GB2312"/>
          <w:sz w:val="32"/>
          <w:szCs w:val="32"/>
        </w:rPr>
        <w:t>8</w:t>
      </w:r>
      <w:r>
        <w:rPr>
          <w:rFonts w:hint="eastAsia" w:ascii="仿宋_GB2312" w:eastAsia="仿宋_GB2312" w:cs="仿宋_GB2312"/>
          <w:sz w:val="32"/>
          <w:szCs w:val="32"/>
        </w:rPr>
        <w:t>分）</w:t>
      </w:r>
    </w:p>
    <w:p w14:paraId="42E2463B">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）绩效自评覆盖率（</w:t>
      </w:r>
      <w:r>
        <w:rPr>
          <w:rFonts w:ascii="仿宋_GB2312" w:eastAsia="仿宋_GB2312" w:cs="仿宋_GB2312"/>
          <w:sz w:val="32"/>
          <w:szCs w:val="32"/>
        </w:rPr>
        <w:t>4</w:t>
      </w:r>
      <w:r>
        <w:rPr>
          <w:rFonts w:hint="eastAsia" w:ascii="仿宋_GB2312" w:eastAsia="仿宋_GB2312" w:cs="仿宋_GB2312"/>
          <w:sz w:val="32"/>
          <w:szCs w:val="32"/>
        </w:rPr>
        <w:t>分）</w:t>
      </w:r>
    </w:p>
    <w:p w14:paraId="1DB8EA83">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该指标主要评价部门是否按相关要求实施绩效自评，通过绩效自评覆盖率来衡量。</w:t>
      </w:r>
    </w:p>
    <w:p w14:paraId="3423C81C">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绩效自评覆盖率</w:t>
      </w:r>
      <w:r>
        <w:rPr>
          <w:rFonts w:ascii="仿宋_GB2312" w:eastAsia="仿宋_GB2312" w:cs="仿宋_GB2312"/>
          <w:sz w:val="32"/>
          <w:szCs w:val="32"/>
        </w:rPr>
        <w:t>=</w:t>
      </w:r>
      <w:r>
        <w:rPr>
          <w:rFonts w:hint="eastAsia" w:ascii="仿宋_GB2312" w:eastAsia="仿宋_GB2312" w:cs="仿宋_GB2312"/>
          <w:sz w:val="32"/>
          <w:szCs w:val="32"/>
        </w:rPr>
        <w:t>（报送相关自评材料的数量</w:t>
      </w:r>
      <w:r>
        <w:rPr>
          <w:rFonts w:ascii="仿宋_GB2312" w:eastAsia="仿宋_GB2312" w:cs="仿宋_GB2312"/>
          <w:sz w:val="32"/>
          <w:szCs w:val="32"/>
        </w:rPr>
        <w:t>/</w:t>
      </w:r>
      <w:r>
        <w:rPr>
          <w:rFonts w:hint="eastAsia" w:ascii="仿宋_GB2312" w:eastAsia="仿宋_GB2312" w:cs="仿宋_GB2312"/>
          <w:sz w:val="32"/>
          <w:szCs w:val="32"/>
        </w:rPr>
        <w:t>应实施项目绩效自评数量）</w:t>
      </w:r>
      <w:r>
        <w:rPr>
          <w:rFonts w:ascii="仿宋_GB2312" w:eastAsia="仿宋_GB2312" w:cs="仿宋_GB2312"/>
          <w:sz w:val="32"/>
          <w:szCs w:val="32"/>
        </w:rPr>
        <w:t>*100%</w:t>
      </w:r>
      <w:r>
        <w:rPr>
          <w:rFonts w:hint="eastAsia" w:ascii="仿宋_GB2312" w:eastAsia="仿宋_GB2312" w:cs="仿宋_GB2312"/>
          <w:sz w:val="32"/>
          <w:szCs w:val="32"/>
        </w:rPr>
        <w:t>。</w:t>
      </w:r>
    </w:p>
    <w:p w14:paraId="05D25B20">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根据徐水区财政局《关于开展</w:t>
      </w:r>
      <w:r>
        <w:rPr>
          <w:rFonts w:ascii="仿宋_GB2312" w:eastAsia="仿宋_GB2312" w:cs="仿宋_GB2312"/>
          <w:sz w:val="32"/>
          <w:szCs w:val="32"/>
        </w:rPr>
        <w:t>2019</w:t>
      </w:r>
      <w:r>
        <w:rPr>
          <w:rFonts w:hint="eastAsia" w:ascii="仿宋_GB2312" w:eastAsia="仿宋_GB2312" w:cs="仿宋_GB2312"/>
          <w:sz w:val="32"/>
          <w:szCs w:val="32"/>
        </w:rPr>
        <w:t>年度财政专项资金部门绩效自评价工作的通知》及徐水区区总工会</w:t>
      </w:r>
      <w:r>
        <w:rPr>
          <w:rFonts w:ascii="仿宋_GB2312" w:eastAsia="仿宋_GB2312" w:cs="仿宋_GB2312"/>
          <w:sz w:val="32"/>
          <w:szCs w:val="32"/>
        </w:rPr>
        <w:t>2019</w:t>
      </w:r>
      <w:r>
        <w:rPr>
          <w:rFonts w:hint="eastAsia" w:ascii="仿宋_GB2312" w:eastAsia="仿宋_GB2312" w:cs="仿宋_GB2312"/>
          <w:sz w:val="32"/>
          <w:szCs w:val="32"/>
        </w:rPr>
        <w:t>年一般项目部门绩效自评表，区总工会</w:t>
      </w:r>
      <w:r>
        <w:rPr>
          <w:rFonts w:ascii="仿宋_GB2312" w:eastAsia="仿宋_GB2312" w:cs="仿宋_GB2312"/>
          <w:sz w:val="32"/>
          <w:szCs w:val="32"/>
        </w:rPr>
        <w:t>2019</w:t>
      </w:r>
      <w:r>
        <w:rPr>
          <w:rFonts w:hint="eastAsia" w:ascii="仿宋_GB2312" w:eastAsia="仿宋_GB2312" w:cs="仿宋_GB2312"/>
          <w:sz w:val="32"/>
          <w:szCs w:val="32"/>
        </w:rPr>
        <w:t>年开展绩效自评的项目数为</w:t>
      </w:r>
      <w:r>
        <w:rPr>
          <w:rFonts w:ascii="仿宋_GB2312" w:eastAsia="仿宋_GB2312" w:cs="仿宋_GB2312"/>
          <w:sz w:val="32"/>
          <w:szCs w:val="32"/>
        </w:rPr>
        <w:t>1</w:t>
      </w:r>
      <w:r>
        <w:rPr>
          <w:rFonts w:hint="eastAsia" w:ascii="仿宋_GB2312" w:eastAsia="仿宋_GB2312" w:cs="仿宋_GB2312"/>
          <w:sz w:val="32"/>
          <w:szCs w:val="32"/>
        </w:rPr>
        <w:t>个，年初预算文本项目数</w:t>
      </w:r>
      <w:r>
        <w:rPr>
          <w:rFonts w:ascii="仿宋_GB2312" w:eastAsia="仿宋_GB2312" w:cs="仿宋_GB2312"/>
          <w:sz w:val="32"/>
          <w:szCs w:val="32"/>
        </w:rPr>
        <w:t>1</w:t>
      </w:r>
      <w:r>
        <w:rPr>
          <w:rFonts w:hint="eastAsia" w:ascii="仿宋_GB2312" w:eastAsia="仿宋_GB2312" w:cs="仿宋_GB2312"/>
          <w:sz w:val="32"/>
          <w:szCs w:val="32"/>
        </w:rPr>
        <w:t>个，要求自评项目个数</w:t>
      </w:r>
      <w:r>
        <w:rPr>
          <w:rFonts w:ascii="仿宋_GB2312" w:eastAsia="仿宋_GB2312" w:cs="仿宋_GB2312"/>
          <w:sz w:val="32"/>
          <w:szCs w:val="32"/>
        </w:rPr>
        <w:t>1</w:t>
      </w:r>
      <w:r>
        <w:rPr>
          <w:rFonts w:hint="eastAsia" w:ascii="仿宋_GB2312" w:eastAsia="仿宋_GB2312" w:cs="仿宋_GB2312"/>
          <w:sz w:val="32"/>
          <w:szCs w:val="32"/>
        </w:rPr>
        <w:t>个，自评覆盖率为</w:t>
      </w:r>
      <w:r>
        <w:rPr>
          <w:rFonts w:ascii="仿宋_GB2312" w:eastAsia="仿宋_GB2312" w:cs="仿宋_GB2312"/>
          <w:sz w:val="32"/>
          <w:szCs w:val="32"/>
        </w:rPr>
        <w:t xml:space="preserve"> 100%</w:t>
      </w:r>
      <w:r>
        <w:rPr>
          <w:rFonts w:hint="eastAsia" w:ascii="仿宋_GB2312" w:eastAsia="仿宋_GB2312" w:cs="仿宋_GB2312"/>
          <w:sz w:val="32"/>
          <w:szCs w:val="32"/>
        </w:rPr>
        <w:t>。</w:t>
      </w:r>
    </w:p>
    <w:p w14:paraId="512888CB">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该指标实际得分</w:t>
      </w:r>
      <w:r>
        <w:rPr>
          <w:rFonts w:ascii="仿宋_GB2312" w:eastAsia="仿宋_GB2312" w:cs="仿宋_GB2312"/>
          <w:sz w:val="32"/>
          <w:szCs w:val="32"/>
        </w:rPr>
        <w:t>4</w:t>
      </w:r>
      <w:r>
        <w:rPr>
          <w:rFonts w:hint="eastAsia" w:ascii="仿宋_GB2312" w:eastAsia="仿宋_GB2312" w:cs="仿宋_GB2312"/>
          <w:sz w:val="32"/>
          <w:szCs w:val="32"/>
        </w:rPr>
        <w:t>分。</w:t>
      </w:r>
    </w:p>
    <w:p w14:paraId="78533233">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）绩效评价优等率（</w:t>
      </w:r>
      <w:r>
        <w:rPr>
          <w:rFonts w:ascii="仿宋_GB2312" w:eastAsia="仿宋_GB2312" w:cs="仿宋_GB2312"/>
          <w:sz w:val="32"/>
          <w:szCs w:val="32"/>
        </w:rPr>
        <w:t>4</w:t>
      </w:r>
      <w:r>
        <w:rPr>
          <w:rFonts w:hint="eastAsia" w:ascii="仿宋_GB2312" w:eastAsia="仿宋_GB2312" w:cs="仿宋_GB2312"/>
          <w:sz w:val="32"/>
          <w:szCs w:val="32"/>
        </w:rPr>
        <w:t>分）</w:t>
      </w:r>
    </w:p>
    <w:p w14:paraId="6F784965">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该指标主要评价部门开展的绩效评价项目的完成质量，通过绩效评价优等率来衡量。</w:t>
      </w:r>
    </w:p>
    <w:p w14:paraId="53A2D022">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绩效评价优等率</w:t>
      </w:r>
      <w:r>
        <w:rPr>
          <w:rFonts w:ascii="仿宋_GB2312" w:eastAsia="仿宋_GB2312" w:cs="仿宋_GB2312"/>
          <w:sz w:val="32"/>
          <w:szCs w:val="32"/>
        </w:rPr>
        <w:t>=</w:t>
      </w:r>
      <w:r>
        <w:rPr>
          <w:rFonts w:hint="eastAsia" w:ascii="仿宋_GB2312" w:eastAsia="仿宋_GB2312" w:cs="仿宋_GB2312"/>
          <w:sz w:val="32"/>
          <w:szCs w:val="32"/>
        </w:rPr>
        <w:t>（结果达到优等的数量</w:t>
      </w:r>
      <w:r>
        <w:rPr>
          <w:rFonts w:ascii="仿宋_GB2312" w:eastAsia="仿宋_GB2312" w:cs="仿宋_GB2312"/>
          <w:sz w:val="32"/>
          <w:szCs w:val="32"/>
        </w:rPr>
        <w:t>/</w:t>
      </w:r>
      <w:r>
        <w:rPr>
          <w:rFonts w:hint="eastAsia" w:ascii="仿宋_GB2312" w:eastAsia="仿宋_GB2312" w:cs="仿宋_GB2312"/>
          <w:sz w:val="32"/>
          <w:szCs w:val="32"/>
        </w:rPr>
        <w:t>参评数量）</w:t>
      </w:r>
      <w:r>
        <w:rPr>
          <w:rFonts w:ascii="仿宋_GB2312" w:eastAsia="仿宋_GB2312" w:cs="仿宋_GB2312"/>
          <w:sz w:val="32"/>
          <w:szCs w:val="32"/>
        </w:rPr>
        <w:t>*100%</w:t>
      </w:r>
      <w:r>
        <w:rPr>
          <w:rFonts w:hint="eastAsia" w:ascii="仿宋_GB2312" w:eastAsia="仿宋_GB2312" w:cs="仿宋_GB2312"/>
          <w:sz w:val="32"/>
          <w:szCs w:val="32"/>
        </w:rPr>
        <w:t>。</w:t>
      </w:r>
    </w:p>
    <w:p w14:paraId="128CF28A">
      <w:pPr>
        <w:spacing w:after="0" w:line="360" w:lineRule="auto"/>
        <w:ind w:firstLine="640" w:firstLineChars="200"/>
        <w:jc w:val="both"/>
        <w:textAlignment w:val="baseline"/>
        <w:rPr>
          <w:rFonts w:ascii="仿宋_GB2312" w:eastAsia="仿宋_GB2312"/>
          <w:color w:val="auto"/>
          <w:sz w:val="32"/>
          <w:szCs w:val="32"/>
        </w:rPr>
      </w:pPr>
      <w:r>
        <w:rPr>
          <w:rFonts w:hint="eastAsia" w:ascii="仿宋_GB2312" w:eastAsia="仿宋_GB2312" w:cs="仿宋_GB2312"/>
          <w:color w:val="auto"/>
          <w:sz w:val="32"/>
          <w:szCs w:val="32"/>
        </w:rPr>
        <w:t>区位</w:t>
      </w:r>
      <w:r>
        <w:rPr>
          <w:rFonts w:ascii="仿宋_GB2312" w:eastAsia="仿宋_GB2312" w:cs="仿宋_GB2312"/>
          <w:color w:val="auto"/>
          <w:sz w:val="32"/>
          <w:szCs w:val="32"/>
        </w:rPr>
        <w:t>2019</w:t>
      </w:r>
      <w:r>
        <w:rPr>
          <w:rFonts w:hint="eastAsia" w:ascii="仿宋_GB2312" w:eastAsia="仿宋_GB2312" w:cs="仿宋_GB2312"/>
          <w:color w:val="auto"/>
          <w:sz w:val="32"/>
          <w:szCs w:val="32"/>
        </w:rPr>
        <w:t>年参评数量</w:t>
      </w:r>
      <w:r>
        <w:rPr>
          <w:rFonts w:ascii="仿宋_GB2312" w:eastAsia="仿宋_GB2312" w:cs="仿宋_GB2312"/>
          <w:color w:val="auto"/>
          <w:sz w:val="32"/>
          <w:szCs w:val="32"/>
        </w:rPr>
        <w:t>1</w:t>
      </w:r>
      <w:r>
        <w:rPr>
          <w:rFonts w:hint="eastAsia" w:ascii="仿宋_GB2312" w:eastAsia="仿宋_GB2312" w:cs="仿宋_GB2312"/>
          <w:color w:val="auto"/>
          <w:sz w:val="32"/>
          <w:szCs w:val="32"/>
        </w:rPr>
        <w:t>个，绩效评价结果达到优等的数量</w:t>
      </w:r>
      <w:r>
        <w:rPr>
          <w:rFonts w:ascii="仿宋_GB2312" w:eastAsia="仿宋_GB2312" w:cs="仿宋_GB2312"/>
          <w:color w:val="auto"/>
          <w:sz w:val="32"/>
          <w:szCs w:val="32"/>
        </w:rPr>
        <w:t>1</w:t>
      </w:r>
      <w:r>
        <w:rPr>
          <w:rFonts w:hint="eastAsia" w:ascii="仿宋_GB2312" w:eastAsia="仿宋_GB2312" w:cs="仿宋_GB2312"/>
          <w:color w:val="auto"/>
          <w:sz w:val="32"/>
          <w:szCs w:val="32"/>
        </w:rPr>
        <w:t>个，绩效评价优等率为</w:t>
      </w:r>
      <w:r>
        <w:rPr>
          <w:rFonts w:ascii="仿宋_GB2312" w:eastAsia="仿宋_GB2312" w:cs="仿宋_GB2312"/>
          <w:color w:val="auto"/>
          <w:sz w:val="32"/>
          <w:szCs w:val="32"/>
        </w:rPr>
        <w:t>100%</w:t>
      </w:r>
      <w:r>
        <w:rPr>
          <w:rFonts w:hint="eastAsia" w:ascii="仿宋_GB2312" w:eastAsia="仿宋_GB2312" w:cs="仿宋_GB2312"/>
          <w:color w:val="auto"/>
          <w:sz w:val="32"/>
          <w:szCs w:val="32"/>
        </w:rPr>
        <w:t>。</w:t>
      </w:r>
    </w:p>
    <w:p w14:paraId="51525D42">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该指标实际得分</w:t>
      </w:r>
      <w:r>
        <w:rPr>
          <w:rFonts w:ascii="仿宋_GB2312" w:eastAsia="仿宋_GB2312" w:cs="仿宋_GB2312"/>
          <w:sz w:val="32"/>
          <w:szCs w:val="32"/>
        </w:rPr>
        <w:t>4</w:t>
      </w:r>
      <w:r>
        <w:rPr>
          <w:rFonts w:hint="eastAsia" w:ascii="仿宋_GB2312" w:eastAsia="仿宋_GB2312" w:cs="仿宋_GB2312"/>
          <w:sz w:val="32"/>
          <w:szCs w:val="32"/>
        </w:rPr>
        <w:t>分。</w:t>
      </w:r>
      <w:bookmarkEnd w:id="61"/>
      <w:bookmarkEnd w:id="62"/>
    </w:p>
    <w:p w14:paraId="1A2652B5">
      <w:pPr>
        <w:pStyle w:val="4"/>
        <w:spacing w:before="0" w:after="0"/>
        <w:ind w:firstLine="643" w:firstLineChars="200"/>
        <w:jc w:val="both"/>
        <w:rPr>
          <w:rFonts w:ascii="楷体" w:hAnsi="楷体" w:eastAsia="楷体" w:cs="Tahoma"/>
          <w:sz w:val="32"/>
          <w:szCs w:val="32"/>
        </w:rPr>
      </w:pPr>
      <w:bookmarkStart w:id="63" w:name="_Toc12330"/>
      <w:r>
        <w:rPr>
          <w:rFonts w:hint="eastAsia" w:ascii="楷体" w:hAnsi="楷体" w:eastAsia="楷体" w:cs="楷体"/>
          <w:sz w:val="32"/>
          <w:szCs w:val="32"/>
        </w:rPr>
        <w:t>（三）产出（</w:t>
      </w:r>
      <w:r>
        <w:rPr>
          <w:rFonts w:ascii="楷体" w:hAnsi="楷体" w:eastAsia="楷体" w:cs="楷体"/>
          <w:sz w:val="32"/>
          <w:szCs w:val="32"/>
        </w:rPr>
        <w:t>25</w:t>
      </w:r>
      <w:r>
        <w:rPr>
          <w:rFonts w:hint="eastAsia" w:ascii="楷体" w:hAnsi="楷体" w:eastAsia="楷体" w:cs="楷体"/>
          <w:sz w:val="32"/>
          <w:szCs w:val="32"/>
        </w:rPr>
        <w:t>分）</w:t>
      </w:r>
      <w:bookmarkEnd w:id="63"/>
    </w:p>
    <w:p w14:paraId="63630273">
      <w:pPr>
        <w:spacing w:after="0" w:line="360" w:lineRule="auto"/>
        <w:ind w:firstLine="640" w:firstLineChars="200"/>
        <w:jc w:val="both"/>
        <w:textAlignment w:val="baseline"/>
        <w:rPr>
          <w:rFonts w:ascii="仿宋_GB2312" w:eastAsia="仿宋_GB2312"/>
          <w:color w:val="auto"/>
          <w:sz w:val="32"/>
          <w:szCs w:val="32"/>
        </w:rPr>
      </w:pPr>
      <w:r>
        <w:rPr>
          <w:rFonts w:hint="eastAsia" w:ascii="仿宋_GB2312" w:eastAsia="仿宋_GB2312" w:cs="仿宋_GB2312"/>
          <w:color w:val="auto"/>
          <w:sz w:val="32"/>
          <w:szCs w:val="32"/>
        </w:rPr>
        <w:t>该一级指标包含责任履行一个二级指标，主要反映结转结余率，项目资金使用率</w:t>
      </w:r>
      <w:r>
        <w:rPr>
          <w:rFonts w:ascii="仿宋_GB2312" w:eastAsia="仿宋_GB2312" w:cs="仿宋_GB2312"/>
          <w:color w:val="auto"/>
          <w:sz w:val="32"/>
          <w:szCs w:val="32"/>
        </w:rPr>
        <w:t>.</w:t>
      </w:r>
      <w:r>
        <w:rPr>
          <w:rFonts w:hint="eastAsia" w:ascii="仿宋_GB2312" w:eastAsia="仿宋_GB2312" w:cs="仿宋_GB2312"/>
          <w:color w:val="auto"/>
          <w:sz w:val="32"/>
          <w:szCs w:val="32"/>
        </w:rPr>
        <w:t>社区矫正人数，社区服刑人员再次犯罪率，法律援助案件办结率。</w:t>
      </w:r>
    </w:p>
    <w:p w14:paraId="03AE2953">
      <w:pPr>
        <w:spacing w:after="0" w:line="360" w:lineRule="auto"/>
        <w:jc w:val="center"/>
        <w:textAlignment w:val="baseline"/>
        <w:rPr>
          <w:rFonts w:ascii="宋体" w:hAnsi="宋体" w:eastAsia="宋体"/>
          <w:b/>
          <w:bCs/>
          <w:color w:val="auto"/>
          <w:sz w:val="32"/>
          <w:szCs w:val="32"/>
        </w:rPr>
      </w:pPr>
      <w:r>
        <w:rPr>
          <w:rFonts w:hint="eastAsia" w:ascii="宋体" w:hAnsi="宋体" w:eastAsia="宋体" w:cs="宋体"/>
          <w:b/>
          <w:bCs/>
          <w:color w:val="auto"/>
          <w:sz w:val="32"/>
          <w:szCs w:val="32"/>
        </w:rPr>
        <w:t>表</w:t>
      </w:r>
      <w:r>
        <w:rPr>
          <w:rFonts w:ascii="宋体" w:hAnsi="宋体" w:eastAsia="宋体" w:cs="宋体"/>
          <w:b/>
          <w:bCs/>
          <w:color w:val="auto"/>
          <w:sz w:val="32"/>
          <w:szCs w:val="32"/>
        </w:rPr>
        <w:t xml:space="preserve">4  </w:t>
      </w:r>
      <w:r>
        <w:rPr>
          <w:rFonts w:hint="eastAsia" w:ascii="宋体" w:hAnsi="宋体" w:eastAsia="宋体" w:cs="宋体"/>
          <w:b/>
          <w:bCs/>
          <w:color w:val="auto"/>
          <w:sz w:val="32"/>
          <w:szCs w:val="32"/>
        </w:rPr>
        <w:t>产出指标及得分情况表</w:t>
      </w:r>
    </w:p>
    <w:tbl>
      <w:tblPr>
        <w:tblStyle w:val="23"/>
        <w:tblW w:w="0" w:type="auto"/>
        <w:jc w:val="center"/>
        <w:tblLayout w:type="fixed"/>
        <w:tblCellMar>
          <w:top w:w="15" w:type="dxa"/>
          <w:left w:w="15" w:type="dxa"/>
          <w:bottom w:w="15" w:type="dxa"/>
          <w:right w:w="15" w:type="dxa"/>
        </w:tblCellMar>
      </w:tblPr>
      <w:tblGrid>
        <w:gridCol w:w="1577"/>
        <w:gridCol w:w="1004"/>
        <w:gridCol w:w="2536"/>
        <w:gridCol w:w="1125"/>
        <w:gridCol w:w="853"/>
      </w:tblGrid>
      <w:tr w14:paraId="2F1810C9">
        <w:tblPrEx>
          <w:tblCellMar>
            <w:top w:w="15" w:type="dxa"/>
            <w:left w:w="15" w:type="dxa"/>
            <w:bottom w:w="15" w:type="dxa"/>
            <w:right w:w="15" w:type="dxa"/>
          </w:tblCellMar>
        </w:tblPrEx>
        <w:trPr>
          <w:trHeight w:val="397" w:hRule="exact"/>
          <w:jc w:val="center"/>
        </w:trPr>
        <w:tc>
          <w:tcPr>
            <w:tcW w:w="1577" w:type="dxa"/>
            <w:tcBorders>
              <w:top w:val="single" w:color="000000" w:sz="4" w:space="0"/>
              <w:left w:val="single" w:color="000000" w:sz="4" w:space="0"/>
              <w:bottom w:val="single" w:color="000000" w:sz="4" w:space="0"/>
              <w:right w:val="single" w:color="000000" w:sz="4" w:space="0"/>
            </w:tcBorders>
            <w:vAlign w:val="center"/>
          </w:tcPr>
          <w:p w14:paraId="0CAEF142">
            <w:pPr>
              <w:spacing w:after="0"/>
              <w:jc w:val="center"/>
              <w:textAlignment w:val="center"/>
              <w:rPr>
                <w:rFonts w:ascii="宋体" w:hAnsi="宋体" w:eastAsia="宋体"/>
                <w:b/>
                <w:bCs/>
                <w:color w:val="auto"/>
                <w:sz w:val="21"/>
                <w:szCs w:val="21"/>
              </w:rPr>
            </w:pPr>
            <w:r>
              <w:rPr>
                <w:rFonts w:hint="eastAsia" w:ascii="宋体" w:hAnsi="宋体" w:eastAsia="宋体" w:cs="宋体"/>
                <w:b/>
                <w:bCs/>
                <w:color w:val="auto"/>
                <w:sz w:val="21"/>
                <w:szCs w:val="21"/>
              </w:rPr>
              <w:t>一级指标</w:t>
            </w:r>
          </w:p>
        </w:tc>
        <w:tc>
          <w:tcPr>
            <w:tcW w:w="1004" w:type="dxa"/>
            <w:tcBorders>
              <w:top w:val="single" w:color="000000" w:sz="4" w:space="0"/>
              <w:left w:val="single" w:color="000000" w:sz="4" w:space="0"/>
              <w:bottom w:val="single" w:color="000000" w:sz="4" w:space="0"/>
              <w:right w:val="single" w:color="000000" w:sz="4" w:space="0"/>
            </w:tcBorders>
            <w:vAlign w:val="center"/>
          </w:tcPr>
          <w:p w14:paraId="3130606B">
            <w:pPr>
              <w:spacing w:after="0"/>
              <w:jc w:val="center"/>
              <w:textAlignment w:val="center"/>
              <w:rPr>
                <w:rFonts w:ascii="宋体" w:hAnsi="宋体" w:eastAsia="宋体"/>
                <w:b/>
                <w:bCs/>
                <w:color w:val="auto"/>
                <w:sz w:val="21"/>
                <w:szCs w:val="21"/>
              </w:rPr>
            </w:pPr>
            <w:r>
              <w:rPr>
                <w:rFonts w:hint="eastAsia" w:ascii="宋体" w:hAnsi="宋体" w:eastAsia="宋体" w:cs="宋体"/>
                <w:b/>
                <w:bCs/>
                <w:color w:val="auto"/>
                <w:sz w:val="21"/>
                <w:szCs w:val="21"/>
              </w:rPr>
              <w:t>二级指标</w:t>
            </w:r>
          </w:p>
        </w:tc>
        <w:tc>
          <w:tcPr>
            <w:tcW w:w="2536" w:type="dxa"/>
            <w:tcBorders>
              <w:top w:val="single" w:color="000000" w:sz="4" w:space="0"/>
              <w:left w:val="single" w:color="000000" w:sz="4" w:space="0"/>
              <w:bottom w:val="single" w:color="000000" w:sz="4" w:space="0"/>
              <w:right w:val="single" w:color="000000" w:sz="4" w:space="0"/>
            </w:tcBorders>
            <w:vAlign w:val="center"/>
          </w:tcPr>
          <w:p w14:paraId="086050A8">
            <w:pPr>
              <w:spacing w:after="0"/>
              <w:jc w:val="center"/>
              <w:textAlignment w:val="center"/>
              <w:rPr>
                <w:rFonts w:ascii="宋体" w:hAnsi="宋体" w:eastAsia="宋体"/>
                <w:b/>
                <w:bCs/>
                <w:color w:val="auto"/>
                <w:sz w:val="21"/>
                <w:szCs w:val="21"/>
              </w:rPr>
            </w:pPr>
            <w:r>
              <w:rPr>
                <w:rFonts w:hint="eastAsia" w:ascii="宋体" w:hAnsi="宋体" w:eastAsia="宋体" w:cs="宋体"/>
                <w:b/>
                <w:bCs/>
                <w:color w:val="auto"/>
                <w:sz w:val="21"/>
                <w:szCs w:val="21"/>
              </w:rPr>
              <w:t>三级指标</w:t>
            </w:r>
          </w:p>
        </w:tc>
        <w:tc>
          <w:tcPr>
            <w:tcW w:w="1125" w:type="dxa"/>
            <w:tcBorders>
              <w:top w:val="single" w:color="000000" w:sz="4" w:space="0"/>
              <w:left w:val="single" w:color="000000" w:sz="4" w:space="0"/>
              <w:bottom w:val="single" w:color="000000" w:sz="4" w:space="0"/>
              <w:right w:val="single" w:color="000000" w:sz="4" w:space="0"/>
            </w:tcBorders>
            <w:vAlign w:val="center"/>
          </w:tcPr>
          <w:p w14:paraId="4CD1B83E">
            <w:pPr>
              <w:spacing w:after="0"/>
              <w:jc w:val="center"/>
              <w:textAlignment w:val="center"/>
              <w:rPr>
                <w:rFonts w:ascii="宋体" w:hAnsi="宋体" w:eastAsia="宋体"/>
                <w:b/>
                <w:bCs/>
                <w:color w:val="auto"/>
                <w:sz w:val="21"/>
                <w:szCs w:val="21"/>
              </w:rPr>
            </w:pPr>
            <w:r>
              <w:rPr>
                <w:rFonts w:hint="eastAsia" w:ascii="宋体" w:hAnsi="宋体" w:eastAsia="宋体" w:cs="宋体"/>
                <w:b/>
                <w:bCs/>
                <w:color w:val="auto"/>
                <w:sz w:val="21"/>
                <w:szCs w:val="21"/>
              </w:rPr>
              <w:t>分数权重</w:t>
            </w:r>
          </w:p>
        </w:tc>
        <w:tc>
          <w:tcPr>
            <w:tcW w:w="853" w:type="dxa"/>
            <w:tcBorders>
              <w:top w:val="single" w:color="000000" w:sz="4" w:space="0"/>
              <w:left w:val="single" w:color="000000" w:sz="4" w:space="0"/>
              <w:bottom w:val="single" w:color="000000" w:sz="4" w:space="0"/>
              <w:right w:val="single" w:color="000000" w:sz="4" w:space="0"/>
            </w:tcBorders>
            <w:vAlign w:val="center"/>
          </w:tcPr>
          <w:p w14:paraId="6FEBAF8F">
            <w:pPr>
              <w:spacing w:after="0"/>
              <w:jc w:val="center"/>
              <w:textAlignment w:val="center"/>
              <w:rPr>
                <w:rFonts w:ascii="宋体" w:hAnsi="宋体" w:eastAsia="宋体"/>
                <w:b/>
                <w:bCs/>
                <w:color w:val="auto"/>
                <w:sz w:val="21"/>
                <w:szCs w:val="21"/>
              </w:rPr>
            </w:pPr>
            <w:r>
              <w:rPr>
                <w:rFonts w:hint="eastAsia" w:ascii="宋体" w:hAnsi="宋体" w:eastAsia="宋体" w:cs="宋体"/>
                <w:b/>
                <w:bCs/>
                <w:color w:val="auto"/>
                <w:sz w:val="21"/>
                <w:szCs w:val="21"/>
              </w:rPr>
              <w:t>得分</w:t>
            </w:r>
          </w:p>
        </w:tc>
      </w:tr>
      <w:tr w14:paraId="6B3565E2">
        <w:tblPrEx>
          <w:tblCellMar>
            <w:top w:w="15" w:type="dxa"/>
            <w:left w:w="15" w:type="dxa"/>
            <w:bottom w:w="15" w:type="dxa"/>
            <w:right w:w="15" w:type="dxa"/>
          </w:tblCellMar>
        </w:tblPrEx>
        <w:trPr>
          <w:trHeight w:val="397" w:hRule="exact"/>
          <w:jc w:val="center"/>
        </w:trPr>
        <w:tc>
          <w:tcPr>
            <w:tcW w:w="1577" w:type="dxa"/>
            <w:vMerge w:val="restart"/>
            <w:tcBorders>
              <w:top w:val="single" w:color="000000" w:sz="4" w:space="0"/>
              <w:left w:val="single" w:color="000000" w:sz="4" w:space="0"/>
              <w:bottom w:val="single" w:color="000000" w:sz="4" w:space="0"/>
              <w:right w:val="single" w:color="000000" w:sz="4" w:space="0"/>
            </w:tcBorders>
            <w:vAlign w:val="center"/>
          </w:tcPr>
          <w:p w14:paraId="5134587E">
            <w:pPr>
              <w:spacing w:line="420" w:lineRule="exact"/>
              <w:jc w:val="center"/>
              <w:rPr>
                <w:rFonts w:ascii="宋体" w:hAnsi="宋体" w:eastAsia="宋体"/>
                <w:color w:val="auto"/>
                <w:sz w:val="21"/>
                <w:szCs w:val="21"/>
              </w:rPr>
            </w:pPr>
            <w:r>
              <w:rPr>
                <w:rFonts w:hint="eastAsia" w:ascii="宋体" w:hAnsi="宋体" w:eastAsia="宋体" w:cs="宋体"/>
                <w:color w:val="auto"/>
                <w:sz w:val="21"/>
                <w:szCs w:val="21"/>
              </w:rPr>
              <w:t>产出</w:t>
            </w:r>
          </w:p>
          <w:p w14:paraId="16CCCBAD">
            <w:pPr>
              <w:spacing w:line="420" w:lineRule="exact"/>
              <w:jc w:val="center"/>
              <w:rPr>
                <w:rFonts w:ascii="宋体" w:hAnsi="宋体" w:eastAsia="宋体"/>
                <w:color w:val="auto"/>
                <w:sz w:val="21"/>
                <w:szCs w:val="21"/>
              </w:rPr>
            </w:pPr>
            <w:r>
              <w:rPr>
                <w:rFonts w:hint="eastAsia" w:ascii="宋体" w:hAnsi="宋体" w:eastAsia="宋体" w:cs="宋体"/>
                <w:color w:val="auto"/>
                <w:sz w:val="21"/>
                <w:szCs w:val="21"/>
              </w:rPr>
              <w:t>（</w:t>
            </w:r>
            <w:r>
              <w:rPr>
                <w:rFonts w:ascii="宋体" w:hAnsi="宋体" w:eastAsia="宋体" w:cs="宋体"/>
                <w:color w:val="auto"/>
                <w:sz w:val="21"/>
                <w:szCs w:val="21"/>
              </w:rPr>
              <w:t>25</w:t>
            </w:r>
            <w:r>
              <w:rPr>
                <w:rFonts w:hint="eastAsia" w:ascii="宋体" w:hAnsi="宋体" w:eastAsia="宋体" w:cs="宋体"/>
                <w:color w:val="auto"/>
                <w:sz w:val="21"/>
                <w:szCs w:val="21"/>
              </w:rPr>
              <w:t>分）</w:t>
            </w:r>
          </w:p>
        </w:tc>
        <w:tc>
          <w:tcPr>
            <w:tcW w:w="1004" w:type="dxa"/>
            <w:vMerge w:val="restart"/>
            <w:tcBorders>
              <w:top w:val="single" w:color="000000" w:sz="4" w:space="0"/>
              <w:left w:val="single" w:color="000000" w:sz="4" w:space="0"/>
              <w:right w:val="single" w:color="000000" w:sz="4" w:space="0"/>
            </w:tcBorders>
            <w:vAlign w:val="center"/>
          </w:tcPr>
          <w:p w14:paraId="7CDB73D7">
            <w:pPr>
              <w:spacing w:line="420" w:lineRule="exact"/>
              <w:jc w:val="center"/>
              <w:rPr>
                <w:rFonts w:ascii="宋体" w:hAnsi="宋体" w:eastAsia="宋体"/>
                <w:color w:val="auto"/>
                <w:sz w:val="21"/>
                <w:szCs w:val="21"/>
              </w:rPr>
            </w:pPr>
            <w:r>
              <w:rPr>
                <w:rFonts w:hint="eastAsia" w:ascii="宋体" w:hAnsi="宋体" w:eastAsia="宋体" w:cs="宋体"/>
                <w:color w:val="auto"/>
                <w:sz w:val="21"/>
                <w:szCs w:val="21"/>
              </w:rPr>
              <w:t>责任履行（</w:t>
            </w:r>
            <w:r>
              <w:rPr>
                <w:rFonts w:ascii="宋体" w:hAnsi="宋体" w:eastAsia="宋体" w:cs="宋体"/>
                <w:color w:val="auto"/>
                <w:sz w:val="21"/>
                <w:szCs w:val="21"/>
              </w:rPr>
              <w:t>25</w:t>
            </w:r>
            <w:r>
              <w:rPr>
                <w:rFonts w:hint="eastAsia" w:ascii="宋体" w:hAnsi="宋体" w:eastAsia="宋体" w:cs="宋体"/>
                <w:color w:val="auto"/>
                <w:sz w:val="21"/>
                <w:szCs w:val="21"/>
              </w:rPr>
              <w:t>分）</w:t>
            </w:r>
          </w:p>
        </w:tc>
        <w:tc>
          <w:tcPr>
            <w:tcW w:w="2536" w:type="dxa"/>
            <w:tcBorders>
              <w:top w:val="single" w:color="000000" w:sz="4" w:space="0"/>
              <w:left w:val="single" w:color="000000" w:sz="4" w:space="0"/>
              <w:bottom w:val="single" w:color="000000" w:sz="4" w:space="0"/>
              <w:right w:val="single" w:color="000000" w:sz="4" w:space="0"/>
            </w:tcBorders>
            <w:vAlign w:val="center"/>
          </w:tcPr>
          <w:p w14:paraId="188230AB">
            <w:pPr>
              <w:spacing w:line="420" w:lineRule="exact"/>
              <w:jc w:val="center"/>
              <w:rPr>
                <w:rFonts w:ascii="宋体" w:hAnsi="宋体" w:eastAsia="宋体"/>
                <w:color w:val="auto"/>
                <w:sz w:val="21"/>
                <w:szCs w:val="21"/>
              </w:rPr>
            </w:pPr>
            <w:r>
              <w:rPr>
                <w:rFonts w:hint="eastAsia" w:ascii="宋体" w:hAnsi="宋体" w:eastAsia="宋体" w:cs="宋体"/>
                <w:color w:val="auto"/>
                <w:sz w:val="21"/>
                <w:szCs w:val="21"/>
              </w:rPr>
              <w:t>结转结余率</w:t>
            </w:r>
          </w:p>
        </w:tc>
        <w:tc>
          <w:tcPr>
            <w:tcW w:w="1125" w:type="dxa"/>
            <w:tcBorders>
              <w:top w:val="single" w:color="000000" w:sz="4" w:space="0"/>
              <w:left w:val="single" w:color="000000" w:sz="4" w:space="0"/>
              <w:bottom w:val="single" w:color="000000" w:sz="4" w:space="0"/>
              <w:right w:val="single" w:color="000000" w:sz="4" w:space="0"/>
            </w:tcBorders>
            <w:vAlign w:val="center"/>
          </w:tcPr>
          <w:p w14:paraId="13FE9A81">
            <w:pPr>
              <w:spacing w:line="420" w:lineRule="exact"/>
              <w:jc w:val="center"/>
              <w:rPr>
                <w:rFonts w:ascii="宋体" w:hAnsi="宋体" w:eastAsia="宋体" w:cs="宋体"/>
                <w:color w:val="auto"/>
                <w:sz w:val="21"/>
                <w:szCs w:val="21"/>
              </w:rPr>
            </w:pPr>
            <w:r>
              <w:rPr>
                <w:rFonts w:ascii="宋体" w:hAnsi="宋体" w:eastAsia="宋体" w:cs="宋体"/>
                <w:color w:val="auto"/>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14:paraId="3407BE7C">
            <w:pPr>
              <w:spacing w:line="420" w:lineRule="exact"/>
              <w:jc w:val="center"/>
              <w:rPr>
                <w:rFonts w:ascii="宋体" w:hAnsi="宋体" w:eastAsia="宋体" w:cs="宋体"/>
                <w:color w:val="auto"/>
                <w:sz w:val="21"/>
                <w:szCs w:val="21"/>
              </w:rPr>
            </w:pPr>
          </w:p>
        </w:tc>
      </w:tr>
      <w:tr w14:paraId="31F2D05F">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14:paraId="4116E2B1">
            <w:pPr>
              <w:spacing w:line="420" w:lineRule="exact"/>
              <w:jc w:val="center"/>
              <w:rPr>
                <w:rFonts w:ascii="宋体" w:hAnsi="宋体" w:eastAsia="宋体"/>
                <w:color w:val="auto"/>
                <w:sz w:val="21"/>
                <w:szCs w:val="21"/>
              </w:rPr>
            </w:pPr>
          </w:p>
        </w:tc>
        <w:tc>
          <w:tcPr>
            <w:tcW w:w="1004" w:type="dxa"/>
            <w:vMerge w:val="continue"/>
            <w:tcBorders>
              <w:left w:val="single" w:color="000000" w:sz="4" w:space="0"/>
              <w:right w:val="single" w:color="000000" w:sz="4" w:space="0"/>
            </w:tcBorders>
            <w:vAlign w:val="center"/>
          </w:tcPr>
          <w:p w14:paraId="20FF3470">
            <w:pPr>
              <w:spacing w:line="420" w:lineRule="exact"/>
              <w:jc w:val="center"/>
              <w:rPr>
                <w:rFonts w:ascii="宋体" w:hAnsi="宋体" w:eastAsia="宋体"/>
                <w:color w:val="auto"/>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14:paraId="38C7FBD6">
            <w:pPr>
              <w:spacing w:line="420" w:lineRule="exact"/>
              <w:jc w:val="center"/>
              <w:rPr>
                <w:rFonts w:ascii="宋体" w:hAnsi="宋体" w:eastAsia="宋体"/>
                <w:color w:val="auto"/>
                <w:sz w:val="21"/>
                <w:szCs w:val="21"/>
              </w:rPr>
            </w:pPr>
            <w:r>
              <w:rPr>
                <w:rFonts w:hint="eastAsia" w:ascii="宋体" w:hAnsi="宋体" w:eastAsia="宋体" w:cs="宋体"/>
                <w:color w:val="auto"/>
                <w:sz w:val="21"/>
                <w:szCs w:val="21"/>
              </w:rPr>
              <w:t>项目资金使用率</w:t>
            </w:r>
          </w:p>
        </w:tc>
        <w:tc>
          <w:tcPr>
            <w:tcW w:w="1125" w:type="dxa"/>
            <w:tcBorders>
              <w:top w:val="single" w:color="000000" w:sz="4" w:space="0"/>
              <w:left w:val="single" w:color="000000" w:sz="4" w:space="0"/>
              <w:bottom w:val="single" w:color="000000" w:sz="4" w:space="0"/>
              <w:right w:val="single" w:color="000000" w:sz="4" w:space="0"/>
            </w:tcBorders>
            <w:vAlign w:val="center"/>
          </w:tcPr>
          <w:p w14:paraId="4794CE71">
            <w:pPr>
              <w:spacing w:line="420" w:lineRule="exact"/>
              <w:jc w:val="center"/>
              <w:rPr>
                <w:rFonts w:ascii="宋体" w:hAnsi="宋体" w:eastAsia="宋体" w:cs="宋体"/>
                <w:color w:val="auto"/>
                <w:sz w:val="21"/>
                <w:szCs w:val="21"/>
              </w:rPr>
            </w:pPr>
            <w:r>
              <w:rPr>
                <w:rFonts w:ascii="宋体" w:hAnsi="宋体" w:eastAsia="宋体" w:cs="宋体"/>
                <w:color w:val="auto"/>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14:paraId="22BFCD14">
            <w:pPr>
              <w:spacing w:line="420" w:lineRule="exact"/>
              <w:jc w:val="center"/>
              <w:rPr>
                <w:rFonts w:ascii="宋体" w:hAnsi="宋体" w:eastAsia="宋体" w:cs="宋体"/>
                <w:color w:val="auto"/>
                <w:sz w:val="21"/>
                <w:szCs w:val="21"/>
              </w:rPr>
            </w:pPr>
          </w:p>
        </w:tc>
      </w:tr>
      <w:tr w14:paraId="6930D300">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14:paraId="1921D30A">
            <w:pPr>
              <w:spacing w:line="420" w:lineRule="exact"/>
              <w:jc w:val="center"/>
              <w:rPr>
                <w:rFonts w:ascii="宋体" w:hAnsi="宋体" w:eastAsia="宋体"/>
                <w:color w:val="auto"/>
                <w:sz w:val="21"/>
                <w:szCs w:val="21"/>
              </w:rPr>
            </w:pPr>
          </w:p>
        </w:tc>
        <w:tc>
          <w:tcPr>
            <w:tcW w:w="1004" w:type="dxa"/>
            <w:vMerge w:val="continue"/>
            <w:tcBorders>
              <w:left w:val="single" w:color="000000" w:sz="4" w:space="0"/>
              <w:right w:val="single" w:color="000000" w:sz="4" w:space="0"/>
            </w:tcBorders>
            <w:vAlign w:val="center"/>
          </w:tcPr>
          <w:p w14:paraId="18728C21">
            <w:pPr>
              <w:spacing w:line="420" w:lineRule="exact"/>
              <w:jc w:val="center"/>
              <w:rPr>
                <w:rFonts w:ascii="宋体" w:hAnsi="宋体" w:eastAsia="宋体"/>
                <w:color w:val="auto"/>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14:paraId="570BAB70">
            <w:pPr>
              <w:spacing w:line="420" w:lineRule="exact"/>
              <w:jc w:val="center"/>
              <w:rPr>
                <w:rFonts w:ascii="宋体" w:hAnsi="宋体" w:eastAsia="宋体"/>
                <w:color w:val="auto"/>
                <w:sz w:val="21"/>
                <w:szCs w:val="21"/>
              </w:rPr>
            </w:pPr>
            <w:r>
              <w:rPr>
                <w:rFonts w:hint="eastAsia" w:ascii="宋体" w:hAnsi="宋体" w:eastAsia="宋体" w:cs="宋体"/>
                <w:color w:val="auto"/>
                <w:sz w:val="21"/>
                <w:szCs w:val="21"/>
              </w:rPr>
              <w:t>社区矫正人数</w:t>
            </w:r>
          </w:p>
        </w:tc>
        <w:tc>
          <w:tcPr>
            <w:tcW w:w="1125" w:type="dxa"/>
            <w:tcBorders>
              <w:top w:val="single" w:color="000000" w:sz="4" w:space="0"/>
              <w:left w:val="single" w:color="000000" w:sz="4" w:space="0"/>
              <w:bottom w:val="single" w:color="000000" w:sz="4" w:space="0"/>
              <w:right w:val="single" w:color="000000" w:sz="4" w:space="0"/>
            </w:tcBorders>
            <w:vAlign w:val="center"/>
          </w:tcPr>
          <w:p w14:paraId="00D96DB1">
            <w:pPr>
              <w:spacing w:line="420" w:lineRule="exact"/>
              <w:jc w:val="center"/>
              <w:rPr>
                <w:rFonts w:ascii="宋体" w:hAnsi="宋体" w:eastAsia="宋体" w:cs="宋体"/>
                <w:color w:val="auto"/>
                <w:sz w:val="21"/>
                <w:szCs w:val="21"/>
              </w:rPr>
            </w:pPr>
            <w:r>
              <w:rPr>
                <w:rFonts w:ascii="宋体" w:hAnsi="宋体" w:eastAsia="宋体" w:cs="宋体"/>
                <w:color w:val="auto"/>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14:paraId="4DACAEA7">
            <w:pPr>
              <w:spacing w:line="420" w:lineRule="exact"/>
              <w:jc w:val="center"/>
              <w:rPr>
                <w:rFonts w:ascii="宋体" w:hAnsi="宋体" w:eastAsia="宋体" w:cs="宋体"/>
                <w:color w:val="auto"/>
                <w:sz w:val="21"/>
                <w:szCs w:val="21"/>
              </w:rPr>
            </w:pPr>
          </w:p>
        </w:tc>
      </w:tr>
      <w:tr w14:paraId="34BD665C">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14:paraId="730C5D0C">
            <w:pPr>
              <w:spacing w:line="420" w:lineRule="exact"/>
              <w:jc w:val="center"/>
              <w:rPr>
                <w:rFonts w:ascii="宋体" w:hAnsi="宋体" w:eastAsia="宋体"/>
                <w:color w:val="auto"/>
                <w:sz w:val="21"/>
                <w:szCs w:val="21"/>
              </w:rPr>
            </w:pPr>
          </w:p>
        </w:tc>
        <w:tc>
          <w:tcPr>
            <w:tcW w:w="1004" w:type="dxa"/>
            <w:vMerge w:val="continue"/>
            <w:tcBorders>
              <w:left w:val="single" w:color="000000" w:sz="4" w:space="0"/>
              <w:right w:val="single" w:color="000000" w:sz="4" w:space="0"/>
            </w:tcBorders>
            <w:vAlign w:val="center"/>
          </w:tcPr>
          <w:p w14:paraId="6C91F2D5">
            <w:pPr>
              <w:spacing w:line="420" w:lineRule="exact"/>
              <w:jc w:val="center"/>
              <w:rPr>
                <w:rFonts w:ascii="宋体" w:hAnsi="宋体" w:eastAsia="宋体"/>
                <w:color w:val="auto"/>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14:paraId="18A75D64">
            <w:pPr>
              <w:spacing w:line="420" w:lineRule="exact"/>
              <w:jc w:val="center"/>
              <w:rPr>
                <w:rFonts w:ascii="宋体" w:hAnsi="宋体" w:eastAsia="宋体"/>
                <w:color w:val="auto"/>
                <w:sz w:val="21"/>
                <w:szCs w:val="21"/>
              </w:rPr>
            </w:pPr>
            <w:r>
              <w:rPr>
                <w:rFonts w:hint="eastAsia" w:ascii="宋体" w:hAnsi="宋体" w:eastAsia="宋体" w:cs="宋体"/>
                <w:color w:val="auto"/>
                <w:sz w:val="21"/>
                <w:szCs w:val="21"/>
              </w:rPr>
              <w:t>社区服刑人员再次犯罪率</w:t>
            </w:r>
          </w:p>
        </w:tc>
        <w:tc>
          <w:tcPr>
            <w:tcW w:w="1125" w:type="dxa"/>
            <w:tcBorders>
              <w:top w:val="single" w:color="000000" w:sz="4" w:space="0"/>
              <w:left w:val="single" w:color="000000" w:sz="4" w:space="0"/>
              <w:bottom w:val="single" w:color="000000" w:sz="4" w:space="0"/>
              <w:right w:val="single" w:color="000000" w:sz="4" w:space="0"/>
            </w:tcBorders>
            <w:vAlign w:val="center"/>
          </w:tcPr>
          <w:p w14:paraId="0658EA42">
            <w:pPr>
              <w:spacing w:line="420" w:lineRule="exact"/>
              <w:jc w:val="center"/>
              <w:rPr>
                <w:rFonts w:ascii="宋体" w:hAnsi="宋体" w:eastAsia="宋体" w:cs="宋体"/>
                <w:color w:val="auto"/>
                <w:sz w:val="21"/>
                <w:szCs w:val="21"/>
              </w:rPr>
            </w:pPr>
            <w:r>
              <w:rPr>
                <w:rFonts w:ascii="宋体" w:hAnsi="宋体" w:eastAsia="宋体" w:cs="宋体"/>
                <w:color w:val="auto"/>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14:paraId="20C3F1FA">
            <w:pPr>
              <w:spacing w:line="420" w:lineRule="exact"/>
              <w:jc w:val="center"/>
              <w:rPr>
                <w:rFonts w:ascii="宋体" w:hAnsi="宋体" w:eastAsia="宋体" w:cs="宋体"/>
                <w:color w:val="auto"/>
                <w:sz w:val="21"/>
                <w:szCs w:val="21"/>
              </w:rPr>
            </w:pPr>
          </w:p>
        </w:tc>
      </w:tr>
      <w:tr w14:paraId="710731C3">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14:paraId="1CE94572">
            <w:pPr>
              <w:spacing w:line="420" w:lineRule="exact"/>
              <w:jc w:val="center"/>
              <w:rPr>
                <w:rFonts w:ascii="宋体" w:hAnsi="宋体" w:eastAsia="宋体"/>
                <w:color w:val="auto"/>
                <w:sz w:val="21"/>
                <w:szCs w:val="21"/>
              </w:rPr>
            </w:pPr>
          </w:p>
        </w:tc>
        <w:tc>
          <w:tcPr>
            <w:tcW w:w="1004" w:type="dxa"/>
            <w:vMerge w:val="continue"/>
            <w:tcBorders>
              <w:left w:val="single" w:color="000000" w:sz="4" w:space="0"/>
              <w:right w:val="single" w:color="000000" w:sz="4" w:space="0"/>
            </w:tcBorders>
            <w:vAlign w:val="center"/>
          </w:tcPr>
          <w:p w14:paraId="5D5B46DE">
            <w:pPr>
              <w:spacing w:line="420" w:lineRule="exact"/>
              <w:jc w:val="center"/>
              <w:rPr>
                <w:rFonts w:ascii="宋体" w:hAnsi="宋体" w:eastAsia="宋体"/>
                <w:color w:val="auto"/>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14:paraId="6E6BFB22">
            <w:pPr>
              <w:spacing w:line="420" w:lineRule="exact"/>
              <w:jc w:val="center"/>
              <w:rPr>
                <w:rFonts w:ascii="宋体" w:hAnsi="宋体" w:eastAsia="宋体"/>
                <w:color w:val="auto"/>
                <w:sz w:val="21"/>
                <w:szCs w:val="21"/>
              </w:rPr>
            </w:pPr>
            <w:r>
              <w:rPr>
                <w:rFonts w:hint="eastAsia" w:ascii="宋体" w:hAnsi="宋体" w:eastAsia="宋体" w:cs="宋体"/>
                <w:color w:val="auto"/>
                <w:sz w:val="21"/>
                <w:szCs w:val="21"/>
              </w:rPr>
              <w:t>法律援助办结率</w:t>
            </w:r>
          </w:p>
        </w:tc>
        <w:tc>
          <w:tcPr>
            <w:tcW w:w="1125" w:type="dxa"/>
            <w:tcBorders>
              <w:top w:val="single" w:color="000000" w:sz="4" w:space="0"/>
              <w:left w:val="single" w:color="000000" w:sz="4" w:space="0"/>
              <w:bottom w:val="single" w:color="000000" w:sz="4" w:space="0"/>
              <w:right w:val="single" w:color="000000" w:sz="4" w:space="0"/>
            </w:tcBorders>
            <w:vAlign w:val="center"/>
          </w:tcPr>
          <w:p w14:paraId="080C7B8B">
            <w:pPr>
              <w:spacing w:line="420" w:lineRule="exact"/>
              <w:jc w:val="center"/>
              <w:rPr>
                <w:rFonts w:ascii="宋体" w:hAnsi="宋体" w:eastAsia="宋体" w:cs="宋体"/>
                <w:color w:val="auto"/>
                <w:sz w:val="21"/>
                <w:szCs w:val="21"/>
              </w:rPr>
            </w:pPr>
            <w:r>
              <w:rPr>
                <w:rFonts w:ascii="宋体" w:hAnsi="宋体" w:eastAsia="宋体" w:cs="宋体"/>
                <w:color w:val="auto"/>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14:paraId="17FE73EF">
            <w:pPr>
              <w:spacing w:line="420" w:lineRule="exact"/>
              <w:jc w:val="center"/>
              <w:rPr>
                <w:rFonts w:ascii="宋体" w:hAnsi="宋体" w:eastAsia="宋体" w:cs="宋体"/>
                <w:color w:val="auto"/>
                <w:sz w:val="21"/>
                <w:szCs w:val="21"/>
              </w:rPr>
            </w:pPr>
          </w:p>
        </w:tc>
      </w:tr>
      <w:tr w14:paraId="002E5224">
        <w:tblPrEx>
          <w:tblCellMar>
            <w:top w:w="15" w:type="dxa"/>
            <w:left w:w="15" w:type="dxa"/>
            <w:bottom w:w="15" w:type="dxa"/>
            <w:right w:w="15" w:type="dxa"/>
          </w:tblCellMar>
        </w:tblPrEx>
        <w:trPr>
          <w:trHeight w:val="397" w:hRule="exact"/>
          <w:jc w:val="center"/>
        </w:trPr>
        <w:tc>
          <w:tcPr>
            <w:tcW w:w="2581" w:type="dxa"/>
            <w:gridSpan w:val="2"/>
            <w:tcBorders>
              <w:top w:val="single" w:color="000000" w:sz="4" w:space="0"/>
              <w:left w:val="single" w:color="000000" w:sz="4" w:space="0"/>
              <w:bottom w:val="single" w:color="000000" w:sz="4" w:space="0"/>
              <w:right w:val="single" w:color="000000" w:sz="4" w:space="0"/>
            </w:tcBorders>
            <w:vAlign w:val="center"/>
          </w:tcPr>
          <w:p w14:paraId="6699E4D3">
            <w:pPr>
              <w:spacing w:line="420" w:lineRule="exact"/>
              <w:jc w:val="center"/>
              <w:rPr>
                <w:rFonts w:ascii="宋体" w:hAnsi="宋体" w:eastAsia="宋体"/>
                <w:color w:val="auto"/>
                <w:sz w:val="21"/>
                <w:szCs w:val="21"/>
              </w:rPr>
            </w:pPr>
            <w:r>
              <w:rPr>
                <w:rFonts w:hint="eastAsia" w:ascii="宋体" w:hAnsi="宋体" w:eastAsia="宋体" w:cs="宋体"/>
                <w:color w:val="auto"/>
                <w:sz w:val="21"/>
                <w:szCs w:val="21"/>
              </w:rPr>
              <w:t>合计</w:t>
            </w:r>
          </w:p>
        </w:tc>
        <w:tc>
          <w:tcPr>
            <w:tcW w:w="2536" w:type="dxa"/>
            <w:tcBorders>
              <w:top w:val="single" w:color="000000" w:sz="4" w:space="0"/>
              <w:left w:val="single" w:color="000000" w:sz="4" w:space="0"/>
              <w:bottom w:val="single" w:color="000000" w:sz="4" w:space="0"/>
              <w:right w:val="single" w:color="000000" w:sz="4" w:space="0"/>
            </w:tcBorders>
            <w:vAlign w:val="center"/>
          </w:tcPr>
          <w:p w14:paraId="67C315FA">
            <w:pPr>
              <w:spacing w:line="420" w:lineRule="exact"/>
              <w:jc w:val="center"/>
              <w:rPr>
                <w:rFonts w:ascii="宋体" w:hAnsi="宋体" w:eastAsia="宋体"/>
                <w:color w:val="auto"/>
                <w:sz w:val="21"/>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5A147267">
            <w:pPr>
              <w:spacing w:line="420" w:lineRule="exact"/>
              <w:jc w:val="center"/>
              <w:rPr>
                <w:rFonts w:ascii="宋体" w:hAnsi="宋体" w:eastAsia="宋体" w:cs="宋体"/>
                <w:color w:val="auto"/>
                <w:sz w:val="21"/>
                <w:szCs w:val="21"/>
              </w:rPr>
            </w:pPr>
            <w:r>
              <w:rPr>
                <w:rFonts w:ascii="宋体" w:hAnsi="宋体" w:eastAsia="宋体" w:cs="宋体"/>
                <w:color w:val="auto"/>
                <w:sz w:val="21"/>
                <w:szCs w:val="21"/>
              </w:rPr>
              <w:t>25</w:t>
            </w:r>
          </w:p>
        </w:tc>
        <w:tc>
          <w:tcPr>
            <w:tcW w:w="853" w:type="dxa"/>
            <w:tcBorders>
              <w:top w:val="single" w:color="000000" w:sz="4" w:space="0"/>
              <w:left w:val="single" w:color="000000" w:sz="4" w:space="0"/>
              <w:bottom w:val="single" w:color="000000" w:sz="4" w:space="0"/>
              <w:right w:val="single" w:color="000000" w:sz="4" w:space="0"/>
            </w:tcBorders>
            <w:vAlign w:val="center"/>
          </w:tcPr>
          <w:p w14:paraId="17B49DF7">
            <w:pPr>
              <w:spacing w:line="420" w:lineRule="exact"/>
              <w:jc w:val="center"/>
              <w:rPr>
                <w:rFonts w:ascii="宋体" w:hAnsi="宋体" w:eastAsia="宋体" w:cs="宋体"/>
                <w:color w:val="auto"/>
                <w:sz w:val="21"/>
                <w:szCs w:val="21"/>
              </w:rPr>
            </w:pPr>
          </w:p>
        </w:tc>
      </w:tr>
    </w:tbl>
    <w:p w14:paraId="2D6B45BB">
      <w:pPr>
        <w:spacing w:after="0" w:line="360" w:lineRule="auto"/>
        <w:ind w:firstLine="640" w:firstLineChars="200"/>
        <w:jc w:val="both"/>
        <w:textAlignment w:val="baseline"/>
        <w:rPr>
          <w:rFonts w:ascii="仿宋_GB2312" w:eastAsia="仿宋_GB2312"/>
          <w:color w:val="auto"/>
          <w:sz w:val="32"/>
          <w:szCs w:val="32"/>
        </w:rPr>
      </w:pPr>
      <w:bookmarkStart w:id="64" w:name="_Toc464638518"/>
      <w:bookmarkStart w:id="65" w:name="_Toc465149515"/>
      <w:r>
        <w:rPr>
          <w:rFonts w:ascii="仿宋_GB2312" w:eastAsia="仿宋_GB2312" w:cs="仿宋_GB2312"/>
          <w:color w:val="auto"/>
          <w:sz w:val="32"/>
          <w:szCs w:val="32"/>
        </w:rPr>
        <w:t>1.</w:t>
      </w:r>
      <w:r>
        <w:rPr>
          <w:rFonts w:hint="eastAsia" w:ascii="仿宋_GB2312" w:eastAsia="仿宋_GB2312" w:cs="仿宋_GB2312"/>
          <w:color w:val="auto"/>
          <w:sz w:val="32"/>
          <w:szCs w:val="32"/>
        </w:rPr>
        <w:t>结转结余率（</w:t>
      </w:r>
      <w:r>
        <w:rPr>
          <w:rFonts w:ascii="仿宋_GB2312" w:eastAsia="仿宋_GB2312" w:cs="仿宋_GB2312"/>
          <w:color w:val="auto"/>
          <w:sz w:val="32"/>
          <w:szCs w:val="32"/>
        </w:rPr>
        <w:t>5</w:t>
      </w:r>
      <w:r>
        <w:rPr>
          <w:rFonts w:hint="eastAsia" w:ascii="仿宋_GB2312" w:eastAsia="仿宋_GB2312" w:cs="仿宋_GB2312"/>
          <w:color w:val="auto"/>
          <w:sz w:val="32"/>
          <w:szCs w:val="32"/>
        </w:rPr>
        <w:t>分）</w:t>
      </w:r>
    </w:p>
    <w:p w14:paraId="0C738E5F">
      <w:pPr>
        <w:spacing w:after="0" w:line="360" w:lineRule="auto"/>
        <w:ind w:firstLine="640" w:firstLineChars="200"/>
        <w:jc w:val="both"/>
        <w:textAlignment w:val="baseline"/>
        <w:rPr>
          <w:rFonts w:ascii="仿宋_GB2312" w:eastAsia="仿宋_GB2312"/>
          <w:color w:val="auto"/>
          <w:sz w:val="32"/>
          <w:szCs w:val="32"/>
        </w:rPr>
      </w:pPr>
      <w:r>
        <w:rPr>
          <w:rFonts w:hint="eastAsia" w:ascii="仿宋_GB2312" w:eastAsia="仿宋_GB2312" w:cs="仿宋_GB2312"/>
          <w:color w:val="auto"/>
          <w:sz w:val="32"/>
          <w:szCs w:val="32"/>
        </w:rPr>
        <w:t>该指标主要评价部门的结转结余情况，通过结转结余率衡量。</w:t>
      </w:r>
    </w:p>
    <w:p w14:paraId="51174B3E">
      <w:pPr>
        <w:spacing w:after="0" w:line="360" w:lineRule="auto"/>
        <w:ind w:firstLine="640" w:firstLineChars="200"/>
        <w:jc w:val="both"/>
        <w:textAlignment w:val="baseline"/>
        <w:rPr>
          <w:rFonts w:ascii="仿宋_GB2312" w:eastAsia="仿宋_GB2312"/>
          <w:color w:val="auto"/>
          <w:sz w:val="32"/>
          <w:szCs w:val="32"/>
        </w:rPr>
      </w:pPr>
      <w:r>
        <w:rPr>
          <w:rFonts w:hint="eastAsia" w:ascii="仿宋_GB2312" w:eastAsia="仿宋_GB2312" w:cs="仿宋_GB2312"/>
          <w:color w:val="auto"/>
          <w:sz w:val="32"/>
          <w:szCs w:val="32"/>
        </w:rPr>
        <w:t>结转结余率</w:t>
      </w:r>
      <w:r>
        <w:rPr>
          <w:rFonts w:ascii="仿宋_GB2312" w:eastAsia="仿宋_GB2312" w:cs="仿宋_GB2312"/>
          <w:color w:val="auto"/>
          <w:sz w:val="32"/>
          <w:szCs w:val="32"/>
        </w:rPr>
        <w:t>=</w:t>
      </w:r>
      <w:r>
        <w:rPr>
          <w:rFonts w:hint="eastAsia" w:ascii="仿宋_GB2312" w:eastAsia="仿宋_GB2312" w:cs="仿宋_GB2312"/>
          <w:color w:val="auto"/>
          <w:sz w:val="32"/>
          <w:szCs w:val="32"/>
        </w:rPr>
        <w:t>（本年结转结余数</w:t>
      </w:r>
      <w:r>
        <w:rPr>
          <w:rFonts w:ascii="仿宋_GB2312" w:eastAsia="仿宋_GB2312" w:cs="仿宋_GB2312"/>
          <w:color w:val="auto"/>
          <w:sz w:val="32"/>
          <w:szCs w:val="32"/>
        </w:rPr>
        <w:t>/</w:t>
      </w:r>
      <w:r>
        <w:rPr>
          <w:rFonts w:hint="eastAsia" w:ascii="仿宋_GB2312" w:eastAsia="仿宋_GB2312" w:cs="仿宋_GB2312"/>
          <w:color w:val="auto"/>
          <w:sz w:val="32"/>
          <w:szCs w:val="32"/>
        </w:rPr>
        <w:t>决算收入数）</w:t>
      </w:r>
      <w:r>
        <w:rPr>
          <w:rFonts w:ascii="仿宋_GB2312" w:eastAsia="仿宋_GB2312" w:cs="仿宋_GB2312"/>
          <w:color w:val="auto"/>
          <w:sz w:val="32"/>
          <w:szCs w:val="32"/>
        </w:rPr>
        <w:t>*100%</w:t>
      </w:r>
      <w:r>
        <w:rPr>
          <w:rFonts w:hint="eastAsia" w:ascii="仿宋_GB2312" w:eastAsia="仿宋_GB2312" w:cs="仿宋_GB2312"/>
          <w:color w:val="auto"/>
          <w:sz w:val="32"/>
          <w:szCs w:val="32"/>
        </w:rPr>
        <w:t>。</w:t>
      </w:r>
    </w:p>
    <w:p w14:paraId="3FCEAFE6">
      <w:pPr>
        <w:spacing w:after="0" w:line="360" w:lineRule="auto"/>
        <w:ind w:firstLine="640" w:firstLineChars="200"/>
        <w:jc w:val="both"/>
        <w:textAlignment w:val="baseline"/>
        <w:rPr>
          <w:rFonts w:ascii="仿宋_GB2312" w:eastAsia="仿宋_GB2312"/>
          <w:color w:val="auto"/>
          <w:sz w:val="32"/>
          <w:szCs w:val="32"/>
        </w:rPr>
      </w:pPr>
      <w:r>
        <w:rPr>
          <w:rFonts w:hint="eastAsia" w:ascii="仿宋_GB2312" w:eastAsia="仿宋_GB2312" w:cs="仿宋_GB2312"/>
          <w:color w:val="auto"/>
          <w:sz w:val="32"/>
          <w:szCs w:val="32"/>
        </w:rPr>
        <w:t>根据区总工会单位</w:t>
      </w:r>
      <w:r>
        <w:rPr>
          <w:rFonts w:ascii="仿宋_GB2312" w:eastAsia="仿宋_GB2312" w:cs="仿宋_GB2312"/>
          <w:color w:val="auto"/>
          <w:sz w:val="32"/>
          <w:szCs w:val="32"/>
        </w:rPr>
        <w:t>2019</w:t>
      </w:r>
      <w:r>
        <w:rPr>
          <w:rFonts w:hint="eastAsia" w:ascii="仿宋_GB2312" w:eastAsia="仿宋_GB2312" w:cs="仿宋_GB2312"/>
          <w:color w:val="auto"/>
          <w:sz w:val="32"/>
          <w:szCs w:val="32"/>
        </w:rPr>
        <w:t>年决算文本及相关资料，区总工会单位</w:t>
      </w:r>
      <w:r>
        <w:rPr>
          <w:rFonts w:ascii="仿宋_GB2312" w:eastAsia="仿宋_GB2312" w:cs="仿宋_GB2312"/>
          <w:color w:val="auto"/>
          <w:sz w:val="32"/>
          <w:szCs w:val="32"/>
        </w:rPr>
        <w:t>2019</w:t>
      </w:r>
      <w:r>
        <w:rPr>
          <w:rFonts w:hint="eastAsia" w:ascii="仿宋_GB2312" w:eastAsia="仿宋_GB2312" w:cs="仿宋_GB2312"/>
          <w:color w:val="auto"/>
          <w:sz w:val="32"/>
          <w:szCs w:val="32"/>
        </w:rPr>
        <w:t>年结转结余资金</w:t>
      </w:r>
      <w:r>
        <w:rPr>
          <w:rFonts w:ascii="仿宋_GB2312" w:eastAsia="仿宋_GB2312" w:cs="仿宋_GB2312"/>
          <w:color w:val="auto"/>
          <w:sz w:val="32"/>
          <w:szCs w:val="32"/>
        </w:rPr>
        <w:t>12.51</w:t>
      </w:r>
      <w:r>
        <w:rPr>
          <w:rFonts w:hint="eastAsia" w:ascii="仿宋_GB2312" w:eastAsia="仿宋_GB2312" w:cs="仿宋_GB2312"/>
          <w:color w:val="auto"/>
          <w:sz w:val="32"/>
          <w:szCs w:val="32"/>
        </w:rPr>
        <w:t>万元，决算收入</w:t>
      </w:r>
      <w:r>
        <w:rPr>
          <w:rFonts w:ascii="仿宋_GB2312" w:eastAsia="仿宋_GB2312" w:cs="仿宋_GB2312"/>
          <w:color w:val="auto"/>
          <w:sz w:val="32"/>
          <w:szCs w:val="32"/>
        </w:rPr>
        <w:t>184.9</w:t>
      </w:r>
      <w:r>
        <w:rPr>
          <w:rFonts w:hint="eastAsia" w:ascii="仿宋_GB2312" w:eastAsia="仿宋_GB2312" w:cs="仿宋_GB2312"/>
          <w:color w:val="auto"/>
          <w:sz w:val="32"/>
          <w:szCs w:val="32"/>
        </w:rPr>
        <w:t>万元，结转结余率</w:t>
      </w:r>
      <w:r>
        <w:rPr>
          <w:rFonts w:ascii="仿宋_GB2312" w:eastAsia="仿宋_GB2312" w:cs="仿宋_GB2312"/>
          <w:color w:val="auto"/>
          <w:sz w:val="32"/>
          <w:szCs w:val="32"/>
        </w:rPr>
        <w:t>0.07%</w:t>
      </w:r>
      <w:r>
        <w:rPr>
          <w:rFonts w:hint="eastAsia" w:ascii="仿宋_GB2312" w:eastAsia="仿宋_GB2312" w:cs="仿宋_GB2312"/>
          <w:color w:val="auto"/>
          <w:sz w:val="32"/>
          <w:szCs w:val="32"/>
        </w:rPr>
        <w:t>，小于（大于）</w:t>
      </w:r>
      <w:r>
        <w:rPr>
          <w:rFonts w:ascii="仿宋_GB2312" w:eastAsia="仿宋_GB2312" w:cs="仿宋_GB2312"/>
          <w:color w:val="auto"/>
          <w:sz w:val="32"/>
          <w:szCs w:val="32"/>
        </w:rPr>
        <w:t>5%</w:t>
      </w:r>
      <w:r>
        <w:rPr>
          <w:rFonts w:hint="eastAsia" w:ascii="仿宋_GB2312" w:eastAsia="仿宋_GB2312" w:cs="仿宋_GB2312"/>
          <w:color w:val="auto"/>
          <w:sz w:val="32"/>
          <w:szCs w:val="32"/>
        </w:rPr>
        <w:t>。</w:t>
      </w:r>
    </w:p>
    <w:p w14:paraId="4E79A5C7">
      <w:pPr>
        <w:spacing w:after="0" w:line="360" w:lineRule="auto"/>
        <w:ind w:firstLine="640" w:firstLineChars="200"/>
        <w:jc w:val="both"/>
        <w:textAlignment w:val="baseline"/>
        <w:rPr>
          <w:rFonts w:ascii="仿宋_GB2312" w:eastAsia="仿宋_GB2312"/>
          <w:color w:val="auto"/>
          <w:sz w:val="32"/>
          <w:szCs w:val="32"/>
        </w:rPr>
      </w:pPr>
      <w:r>
        <w:rPr>
          <w:rFonts w:hint="eastAsia" w:ascii="仿宋_GB2312" w:eastAsia="仿宋_GB2312" w:cs="仿宋_GB2312"/>
          <w:color w:val="auto"/>
          <w:sz w:val="32"/>
          <w:szCs w:val="32"/>
        </w:rPr>
        <w:t>该项指标实际得分</w:t>
      </w:r>
      <w:r>
        <w:rPr>
          <w:rFonts w:ascii="仿宋_GB2312" w:eastAsia="仿宋_GB2312" w:cs="仿宋_GB2312"/>
          <w:color w:val="auto"/>
          <w:sz w:val="32"/>
          <w:szCs w:val="32"/>
        </w:rPr>
        <w:t>5</w:t>
      </w:r>
      <w:r>
        <w:rPr>
          <w:rFonts w:hint="eastAsia" w:ascii="仿宋_GB2312" w:eastAsia="仿宋_GB2312" w:cs="仿宋_GB2312"/>
          <w:color w:val="auto"/>
          <w:sz w:val="32"/>
          <w:szCs w:val="32"/>
        </w:rPr>
        <w:t>分。</w:t>
      </w:r>
    </w:p>
    <w:p w14:paraId="3D44DC79">
      <w:pPr>
        <w:spacing w:after="0" w:line="360" w:lineRule="auto"/>
        <w:ind w:firstLine="640" w:firstLineChars="200"/>
        <w:jc w:val="both"/>
        <w:textAlignment w:val="baseline"/>
        <w:rPr>
          <w:rFonts w:ascii="仿宋_GB2312" w:eastAsia="仿宋_GB2312"/>
          <w:color w:val="auto"/>
          <w:sz w:val="32"/>
          <w:szCs w:val="32"/>
        </w:rPr>
      </w:pPr>
      <w:r>
        <w:rPr>
          <w:rFonts w:ascii="仿宋_GB2312" w:eastAsia="仿宋_GB2312" w:cs="仿宋_GB2312"/>
          <w:color w:val="auto"/>
          <w:sz w:val="32"/>
          <w:szCs w:val="32"/>
        </w:rPr>
        <w:t>2.</w:t>
      </w:r>
      <w:r>
        <w:rPr>
          <w:rFonts w:hint="eastAsia" w:ascii="仿宋_GB2312" w:eastAsia="仿宋_GB2312" w:cs="仿宋_GB2312"/>
          <w:color w:val="auto"/>
          <w:sz w:val="32"/>
          <w:szCs w:val="32"/>
        </w:rPr>
        <w:t>项目资金使用率（</w:t>
      </w:r>
      <w:r>
        <w:rPr>
          <w:rFonts w:ascii="仿宋_GB2312" w:eastAsia="仿宋_GB2312" w:cs="仿宋_GB2312"/>
          <w:color w:val="auto"/>
          <w:sz w:val="32"/>
          <w:szCs w:val="32"/>
        </w:rPr>
        <w:t>5</w:t>
      </w:r>
      <w:r>
        <w:rPr>
          <w:rFonts w:hint="eastAsia" w:ascii="仿宋_GB2312" w:eastAsia="仿宋_GB2312" w:cs="仿宋_GB2312"/>
          <w:color w:val="auto"/>
          <w:sz w:val="32"/>
          <w:szCs w:val="32"/>
        </w:rPr>
        <w:t>分）</w:t>
      </w:r>
    </w:p>
    <w:p w14:paraId="2628F346">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color w:val="auto"/>
          <w:sz w:val="32"/>
          <w:szCs w:val="32"/>
        </w:rPr>
        <w:t>该指标主要评价项目资金的使用效率，通过项目资金</w:t>
      </w:r>
      <w:r>
        <w:rPr>
          <w:rFonts w:hint="eastAsia" w:ascii="仿宋_GB2312" w:eastAsia="仿宋_GB2312" w:cs="仿宋_GB2312"/>
          <w:sz w:val="32"/>
          <w:szCs w:val="32"/>
        </w:rPr>
        <w:t>使用率来衡量。</w:t>
      </w:r>
    </w:p>
    <w:p w14:paraId="4E605958">
      <w:pPr>
        <w:spacing w:after="0" w:line="360" w:lineRule="auto"/>
        <w:ind w:firstLine="640" w:firstLineChars="200"/>
        <w:jc w:val="both"/>
        <w:textAlignment w:val="baseline"/>
        <w:rPr>
          <w:rFonts w:ascii="仿宋_GB2312" w:eastAsia="仿宋_GB2312"/>
          <w:color w:val="auto"/>
          <w:sz w:val="32"/>
          <w:szCs w:val="32"/>
        </w:rPr>
      </w:pPr>
      <w:r>
        <w:rPr>
          <w:rFonts w:hint="eastAsia" w:ascii="仿宋_GB2312" w:eastAsia="仿宋_GB2312" w:cs="仿宋_GB2312"/>
          <w:sz w:val="32"/>
          <w:szCs w:val="32"/>
        </w:rPr>
        <w:t>项目资金使用率</w:t>
      </w:r>
      <w:r>
        <w:rPr>
          <w:rFonts w:ascii="仿宋_GB2312" w:eastAsia="仿宋_GB2312" w:cs="仿宋_GB2312"/>
          <w:sz w:val="32"/>
          <w:szCs w:val="32"/>
        </w:rPr>
        <w:t>=</w:t>
      </w:r>
      <w:r>
        <w:rPr>
          <w:rFonts w:hint="eastAsia" w:ascii="仿宋_GB2312" w:eastAsia="仿宋_GB2312" w:cs="仿宋_GB2312"/>
          <w:sz w:val="32"/>
          <w:szCs w:val="32"/>
        </w:rPr>
        <w:t>（实际支出项目资金总额</w:t>
      </w:r>
      <w:r>
        <w:rPr>
          <w:rFonts w:ascii="仿宋_GB2312" w:eastAsia="仿宋_GB2312" w:cs="仿宋_GB2312"/>
          <w:sz w:val="32"/>
          <w:szCs w:val="32"/>
        </w:rPr>
        <w:t>/</w:t>
      </w:r>
      <w:r>
        <w:rPr>
          <w:rFonts w:hint="eastAsia" w:ascii="仿宋_GB2312" w:eastAsia="仿宋_GB2312" w:cs="仿宋_GB2312"/>
          <w:sz w:val="32"/>
          <w:szCs w:val="32"/>
        </w:rPr>
        <w:t>计划完整项</w:t>
      </w:r>
      <w:r>
        <w:rPr>
          <w:rFonts w:hint="eastAsia" w:ascii="仿宋_GB2312" w:eastAsia="仿宋_GB2312" w:cs="仿宋_GB2312"/>
          <w:color w:val="auto"/>
          <w:sz w:val="32"/>
          <w:szCs w:val="32"/>
        </w:rPr>
        <w:t>目资金总数）</w:t>
      </w:r>
      <w:r>
        <w:rPr>
          <w:rFonts w:ascii="仿宋_GB2312" w:eastAsia="仿宋_GB2312" w:cs="仿宋_GB2312"/>
          <w:color w:val="auto"/>
          <w:sz w:val="32"/>
          <w:szCs w:val="32"/>
        </w:rPr>
        <w:t>*100%</w:t>
      </w:r>
      <w:r>
        <w:rPr>
          <w:rFonts w:hint="eastAsia" w:ascii="仿宋_GB2312" w:eastAsia="仿宋_GB2312" w:cs="仿宋_GB2312"/>
          <w:color w:val="auto"/>
          <w:sz w:val="32"/>
          <w:szCs w:val="32"/>
        </w:rPr>
        <w:t>。</w:t>
      </w:r>
    </w:p>
    <w:p w14:paraId="7A7897EF">
      <w:pPr>
        <w:spacing w:after="0" w:line="360" w:lineRule="auto"/>
        <w:ind w:firstLine="640" w:firstLineChars="200"/>
        <w:jc w:val="both"/>
        <w:textAlignment w:val="baseline"/>
        <w:rPr>
          <w:rFonts w:ascii="仿宋_GB2312" w:eastAsia="仿宋_GB2312"/>
          <w:color w:val="auto"/>
          <w:sz w:val="32"/>
          <w:szCs w:val="32"/>
        </w:rPr>
      </w:pPr>
      <w:r>
        <w:rPr>
          <w:rFonts w:hint="eastAsia" w:ascii="仿宋_GB2312" w:eastAsia="仿宋_GB2312" w:cs="仿宋_GB2312"/>
          <w:color w:val="auto"/>
          <w:sz w:val="32"/>
          <w:szCs w:val="32"/>
        </w:rPr>
        <w:t>区总工会</w:t>
      </w:r>
      <w:r>
        <w:rPr>
          <w:rFonts w:ascii="仿宋_GB2312" w:eastAsia="仿宋_GB2312" w:cs="仿宋_GB2312"/>
          <w:color w:val="auto"/>
          <w:sz w:val="32"/>
          <w:szCs w:val="32"/>
        </w:rPr>
        <w:t>2019</w:t>
      </w:r>
      <w:r>
        <w:rPr>
          <w:rFonts w:hint="eastAsia" w:ascii="仿宋_GB2312" w:eastAsia="仿宋_GB2312" w:cs="仿宋_GB2312"/>
          <w:color w:val="auto"/>
          <w:sz w:val="32"/>
          <w:szCs w:val="32"/>
        </w:rPr>
        <w:t>年实际支出项目资金总额</w:t>
      </w:r>
      <w:r>
        <w:rPr>
          <w:rFonts w:ascii="仿宋_GB2312" w:eastAsia="仿宋_GB2312" w:cs="仿宋_GB2312"/>
          <w:color w:val="auto"/>
          <w:sz w:val="32"/>
          <w:szCs w:val="32"/>
        </w:rPr>
        <w:t>9.89</w:t>
      </w:r>
      <w:r>
        <w:rPr>
          <w:rFonts w:hint="eastAsia" w:ascii="仿宋_GB2312" w:eastAsia="仿宋_GB2312" w:cs="仿宋_GB2312"/>
          <w:color w:val="auto"/>
          <w:sz w:val="32"/>
          <w:szCs w:val="32"/>
        </w:rPr>
        <w:t>万元，年初预算共</w:t>
      </w:r>
      <w:r>
        <w:rPr>
          <w:rFonts w:ascii="仿宋_GB2312" w:eastAsia="仿宋_GB2312" w:cs="仿宋_GB2312"/>
          <w:color w:val="auto"/>
          <w:sz w:val="32"/>
          <w:szCs w:val="32"/>
        </w:rPr>
        <w:t>1</w:t>
      </w:r>
      <w:r>
        <w:rPr>
          <w:rFonts w:hint="eastAsia" w:ascii="仿宋_GB2312" w:eastAsia="仿宋_GB2312" w:cs="仿宋_GB2312"/>
          <w:color w:val="auto"/>
          <w:sz w:val="32"/>
          <w:szCs w:val="32"/>
        </w:rPr>
        <w:t>个项目，预算数</w:t>
      </w:r>
      <w:r>
        <w:rPr>
          <w:rFonts w:ascii="仿宋_GB2312" w:eastAsia="仿宋_GB2312" w:cs="仿宋_GB2312"/>
          <w:color w:val="auto"/>
          <w:sz w:val="32"/>
          <w:szCs w:val="32"/>
        </w:rPr>
        <w:t>9.89</w:t>
      </w:r>
      <w:r>
        <w:rPr>
          <w:rFonts w:hint="eastAsia" w:ascii="仿宋_GB2312" w:eastAsia="仿宋_GB2312" w:cs="仿宋_GB2312"/>
          <w:color w:val="auto"/>
          <w:sz w:val="32"/>
          <w:szCs w:val="32"/>
        </w:rPr>
        <w:t>万元，该指标实际得分</w:t>
      </w:r>
      <w:r>
        <w:rPr>
          <w:rFonts w:ascii="仿宋_GB2312" w:eastAsia="仿宋_GB2312" w:cs="仿宋_GB2312"/>
          <w:color w:val="auto"/>
          <w:sz w:val="32"/>
          <w:szCs w:val="32"/>
        </w:rPr>
        <w:t>5</w:t>
      </w:r>
      <w:r>
        <w:rPr>
          <w:rFonts w:hint="eastAsia" w:ascii="仿宋_GB2312" w:eastAsia="仿宋_GB2312" w:cs="仿宋_GB2312"/>
          <w:color w:val="auto"/>
          <w:sz w:val="32"/>
          <w:szCs w:val="32"/>
        </w:rPr>
        <w:t>分。</w:t>
      </w:r>
    </w:p>
    <w:p w14:paraId="4A337507">
      <w:pPr>
        <w:pStyle w:val="4"/>
        <w:spacing w:before="0" w:after="0"/>
        <w:ind w:firstLine="643" w:firstLineChars="200"/>
        <w:jc w:val="both"/>
        <w:rPr>
          <w:rFonts w:ascii="楷体" w:hAnsi="楷体" w:eastAsia="楷体" w:cs="Tahoma"/>
          <w:sz w:val="32"/>
          <w:szCs w:val="32"/>
        </w:rPr>
      </w:pPr>
      <w:bookmarkStart w:id="66" w:name="_Toc28363"/>
      <w:r>
        <w:rPr>
          <w:rFonts w:hint="eastAsia" w:ascii="楷体" w:hAnsi="楷体" w:eastAsia="楷体" w:cs="楷体"/>
          <w:sz w:val="32"/>
          <w:szCs w:val="32"/>
        </w:rPr>
        <w:t>（四）效果</w:t>
      </w:r>
      <w:bookmarkEnd w:id="64"/>
      <w:bookmarkEnd w:id="65"/>
      <w:r>
        <w:rPr>
          <w:rFonts w:hint="eastAsia" w:ascii="楷体" w:hAnsi="楷体" w:eastAsia="楷体" w:cs="楷体"/>
          <w:sz w:val="32"/>
          <w:szCs w:val="32"/>
        </w:rPr>
        <w:t>（</w:t>
      </w:r>
      <w:r>
        <w:rPr>
          <w:rFonts w:ascii="楷体" w:hAnsi="楷体" w:eastAsia="楷体" w:cs="楷体"/>
          <w:sz w:val="32"/>
          <w:szCs w:val="32"/>
        </w:rPr>
        <w:t>15</w:t>
      </w:r>
      <w:r>
        <w:rPr>
          <w:rFonts w:hint="eastAsia" w:ascii="楷体" w:hAnsi="楷体" w:eastAsia="楷体" w:cs="楷体"/>
          <w:sz w:val="32"/>
          <w:szCs w:val="32"/>
        </w:rPr>
        <w:t>分）</w:t>
      </w:r>
      <w:bookmarkEnd w:id="66"/>
    </w:p>
    <w:p w14:paraId="73790DC9">
      <w:pPr>
        <w:spacing w:after="0" w:line="360" w:lineRule="auto"/>
        <w:ind w:firstLine="640" w:firstLineChars="200"/>
        <w:jc w:val="both"/>
        <w:textAlignment w:val="baseline"/>
        <w:rPr>
          <w:rFonts w:ascii="仿宋_GB2312" w:eastAsia="仿宋_GB2312"/>
          <w:sz w:val="32"/>
          <w:szCs w:val="32"/>
        </w:rPr>
      </w:pPr>
      <w:bookmarkStart w:id="67" w:name="_Toc464638520"/>
      <w:r>
        <w:rPr>
          <w:rFonts w:hint="eastAsia" w:ascii="仿宋_GB2312" w:eastAsia="仿宋_GB2312" w:cs="仿宋_GB2312"/>
          <w:sz w:val="32"/>
          <w:szCs w:val="32"/>
        </w:rPr>
        <w:t>该一级指标包含履职效益一个二级指标。主要反映部门履行职责对社会发展所带来的直接或间接效益及社会公众或部门的服务对象对部门履职效果的满意程度。</w:t>
      </w:r>
    </w:p>
    <w:p w14:paraId="32B7CED6">
      <w:pPr>
        <w:spacing w:after="0" w:line="360" w:lineRule="auto"/>
        <w:jc w:val="center"/>
        <w:textAlignment w:val="baseline"/>
        <w:rPr>
          <w:rFonts w:ascii="宋体" w:hAnsi="宋体" w:eastAsia="宋体"/>
          <w:b/>
          <w:bCs/>
          <w:sz w:val="32"/>
          <w:szCs w:val="32"/>
        </w:rPr>
      </w:pPr>
      <w:r>
        <w:rPr>
          <w:rFonts w:hint="eastAsia" w:ascii="宋体" w:hAnsi="宋体" w:eastAsia="宋体" w:cs="宋体"/>
          <w:b/>
          <w:bCs/>
          <w:sz w:val="32"/>
          <w:szCs w:val="32"/>
        </w:rPr>
        <w:t>表</w:t>
      </w:r>
      <w:r>
        <w:rPr>
          <w:rFonts w:ascii="宋体" w:hAnsi="宋体" w:eastAsia="宋体" w:cs="宋体"/>
          <w:b/>
          <w:bCs/>
          <w:sz w:val="32"/>
          <w:szCs w:val="32"/>
        </w:rPr>
        <w:t xml:space="preserve">5  </w:t>
      </w:r>
      <w:r>
        <w:rPr>
          <w:rFonts w:hint="eastAsia" w:ascii="宋体" w:hAnsi="宋体" w:eastAsia="宋体" w:cs="宋体"/>
          <w:b/>
          <w:bCs/>
          <w:sz w:val="32"/>
          <w:szCs w:val="32"/>
        </w:rPr>
        <w:t>效果指标及得分情况表</w:t>
      </w:r>
    </w:p>
    <w:tbl>
      <w:tblPr>
        <w:tblStyle w:val="23"/>
        <w:tblW w:w="0" w:type="auto"/>
        <w:jc w:val="center"/>
        <w:tblLayout w:type="fixed"/>
        <w:tblCellMar>
          <w:top w:w="15" w:type="dxa"/>
          <w:left w:w="15" w:type="dxa"/>
          <w:bottom w:w="15" w:type="dxa"/>
          <w:right w:w="15" w:type="dxa"/>
        </w:tblCellMar>
      </w:tblPr>
      <w:tblGrid>
        <w:gridCol w:w="1468"/>
        <w:gridCol w:w="1155"/>
        <w:gridCol w:w="2130"/>
        <w:gridCol w:w="1200"/>
        <w:gridCol w:w="1045"/>
      </w:tblGrid>
      <w:tr w14:paraId="47D48B01">
        <w:tblPrEx>
          <w:tblCellMar>
            <w:top w:w="15" w:type="dxa"/>
            <w:left w:w="15" w:type="dxa"/>
            <w:bottom w:w="15" w:type="dxa"/>
            <w:right w:w="15" w:type="dxa"/>
          </w:tblCellMar>
        </w:tblPrEx>
        <w:trPr>
          <w:trHeight w:val="397" w:hRule="exact"/>
          <w:jc w:val="center"/>
        </w:trPr>
        <w:tc>
          <w:tcPr>
            <w:tcW w:w="1468" w:type="dxa"/>
            <w:tcBorders>
              <w:top w:val="single" w:color="000000" w:sz="4" w:space="0"/>
              <w:left w:val="single" w:color="000000" w:sz="4" w:space="0"/>
              <w:bottom w:val="single" w:color="000000" w:sz="4" w:space="0"/>
              <w:right w:val="single" w:color="000000" w:sz="4" w:space="0"/>
            </w:tcBorders>
            <w:vAlign w:val="center"/>
          </w:tcPr>
          <w:p w14:paraId="127BD79F">
            <w:pPr>
              <w:spacing w:after="0"/>
              <w:jc w:val="center"/>
              <w:textAlignment w:val="center"/>
              <w:rPr>
                <w:rFonts w:ascii="宋体" w:hAnsi="宋体" w:eastAsia="宋体"/>
                <w:b/>
                <w:bCs/>
                <w:color w:val="000000"/>
                <w:sz w:val="21"/>
                <w:szCs w:val="21"/>
              </w:rPr>
            </w:pPr>
            <w:r>
              <w:rPr>
                <w:rFonts w:hint="eastAsia" w:ascii="宋体" w:hAnsi="宋体" w:eastAsia="宋体" w:cs="宋体"/>
                <w:b/>
                <w:bCs/>
                <w:color w:val="000000"/>
                <w:sz w:val="21"/>
                <w:szCs w:val="21"/>
              </w:rPr>
              <w:t>一级指标</w:t>
            </w:r>
          </w:p>
        </w:tc>
        <w:tc>
          <w:tcPr>
            <w:tcW w:w="1155" w:type="dxa"/>
            <w:tcBorders>
              <w:top w:val="single" w:color="000000" w:sz="4" w:space="0"/>
              <w:left w:val="single" w:color="000000" w:sz="4" w:space="0"/>
              <w:bottom w:val="single" w:color="000000" w:sz="4" w:space="0"/>
              <w:right w:val="single" w:color="000000" w:sz="4" w:space="0"/>
            </w:tcBorders>
            <w:vAlign w:val="center"/>
          </w:tcPr>
          <w:p w14:paraId="5D17EEC1">
            <w:pPr>
              <w:spacing w:after="0"/>
              <w:jc w:val="center"/>
              <w:textAlignment w:val="center"/>
              <w:rPr>
                <w:rFonts w:ascii="宋体" w:hAnsi="宋体" w:eastAsia="宋体"/>
                <w:b/>
                <w:bCs/>
                <w:color w:val="000000"/>
                <w:sz w:val="21"/>
                <w:szCs w:val="21"/>
              </w:rPr>
            </w:pPr>
            <w:r>
              <w:rPr>
                <w:rFonts w:hint="eastAsia" w:ascii="宋体" w:hAnsi="宋体" w:eastAsia="宋体" w:cs="宋体"/>
                <w:b/>
                <w:bCs/>
                <w:color w:val="000000"/>
                <w:sz w:val="21"/>
                <w:szCs w:val="21"/>
              </w:rPr>
              <w:t>二级指标</w:t>
            </w:r>
          </w:p>
        </w:tc>
        <w:tc>
          <w:tcPr>
            <w:tcW w:w="2130" w:type="dxa"/>
            <w:tcBorders>
              <w:top w:val="single" w:color="000000" w:sz="4" w:space="0"/>
              <w:left w:val="single" w:color="000000" w:sz="4" w:space="0"/>
              <w:bottom w:val="single" w:color="000000" w:sz="4" w:space="0"/>
              <w:right w:val="single" w:color="000000" w:sz="4" w:space="0"/>
            </w:tcBorders>
            <w:vAlign w:val="center"/>
          </w:tcPr>
          <w:p w14:paraId="40BB0794">
            <w:pPr>
              <w:spacing w:after="0"/>
              <w:jc w:val="center"/>
              <w:textAlignment w:val="center"/>
              <w:rPr>
                <w:rFonts w:ascii="宋体" w:hAnsi="宋体" w:eastAsia="宋体"/>
                <w:b/>
                <w:bCs/>
                <w:color w:val="000000"/>
                <w:sz w:val="21"/>
                <w:szCs w:val="21"/>
              </w:rPr>
            </w:pPr>
            <w:r>
              <w:rPr>
                <w:rFonts w:hint="eastAsia" w:ascii="宋体" w:hAnsi="宋体" w:eastAsia="宋体" w:cs="宋体"/>
                <w:b/>
                <w:bCs/>
                <w:color w:val="000000"/>
                <w:sz w:val="21"/>
                <w:szCs w:val="21"/>
              </w:rPr>
              <w:t>三级指标</w:t>
            </w:r>
          </w:p>
        </w:tc>
        <w:tc>
          <w:tcPr>
            <w:tcW w:w="1200" w:type="dxa"/>
            <w:tcBorders>
              <w:top w:val="single" w:color="000000" w:sz="4" w:space="0"/>
              <w:left w:val="single" w:color="000000" w:sz="4" w:space="0"/>
              <w:bottom w:val="single" w:color="000000" w:sz="4" w:space="0"/>
              <w:right w:val="single" w:color="000000" w:sz="4" w:space="0"/>
            </w:tcBorders>
            <w:vAlign w:val="center"/>
          </w:tcPr>
          <w:p w14:paraId="16C9D8F9">
            <w:pPr>
              <w:spacing w:after="0"/>
              <w:jc w:val="center"/>
              <w:textAlignment w:val="center"/>
              <w:rPr>
                <w:rFonts w:ascii="宋体" w:hAnsi="宋体" w:eastAsia="宋体"/>
                <w:b/>
                <w:bCs/>
                <w:color w:val="000000"/>
                <w:sz w:val="21"/>
                <w:szCs w:val="21"/>
              </w:rPr>
            </w:pPr>
            <w:r>
              <w:rPr>
                <w:rFonts w:hint="eastAsia" w:ascii="宋体" w:hAnsi="宋体" w:eastAsia="宋体" w:cs="宋体"/>
                <w:b/>
                <w:bCs/>
                <w:color w:val="000000"/>
                <w:sz w:val="21"/>
                <w:szCs w:val="21"/>
              </w:rPr>
              <w:t>分数权重</w:t>
            </w:r>
          </w:p>
        </w:tc>
        <w:tc>
          <w:tcPr>
            <w:tcW w:w="1045" w:type="dxa"/>
            <w:tcBorders>
              <w:top w:val="single" w:color="000000" w:sz="4" w:space="0"/>
              <w:left w:val="single" w:color="000000" w:sz="4" w:space="0"/>
              <w:bottom w:val="single" w:color="000000" w:sz="4" w:space="0"/>
              <w:right w:val="single" w:color="000000" w:sz="4" w:space="0"/>
            </w:tcBorders>
            <w:vAlign w:val="center"/>
          </w:tcPr>
          <w:p w14:paraId="4035AA5D">
            <w:pPr>
              <w:spacing w:after="0"/>
              <w:jc w:val="center"/>
              <w:textAlignment w:val="center"/>
              <w:rPr>
                <w:rFonts w:ascii="宋体" w:hAnsi="宋体" w:eastAsia="宋体"/>
                <w:b/>
                <w:bCs/>
                <w:color w:val="000000"/>
                <w:sz w:val="21"/>
                <w:szCs w:val="21"/>
              </w:rPr>
            </w:pPr>
            <w:r>
              <w:rPr>
                <w:rFonts w:hint="eastAsia" w:ascii="宋体" w:hAnsi="宋体" w:eastAsia="宋体" w:cs="宋体"/>
                <w:b/>
                <w:bCs/>
                <w:color w:val="000000"/>
                <w:sz w:val="21"/>
                <w:szCs w:val="21"/>
              </w:rPr>
              <w:t>得分</w:t>
            </w:r>
          </w:p>
        </w:tc>
      </w:tr>
      <w:tr w14:paraId="78B87F5D">
        <w:tblPrEx>
          <w:tblCellMar>
            <w:top w:w="15" w:type="dxa"/>
            <w:left w:w="15" w:type="dxa"/>
            <w:bottom w:w="15" w:type="dxa"/>
            <w:right w:w="15" w:type="dxa"/>
          </w:tblCellMar>
        </w:tblPrEx>
        <w:trPr>
          <w:trHeight w:val="397" w:hRule="exact"/>
          <w:jc w:val="center"/>
        </w:trPr>
        <w:tc>
          <w:tcPr>
            <w:tcW w:w="1468" w:type="dxa"/>
            <w:vMerge w:val="restart"/>
            <w:tcBorders>
              <w:top w:val="single" w:color="000000" w:sz="4" w:space="0"/>
              <w:left w:val="single" w:color="000000" w:sz="4" w:space="0"/>
              <w:bottom w:val="single" w:color="000000" w:sz="4" w:space="0"/>
              <w:right w:val="single" w:color="000000" w:sz="4" w:space="0"/>
            </w:tcBorders>
            <w:vAlign w:val="center"/>
          </w:tcPr>
          <w:p w14:paraId="21FCC695">
            <w:pPr>
              <w:spacing w:after="0" w:line="420" w:lineRule="exact"/>
              <w:jc w:val="center"/>
              <w:rPr>
                <w:rFonts w:ascii="宋体" w:hAnsi="宋体" w:eastAsia="宋体"/>
                <w:sz w:val="21"/>
                <w:szCs w:val="21"/>
              </w:rPr>
            </w:pPr>
            <w:r>
              <w:rPr>
                <w:rFonts w:hint="eastAsia" w:ascii="宋体" w:hAnsi="宋体" w:eastAsia="宋体" w:cs="宋体"/>
                <w:sz w:val="21"/>
                <w:szCs w:val="21"/>
              </w:rPr>
              <w:t>项目效果</w:t>
            </w:r>
          </w:p>
          <w:p w14:paraId="7EA0487C">
            <w:pPr>
              <w:spacing w:after="0" w:line="420" w:lineRule="exact"/>
              <w:jc w:val="center"/>
              <w:rPr>
                <w:rFonts w:ascii="宋体" w:hAnsi="宋体" w:eastAsia="宋体"/>
                <w:sz w:val="21"/>
                <w:szCs w:val="21"/>
              </w:rPr>
            </w:pPr>
            <w:r>
              <w:rPr>
                <w:rFonts w:hint="eastAsia" w:ascii="宋体" w:hAnsi="宋体" w:eastAsia="宋体" w:cs="宋体"/>
                <w:sz w:val="21"/>
                <w:szCs w:val="21"/>
              </w:rPr>
              <w:t>（</w:t>
            </w:r>
            <w:r>
              <w:rPr>
                <w:rFonts w:ascii="宋体" w:hAnsi="宋体" w:eastAsia="宋体" w:cs="宋体"/>
                <w:sz w:val="21"/>
                <w:szCs w:val="21"/>
              </w:rPr>
              <w:t>15</w:t>
            </w:r>
            <w:r>
              <w:rPr>
                <w:rFonts w:hint="eastAsia" w:ascii="宋体" w:hAnsi="宋体" w:eastAsia="宋体" w:cs="宋体"/>
                <w:sz w:val="21"/>
                <w:szCs w:val="21"/>
              </w:rPr>
              <w:t>分）</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14:paraId="148CCCCF">
            <w:pPr>
              <w:spacing w:after="0" w:line="420" w:lineRule="exact"/>
              <w:jc w:val="center"/>
              <w:rPr>
                <w:rFonts w:ascii="宋体" w:hAnsi="宋体" w:eastAsia="宋体"/>
                <w:sz w:val="21"/>
                <w:szCs w:val="21"/>
              </w:rPr>
            </w:pPr>
            <w:r>
              <w:rPr>
                <w:rFonts w:hint="eastAsia" w:ascii="宋体" w:hAnsi="宋体" w:eastAsia="宋体" w:cs="宋体"/>
                <w:sz w:val="21"/>
                <w:szCs w:val="21"/>
              </w:rPr>
              <w:t>履职效益</w:t>
            </w:r>
          </w:p>
          <w:p w14:paraId="76C54CBC">
            <w:pPr>
              <w:spacing w:after="0" w:line="420" w:lineRule="exact"/>
              <w:jc w:val="center"/>
              <w:rPr>
                <w:rFonts w:ascii="宋体" w:hAnsi="宋体" w:eastAsia="宋体"/>
                <w:sz w:val="21"/>
                <w:szCs w:val="21"/>
              </w:rPr>
            </w:pPr>
            <w:r>
              <w:rPr>
                <w:rFonts w:hint="eastAsia" w:ascii="宋体" w:hAnsi="宋体" w:eastAsia="宋体" w:cs="宋体"/>
                <w:sz w:val="21"/>
                <w:szCs w:val="21"/>
              </w:rPr>
              <w:t>（</w:t>
            </w:r>
            <w:r>
              <w:rPr>
                <w:rFonts w:ascii="宋体" w:hAnsi="宋体" w:eastAsia="宋体" w:cs="宋体"/>
                <w:sz w:val="21"/>
                <w:szCs w:val="21"/>
              </w:rPr>
              <w:t>15</w:t>
            </w:r>
            <w:r>
              <w:rPr>
                <w:rFonts w:hint="eastAsia" w:ascii="宋体" w:hAnsi="宋体" w:eastAsia="宋体" w:cs="宋体"/>
                <w:sz w:val="21"/>
                <w:szCs w:val="21"/>
              </w:rPr>
              <w:t>分）</w:t>
            </w:r>
          </w:p>
        </w:tc>
        <w:tc>
          <w:tcPr>
            <w:tcW w:w="2130" w:type="dxa"/>
            <w:tcBorders>
              <w:top w:val="single" w:color="000000" w:sz="4" w:space="0"/>
              <w:left w:val="single" w:color="000000" w:sz="4" w:space="0"/>
              <w:bottom w:val="single" w:color="000000" w:sz="4" w:space="0"/>
              <w:right w:val="single" w:color="000000" w:sz="4" w:space="0"/>
            </w:tcBorders>
            <w:vAlign w:val="center"/>
          </w:tcPr>
          <w:p w14:paraId="13ED5EE0">
            <w:pPr>
              <w:spacing w:line="420" w:lineRule="exact"/>
              <w:jc w:val="center"/>
              <w:rPr>
                <w:rFonts w:ascii="宋体" w:hAnsi="宋体" w:eastAsia="宋体"/>
                <w:sz w:val="21"/>
                <w:szCs w:val="21"/>
              </w:rPr>
            </w:pPr>
            <w:r>
              <w:rPr>
                <w:rFonts w:hint="eastAsia" w:ascii="宋体" w:hAnsi="宋体" w:eastAsia="宋体" w:cs="宋体"/>
                <w:sz w:val="21"/>
                <w:szCs w:val="21"/>
              </w:rPr>
              <w:t>部门整体效益</w:t>
            </w:r>
          </w:p>
        </w:tc>
        <w:tc>
          <w:tcPr>
            <w:tcW w:w="1200" w:type="dxa"/>
            <w:tcBorders>
              <w:top w:val="single" w:color="000000" w:sz="4" w:space="0"/>
              <w:left w:val="single" w:color="000000" w:sz="4" w:space="0"/>
              <w:bottom w:val="single" w:color="000000" w:sz="4" w:space="0"/>
              <w:right w:val="single" w:color="000000" w:sz="4" w:space="0"/>
            </w:tcBorders>
            <w:vAlign w:val="center"/>
          </w:tcPr>
          <w:p w14:paraId="4F465F47">
            <w:pPr>
              <w:spacing w:line="420" w:lineRule="exact"/>
              <w:jc w:val="center"/>
              <w:rPr>
                <w:rFonts w:ascii="宋体" w:hAnsi="宋体" w:eastAsia="宋体" w:cs="宋体"/>
                <w:sz w:val="21"/>
                <w:szCs w:val="21"/>
              </w:rPr>
            </w:pPr>
            <w:r>
              <w:rPr>
                <w:rFonts w:ascii="宋体" w:hAnsi="宋体" w:eastAsia="宋体" w:cs="宋体"/>
                <w:sz w:val="21"/>
                <w:szCs w:val="21"/>
              </w:rPr>
              <w:t>10</w:t>
            </w:r>
          </w:p>
        </w:tc>
        <w:tc>
          <w:tcPr>
            <w:tcW w:w="1045" w:type="dxa"/>
            <w:tcBorders>
              <w:top w:val="single" w:color="000000" w:sz="4" w:space="0"/>
              <w:left w:val="single" w:color="000000" w:sz="4" w:space="0"/>
              <w:bottom w:val="single" w:color="000000" w:sz="4" w:space="0"/>
              <w:right w:val="single" w:color="000000" w:sz="4" w:space="0"/>
            </w:tcBorders>
            <w:vAlign w:val="center"/>
          </w:tcPr>
          <w:p w14:paraId="1CA5134A">
            <w:pPr>
              <w:spacing w:line="420" w:lineRule="exact"/>
              <w:jc w:val="center"/>
              <w:rPr>
                <w:rFonts w:ascii="宋体" w:hAnsi="宋体" w:eastAsia="宋体" w:cs="宋体"/>
                <w:sz w:val="21"/>
                <w:szCs w:val="21"/>
              </w:rPr>
            </w:pPr>
          </w:p>
        </w:tc>
      </w:tr>
      <w:tr w14:paraId="17D97708">
        <w:tblPrEx>
          <w:tblCellMar>
            <w:top w:w="15" w:type="dxa"/>
            <w:left w:w="15" w:type="dxa"/>
            <w:bottom w:w="15" w:type="dxa"/>
            <w:right w:w="15" w:type="dxa"/>
          </w:tblCellMar>
        </w:tblPrEx>
        <w:trPr>
          <w:trHeight w:val="397" w:hRule="exact"/>
          <w:jc w:val="center"/>
        </w:trPr>
        <w:tc>
          <w:tcPr>
            <w:tcW w:w="1468" w:type="dxa"/>
            <w:vMerge w:val="continue"/>
            <w:tcBorders>
              <w:top w:val="single" w:color="000000" w:sz="4" w:space="0"/>
              <w:left w:val="single" w:color="000000" w:sz="4" w:space="0"/>
              <w:bottom w:val="single" w:color="000000" w:sz="4" w:space="0"/>
              <w:right w:val="single" w:color="000000" w:sz="4" w:space="0"/>
            </w:tcBorders>
            <w:vAlign w:val="center"/>
          </w:tcPr>
          <w:p w14:paraId="0A2CD318">
            <w:pPr>
              <w:spacing w:line="420" w:lineRule="exact"/>
              <w:jc w:val="center"/>
              <w:rPr>
                <w:rFonts w:ascii="宋体" w:hAnsi="宋体" w:eastAsia="宋体"/>
                <w:sz w:val="21"/>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14:paraId="2111F69B">
            <w:pPr>
              <w:spacing w:line="420" w:lineRule="exact"/>
              <w:jc w:val="center"/>
              <w:rPr>
                <w:rFonts w:ascii="宋体" w:hAnsi="宋体" w:eastAsia="宋体"/>
                <w:sz w:val="21"/>
                <w:szCs w:val="21"/>
              </w:rPr>
            </w:pPr>
          </w:p>
        </w:tc>
        <w:tc>
          <w:tcPr>
            <w:tcW w:w="2130" w:type="dxa"/>
            <w:tcBorders>
              <w:top w:val="single" w:color="000000" w:sz="4" w:space="0"/>
              <w:left w:val="single" w:color="000000" w:sz="4" w:space="0"/>
              <w:bottom w:val="single" w:color="000000" w:sz="4" w:space="0"/>
              <w:right w:val="single" w:color="000000" w:sz="4" w:space="0"/>
            </w:tcBorders>
            <w:vAlign w:val="center"/>
          </w:tcPr>
          <w:p w14:paraId="57A6AEEE">
            <w:pPr>
              <w:spacing w:line="420" w:lineRule="exact"/>
              <w:jc w:val="center"/>
              <w:rPr>
                <w:rFonts w:ascii="宋体" w:hAnsi="宋体" w:eastAsia="宋体"/>
                <w:sz w:val="21"/>
                <w:szCs w:val="21"/>
              </w:rPr>
            </w:pPr>
            <w:r>
              <w:rPr>
                <w:rFonts w:hint="eastAsia" w:ascii="宋体" w:hAnsi="宋体" w:eastAsia="宋体" w:cs="宋体"/>
                <w:sz w:val="21"/>
                <w:szCs w:val="21"/>
              </w:rPr>
              <w:t>考评满意度</w:t>
            </w:r>
          </w:p>
        </w:tc>
        <w:tc>
          <w:tcPr>
            <w:tcW w:w="1200" w:type="dxa"/>
            <w:tcBorders>
              <w:top w:val="single" w:color="000000" w:sz="4" w:space="0"/>
              <w:left w:val="single" w:color="000000" w:sz="4" w:space="0"/>
              <w:bottom w:val="single" w:color="000000" w:sz="4" w:space="0"/>
              <w:right w:val="single" w:color="000000" w:sz="4" w:space="0"/>
            </w:tcBorders>
            <w:vAlign w:val="center"/>
          </w:tcPr>
          <w:p w14:paraId="692BE85C">
            <w:pPr>
              <w:spacing w:line="420" w:lineRule="exact"/>
              <w:jc w:val="center"/>
              <w:rPr>
                <w:rFonts w:ascii="宋体" w:hAnsi="宋体" w:eastAsia="宋体" w:cs="宋体"/>
                <w:sz w:val="21"/>
                <w:szCs w:val="21"/>
              </w:rPr>
            </w:pPr>
            <w:r>
              <w:rPr>
                <w:rFonts w:ascii="宋体" w:hAnsi="宋体" w:eastAsia="宋体" w:cs="宋体"/>
                <w:sz w:val="21"/>
                <w:szCs w:val="21"/>
              </w:rPr>
              <w:t>5</w:t>
            </w:r>
          </w:p>
        </w:tc>
        <w:tc>
          <w:tcPr>
            <w:tcW w:w="1045" w:type="dxa"/>
            <w:tcBorders>
              <w:top w:val="single" w:color="000000" w:sz="4" w:space="0"/>
              <w:left w:val="single" w:color="000000" w:sz="4" w:space="0"/>
              <w:bottom w:val="single" w:color="000000" w:sz="4" w:space="0"/>
              <w:right w:val="single" w:color="000000" w:sz="4" w:space="0"/>
            </w:tcBorders>
            <w:vAlign w:val="center"/>
          </w:tcPr>
          <w:p w14:paraId="45AF0F94">
            <w:pPr>
              <w:spacing w:line="420" w:lineRule="exact"/>
              <w:jc w:val="center"/>
              <w:rPr>
                <w:rFonts w:ascii="宋体" w:hAnsi="宋体" w:eastAsia="宋体" w:cs="宋体"/>
                <w:sz w:val="21"/>
                <w:szCs w:val="21"/>
              </w:rPr>
            </w:pPr>
          </w:p>
        </w:tc>
      </w:tr>
      <w:tr w14:paraId="6242A690">
        <w:tblPrEx>
          <w:tblCellMar>
            <w:top w:w="15" w:type="dxa"/>
            <w:left w:w="15" w:type="dxa"/>
            <w:bottom w:w="15" w:type="dxa"/>
            <w:right w:w="15" w:type="dxa"/>
          </w:tblCellMar>
        </w:tblPrEx>
        <w:trPr>
          <w:trHeight w:val="397" w:hRule="exact"/>
          <w:jc w:val="center"/>
        </w:trPr>
        <w:tc>
          <w:tcPr>
            <w:tcW w:w="2623" w:type="dxa"/>
            <w:gridSpan w:val="2"/>
            <w:tcBorders>
              <w:top w:val="single" w:color="000000" w:sz="4" w:space="0"/>
              <w:left w:val="single" w:color="000000" w:sz="4" w:space="0"/>
              <w:bottom w:val="single" w:color="000000" w:sz="4" w:space="0"/>
              <w:right w:val="single" w:color="000000" w:sz="4" w:space="0"/>
            </w:tcBorders>
            <w:vAlign w:val="center"/>
          </w:tcPr>
          <w:p w14:paraId="214BE563">
            <w:pPr>
              <w:spacing w:line="420" w:lineRule="exact"/>
              <w:jc w:val="center"/>
              <w:rPr>
                <w:rFonts w:ascii="宋体" w:hAnsi="宋体" w:eastAsia="宋体"/>
                <w:sz w:val="21"/>
                <w:szCs w:val="21"/>
              </w:rPr>
            </w:pPr>
            <w:r>
              <w:rPr>
                <w:rFonts w:hint="eastAsia" w:ascii="宋体" w:hAnsi="宋体" w:eastAsia="宋体" w:cs="宋体"/>
                <w:sz w:val="21"/>
                <w:szCs w:val="21"/>
              </w:rPr>
              <w:t>合计</w:t>
            </w:r>
          </w:p>
        </w:tc>
        <w:tc>
          <w:tcPr>
            <w:tcW w:w="2130" w:type="dxa"/>
            <w:tcBorders>
              <w:top w:val="single" w:color="000000" w:sz="4" w:space="0"/>
              <w:left w:val="single" w:color="000000" w:sz="4" w:space="0"/>
              <w:bottom w:val="single" w:color="000000" w:sz="4" w:space="0"/>
              <w:right w:val="single" w:color="000000" w:sz="4" w:space="0"/>
            </w:tcBorders>
            <w:vAlign w:val="center"/>
          </w:tcPr>
          <w:p w14:paraId="19CE23BF">
            <w:pPr>
              <w:spacing w:line="420" w:lineRule="exact"/>
              <w:jc w:val="center"/>
              <w:rPr>
                <w:rFonts w:ascii="宋体" w:hAnsi="宋体" w:eastAsia="宋体"/>
                <w:sz w:val="21"/>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14:paraId="1D559101">
            <w:pPr>
              <w:spacing w:line="420" w:lineRule="exact"/>
              <w:jc w:val="center"/>
              <w:rPr>
                <w:rFonts w:ascii="宋体" w:hAnsi="宋体" w:eastAsia="宋体" w:cs="宋体"/>
                <w:sz w:val="21"/>
                <w:szCs w:val="21"/>
              </w:rPr>
            </w:pPr>
            <w:r>
              <w:rPr>
                <w:rFonts w:ascii="宋体" w:hAnsi="宋体" w:eastAsia="宋体" w:cs="宋体"/>
                <w:sz w:val="21"/>
                <w:szCs w:val="21"/>
              </w:rPr>
              <w:t>15</w:t>
            </w:r>
          </w:p>
        </w:tc>
        <w:tc>
          <w:tcPr>
            <w:tcW w:w="1045" w:type="dxa"/>
            <w:tcBorders>
              <w:top w:val="single" w:color="000000" w:sz="4" w:space="0"/>
              <w:left w:val="single" w:color="000000" w:sz="4" w:space="0"/>
              <w:bottom w:val="single" w:color="000000" w:sz="4" w:space="0"/>
              <w:right w:val="single" w:color="000000" w:sz="4" w:space="0"/>
            </w:tcBorders>
            <w:vAlign w:val="center"/>
          </w:tcPr>
          <w:p w14:paraId="2A4E382E">
            <w:pPr>
              <w:spacing w:line="420" w:lineRule="exact"/>
              <w:jc w:val="center"/>
              <w:rPr>
                <w:rFonts w:ascii="宋体" w:hAnsi="宋体" w:eastAsia="宋体" w:cs="宋体"/>
                <w:sz w:val="21"/>
                <w:szCs w:val="21"/>
              </w:rPr>
            </w:pPr>
          </w:p>
        </w:tc>
      </w:tr>
      <w:bookmarkEnd w:id="67"/>
    </w:tbl>
    <w:p w14:paraId="671F0995">
      <w:pPr>
        <w:spacing w:after="0" w:line="360" w:lineRule="auto"/>
        <w:ind w:firstLine="640" w:firstLineChars="200"/>
        <w:jc w:val="both"/>
        <w:textAlignment w:val="baseline"/>
        <w:rPr>
          <w:rFonts w:ascii="仿宋_GB2312" w:eastAsia="仿宋_GB2312"/>
          <w:sz w:val="32"/>
          <w:szCs w:val="32"/>
        </w:rPr>
      </w:pPr>
      <w:bookmarkStart w:id="68" w:name="_Toc464638561"/>
      <w:bookmarkStart w:id="69" w:name="_Toc465149516"/>
      <w:bookmarkStart w:id="70" w:name="_Toc492652784"/>
      <w:r>
        <w:rPr>
          <w:rFonts w:ascii="仿宋_GB2312" w:eastAsia="仿宋_GB2312" w:cs="仿宋_GB2312"/>
          <w:sz w:val="32"/>
          <w:szCs w:val="32"/>
        </w:rPr>
        <w:t>1.</w:t>
      </w:r>
      <w:r>
        <w:rPr>
          <w:rFonts w:hint="eastAsia" w:ascii="仿宋_GB2312" w:eastAsia="仿宋_GB2312" w:cs="仿宋_GB2312"/>
          <w:sz w:val="32"/>
          <w:szCs w:val="32"/>
        </w:rPr>
        <w:t>部门整体效益（</w:t>
      </w:r>
      <w:r>
        <w:rPr>
          <w:rFonts w:ascii="仿宋_GB2312" w:eastAsia="仿宋_GB2312" w:cs="仿宋_GB2312"/>
          <w:sz w:val="32"/>
          <w:szCs w:val="32"/>
        </w:rPr>
        <w:t>10</w:t>
      </w:r>
      <w:r>
        <w:rPr>
          <w:rFonts w:hint="eastAsia" w:ascii="仿宋_GB2312" w:eastAsia="仿宋_GB2312" w:cs="仿宋_GB2312"/>
          <w:sz w:val="32"/>
          <w:szCs w:val="32"/>
        </w:rPr>
        <w:t>分）</w:t>
      </w:r>
    </w:p>
    <w:p w14:paraId="74A77A18">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该指标主要评价部门履行职责对社会发展所带来的直接或间接效益。</w:t>
      </w:r>
    </w:p>
    <w:p w14:paraId="29A64018">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经查看区总工会提供的相关资料，区总工会履行职责对社会发展所带来的社会效益较显著，有效的提高了社会公众的大局意识，减少了社会不稳定因素。</w:t>
      </w:r>
    </w:p>
    <w:p w14:paraId="163BBE26">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该项指标实际得分</w:t>
      </w:r>
      <w:r>
        <w:rPr>
          <w:rFonts w:ascii="仿宋_GB2312" w:eastAsia="仿宋_GB2312" w:cs="仿宋_GB2312"/>
          <w:sz w:val="32"/>
          <w:szCs w:val="32"/>
        </w:rPr>
        <w:t>10</w:t>
      </w:r>
      <w:r>
        <w:rPr>
          <w:rFonts w:hint="eastAsia" w:ascii="仿宋_GB2312" w:eastAsia="仿宋_GB2312" w:cs="仿宋_GB2312"/>
          <w:sz w:val="32"/>
          <w:szCs w:val="32"/>
        </w:rPr>
        <w:t>分。</w:t>
      </w:r>
    </w:p>
    <w:p w14:paraId="73A817B8">
      <w:pPr>
        <w:spacing w:after="0" w:line="360" w:lineRule="auto"/>
        <w:ind w:firstLine="640" w:firstLineChars="200"/>
        <w:jc w:val="both"/>
        <w:textAlignment w:val="baseline"/>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考评满意度（</w:t>
      </w:r>
      <w:r>
        <w:rPr>
          <w:rFonts w:ascii="仿宋_GB2312" w:eastAsia="仿宋_GB2312" w:cs="仿宋_GB2312"/>
          <w:sz w:val="32"/>
          <w:szCs w:val="32"/>
        </w:rPr>
        <w:t>5</w:t>
      </w:r>
      <w:r>
        <w:rPr>
          <w:rFonts w:hint="eastAsia" w:ascii="仿宋_GB2312" w:eastAsia="仿宋_GB2312" w:cs="仿宋_GB2312"/>
          <w:sz w:val="32"/>
          <w:szCs w:val="32"/>
        </w:rPr>
        <w:t>分）</w:t>
      </w:r>
    </w:p>
    <w:p w14:paraId="3381A328">
      <w:pPr>
        <w:spacing w:after="0" w:line="360" w:lineRule="auto"/>
        <w:ind w:firstLine="640" w:firstLineChars="200"/>
        <w:jc w:val="both"/>
        <w:textAlignment w:val="baseline"/>
        <w:rPr>
          <w:rFonts w:ascii="仿宋_GB2312" w:hAnsi="宋体" w:eastAsia="仿宋_GB2312"/>
          <w:sz w:val="32"/>
          <w:szCs w:val="32"/>
          <w:u w:color="000000"/>
        </w:rPr>
      </w:pPr>
      <w:r>
        <w:rPr>
          <w:rFonts w:hint="eastAsia" w:ascii="仿宋_GB2312" w:hAnsi="宋体" w:eastAsia="仿宋_GB2312" w:cs="仿宋_GB2312"/>
          <w:sz w:val="32"/>
          <w:szCs w:val="32"/>
          <w:u w:color="000000"/>
        </w:rPr>
        <w:t>该指标主要评价社会公众或部门的服务对象对部门履职效果的满意程度。</w:t>
      </w:r>
    </w:p>
    <w:p w14:paraId="20E23057">
      <w:pPr>
        <w:spacing w:after="0" w:line="360" w:lineRule="auto"/>
        <w:ind w:firstLine="640" w:firstLineChars="200"/>
        <w:jc w:val="both"/>
        <w:textAlignment w:val="baseline"/>
        <w:rPr>
          <w:rFonts w:ascii="仿宋_GB2312" w:hAnsi="宋体" w:eastAsia="仿宋_GB2312"/>
          <w:sz w:val="32"/>
          <w:szCs w:val="32"/>
          <w:u w:color="000000"/>
        </w:rPr>
      </w:pPr>
      <w:r>
        <w:rPr>
          <w:rFonts w:hint="eastAsia" w:ascii="仿宋_GB2312" w:hAnsi="宋体" w:eastAsia="仿宋_GB2312" w:cs="仿宋_GB2312"/>
          <w:sz w:val="32"/>
          <w:szCs w:val="32"/>
          <w:u w:color="000000"/>
        </w:rPr>
        <w:t>针对该指标，我们随机选取了</w:t>
      </w:r>
      <w:r>
        <w:rPr>
          <w:rFonts w:ascii="仿宋_GB2312" w:hAnsi="宋体" w:eastAsia="仿宋_GB2312" w:cs="仿宋_GB2312"/>
          <w:sz w:val="32"/>
          <w:szCs w:val="32"/>
          <w:u w:color="000000"/>
        </w:rPr>
        <w:t>50</w:t>
      </w:r>
      <w:r>
        <w:rPr>
          <w:rFonts w:hint="eastAsia" w:ascii="仿宋_GB2312" w:hAnsi="宋体" w:eastAsia="仿宋_GB2312" w:cs="仿宋_GB2312"/>
          <w:sz w:val="32"/>
          <w:szCs w:val="32"/>
          <w:u w:color="000000"/>
        </w:rPr>
        <w:t>个调查对象进行了问卷调查，具体调查情况如下：</w:t>
      </w:r>
    </w:p>
    <w:p w14:paraId="5625AB71">
      <w:pPr>
        <w:spacing w:after="0" w:line="360" w:lineRule="auto"/>
        <w:jc w:val="center"/>
        <w:textAlignment w:val="baseline"/>
        <w:rPr>
          <w:rFonts w:ascii="宋体" w:hAnsi="宋体" w:eastAsia="宋体"/>
          <w:b/>
          <w:bCs/>
          <w:sz w:val="32"/>
          <w:szCs w:val="32"/>
          <w:u w:color="000000"/>
        </w:rPr>
      </w:pPr>
      <w:r>
        <w:rPr>
          <w:rFonts w:hint="eastAsia" w:ascii="宋体" w:hAnsi="宋体" w:eastAsia="宋体" w:cs="宋体"/>
          <w:b/>
          <w:bCs/>
          <w:sz w:val="32"/>
          <w:szCs w:val="32"/>
          <w:u w:color="000000"/>
        </w:rPr>
        <w:t>表</w:t>
      </w:r>
      <w:r>
        <w:rPr>
          <w:rFonts w:ascii="宋体" w:hAnsi="宋体" w:eastAsia="宋体" w:cs="宋体"/>
          <w:b/>
          <w:bCs/>
          <w:sz w:val="32"/>
          <w:szCs w:val="32"/>
          <w:u w:color="000000"/>
        </w:rPr>
        <w:t xml:space="preserve">6  </w:t>
      </w:r>
      <w:r>
        <w:rPr>
          <w:rFonts w:hint="eastAsia" w:ascii="宋体" w:hAnsi="宋体" w:eastAsia="宋体" w:cs="宋体"/>
          <w:b/>
          <w:bCs/>
          <w:sz w:val="32"/>
          <w:szCs w:val="32"/>
          <w:u w:color="000000"/>
        </w:rPr>
        <w:t>服务对象满意度调查问卷汇总表</w:t>
      </w:r>
    </w:p>
    <w:p w14:paraId="5410DA97">
      <w:pPr>
        <w:spacing w:after="0" w:line="540" w:lineRule="exact"/>
        <w:ind w:firstLine="6930" w:firstLineChars="3300"/>
        <w:jc w:val="both"/>
        <w:textAlignment w:val="baseline"/>
        <w:rPr>
          <w:rFonts w:ascii="仿宋_GB2312" w:hAnsi="宋体" w:eastAsia="仿宋_GB2312"/>
          <w:sz w:val="32"/>
          <w:szCs w:val="32"/>
          <w:u w:color="000000"/>
        </w:rPr>
      </w:pPr>
      <w:r>
        <w:rPr>
          <w:rFonts w:hint="eastAsia" w:ascii="宋体" w:hAnsi="宋体" w:eastAsia="宋体" w:cs="宋体"/>
          <w:sz w:val="21"/>
          <w:szCs w:val="21"/>
          <w:u w:color="000000"/>
        </w:rPr>
        <w:t>单位：人次</w:t>
      </w:r>
    </w:p>
    <w:tbl>
      <w:tblPr>
        <w:tblStyle w:val="23"/>
        <w:tblW w:w="7948" w:type="dxa"/>
        <w:jc w:val="center"/>
        <w:tblLayout w:type="fixed"/>
        <w:tblCellMar>
          <w:top w:w="15" w:type="dxa"/>
          <w:left w:w="15" w:type="dxa"/>
          <w:bottom w:w="15" w:type="dxa"/>
          <w:right w:w="15" w:type="dxa"/>
        </w:tblCellMar>
      </w:tblPr>
      <w:tblGrid>
        <w:gridCol w:w="2834"/>
        <w:gridCol w:w="1114"/>
        <w:gridCol w:w="1134"/>
        <w:gridCol w:w="1218"/>
        <w:gridCol w:w="767"/>
        <w:gridCol w:w="881"/>
      </w:tblGrid>
      <w:tr w14:paraId="3C618A19">
        <w:tblPrEx>
          <w:tblCellMar>
            <w:top w:w="15" w:type="dxa"/>
            <w:left w:w="15" w:type="dxa"/>
            <w:bottom w:w="15" w:type="dxa"/>
            <w:right w:w="15" w:type="dxa"/>
          </w:tblCellMar>
        </w:tblPrEx>
        <w:trPr>
          <w:trHeight w:val="525" w:hRule="atLeast"/>
          <w:jc w:val="center"/>
        </w:trPr>
        <w:tc>
          <w:tcPr>
            <w:tcW w:w="2834" w:type="dxa"/>
            <w:tcBorders>
              <w:top w:val="single" w:color="auto" w:sz="4" w:space="0"/>
              <w:left w:val="single" w:color="auto" w:sz="4" w:space="0"/>
              <w:bottom w:val="single" w:color="auto" w:sz="4" w:space="0"/>
              <w:right w:val="single" w:color="auto" w:sz="4" w:space="0"/>
            </w:tcBorders>
            <w:vAlign w:val="center"/>
          </w:tcPr>
          <w:p w14:paraId="14ED114B">
            <w:pPr>
              <w:spacing w:after="0" w:line="540" w:lineRule="exact"/>
              <w:jc w:val="center"/>
              <w:textAlignment w:val="baseline"/>
              <w:rPr>
                <w:rFonts w:ascii="宋体" w:hAnsi="宋体" w:eastAsia="宋体"/>
                <w:b/>
                <w:bCs/>
                <w:sz w:val="21"/>
                <w:szCs w:val="21"/>
                <w:u w:color="000000"/>
              </w:rPr>
            </w:pPr>
            <w:r>
              <w:rPr>
                <w:rFonts w:hint="eastAsia" w:ascii="宋体" w:hAnsi="宋体" w:eastAsia="宋体" w:cs="宋体"/>
                <w:b/>
                <w:bCs/>
                <w:sz w:val="21"/>
                <w:szCs w:val="21"/>
                <w:u w:color="000000"/>
              </w:rPr>
              <w:t>调查项目</w:t>
            </w:r>
          </w:p>
        </w:tc>
        <w:tc>
          <w:tcPr>
            <w:tcW w:w="1114" w:type="dxa"/>
            <w:tcBorders>
              <w:top w:val="single" w:color="auto" w:sz="4" w:space="0"/>
              <w:left w:val="single" w:color="auto" w:sz="4" w:space="0"/>
              <w:bottom w:val="single" w:color="auto" w:sz="4" w:space="0"/>
              <w:right w:val="single" w:color="auto" w:sz="4" w:space="0"/>
            </w:tcBorders>
            <w:vAlign w:val="center"/>
          </w:tcPr>
          <w:p w14:paraId="630705CA">
            <w:pPr>
              <w:spacing w:after="0" w:line="540" w:lineRule="exact"/>
              <w:jc w:val="center"/>
              <w:textAlignment w:val="baseline"/>
              <w:rPr>
                <w:rFonts w:ascii="宋体" w:hAnsi="宋体" w:eastAsia="宋体"/>
                <w:b/>
                <w:bCs/>
                <w:sz w:val="21"/>
                <w:szCs w:val="21"/>
                <w:u w:color="000000"/>
              </w:rPr>
            </w:pPr>
            <w:r>
              <w:rPr>
                <w:rFonts w:hint="eastAsia" w:ascii="宋体" w:hAnsi="宋体" w:eastAsia="宋体" w:cs="宋体"/>
                <w:b/>
                <w:bCs/>
                <w:sz w:val="21"/>
                <w:szCs w:val="21"/>
                <w:u w:color="000000"/>
              </w:rPr>
              <w:t>满意</w:t>
            </w:r>
          </w:p>
        </w:tc>
        <w:tc>
          <w:tcPr>
            <w:tcW w:w="1134" w:type="dxa"/>
            <w:tcBorders>
              <w:top w:val="single" w:color="auto" w:sz="4" w:space="0"/>
              <w:left w:val="single" w:color="auto" w:sz="4" w:space="0"/>
              <w:bottom w:val="single" w:color="auto" w:sz="4" w:space="0"/>
              <w:right w:val="single" w:color="auto" w:sz="4" w:space="0"/>
            </w:tcBorders>
            <w:vAlign w:val="center"/>
          </w:tcPr>
          <w:p w14:paraId="64D1D16B">
            <w:pPr>
              <w:spacing w:after="0" w:line="540" w:lineRule="exact"/>
              <w:jc w:val="center"/>
              <w:textAlignment w:val="baseline"/>
              <w:rPr>
                <w:rFonts w:ascii="宋体" w:hAnsi="宋体" w:eastAsia="宋体"/>
                <w:b/>
                <w:bCs/>
                <w:sz w:val="21"/>
                <w:szCs w:val="21"/>
                <w:u w:color="000000"/>
              </w:rPr>
            </w:pPr>
            <w:r>
              <w:rPr>
                <w:rFonts w:hint="eastAsia" w:ascii="宋体" w:hAnsi="宋体" w:eastAsia="宋体" w:cs="宋体"/>
                <w:b/>
                <w:bCs/>
                <w:sz w:val="21"/>
                <w:szCs w:val="21"/>
                <w:u w:color="000000"/>
              </w:rPr>
              <w:t>一般</w:t>
            </w:r>
          </w:p>
        </w:tc>
        <w:tc>
          <w:tcPr>
            <w:tcW w:w="1218" w:type="dxa"/>
            <w:tcBorders>
              <w:top w:val="single" w:color="auto" w:sz="4" w:space="0"/>
              <w:left w:val="single" w:color="auto" w:sz="4" w:space="0"/>
              <w:bottom w:val="single" w:color="auto" w:sz="4" w:space="0"/>
              <w:right w:val="single" w:color="auto" w:sz="4" w:space="0"/>
            </w:tcBorders>
            <w:vAlign w:val="center"/>
          </w:tcPr>
          <w:p w14:paraId="3004AECB">
            <w:pPr>
              <w:spacing w:after="0" w:line="540" w:lineRule="exact"/>
              <w:jc w:val="center"/>
              <w:textAlignment w:val="baseline"/>
              <w:rPr>
                <w:rFonts w:ascii="宋体" w:hAnsi="宋体" w:eastAsia="宋体"/>
                <w:b/>
                <w:bCs/>
                <w:sz w:val="21"/>
                <w:szCs w:val="21"/>
                <w:u w:color="000000"/>
              </w:rPr>
            </w:pPr>
            <w:r>
              <w:rPr>
                <w:rFonts w:hint="eastAsia" w:ascii="宋体" w:hAnsi="宋体" w:eastAsia="宋体" w:cs="宋体"/>
                <w:b/>
                <w:bCs/>
                <w:sz w:val="21"/>
                <w:szCs w:val="21"/>
                <w:u w:color="000000"/>
              </w:rPr>
              <w:t>不满意</w:t>
            </w:r>
          </w:p>
        </w:tc>
        <w:tc>
          <w:tcPr>
            <w:tcW w:w="767" w:type="dxa"/>
            <w:tcBorders>
              <w:top w:val="single" w:color="auto" w:sz="4" w:space="0"/>
              <w:left w:val="single" w:color="auto" w:sz="4" w:space="0"/>
              <w:bottom w:val="single" w:color="auto" w:sz="4" w:space="0"/>
              <w:right w:val="single" w:color="auto" w:sz="4" w:space="0"/>
            </w:tcBorders>
            <w:vAlign w:val="center"/>
          </w:tcPr>
          <w:p w14:paraId="41C33B74">
            <w:pPr>
              <w:spacing w:after="0" w:line="540" w:lineRule="exact"/>
              <w:jc w:val="center"/>
              <w:textAlignment w:val="baseline"/>
              <w:rPr>
                <w:rFonts w:ascii="宋体" w:hAnsi="宋体" w:eastAsia="宋体"/>
                <w:b/>
                <w:bCs/>
                <w:sz w:val="21"/>
                <w:szCs w:val="21"/>
                <w:u w:color="000000"/>
              </w:rPr>
            </w:pPr>
            <w:r>
              <w:rPr>
                <w:rFonts w:hint="eastAsia" w:ascii="宋体" w:hAnsi="宋体" w:eastAsia="宋体" w:cs="宋体"/>
                <w:b/>
                <w:bCs/>
                <w:sz w:val="21"/>
                <w:szCs w:val="21"/>
                <w:u w:color="000000"/>
              </w:rPr>
              <w:t>合计</w:t>
            </w:r>
          </w:p>
        </w:tc>
        <w:tc>
          <w:tcPr>
            <w:tcW w:w="881" w:type="dxa"/>
            <w:tcBorders>
              <w:top w:val="single" w:color="auto" w:sz="4" w:space="0"/>
              <w:left w:val="single" w:color="auto" w:sz="4" w:space="0"/>
              <w:bottom w:val="single" w:color="auto" w:sz="4" w:space="0"/>
              <w:right w:val="single" w:color="auto" w:sz="4" w:space="0"/>
            </w:tcBorders>
            <w:vAlign w:val="center"/>
          </w:tcPr>
          <w:p w14:paraId="52921319">
            <w:pPr>
              <w:spacing w:after="0" w:line="540" w:lineRule="exact"/>
              <w:jc w:val="center"/>
              <w:textAlignment w:val="baseline"/>
              <w:rPr>
                <w:rFonts w:ascii="宋体" w:hAnsi="宋体" w:eastAsia="宋体"/>
                <w:b/>
                <w:bCs/>
                <w:sz w:val="21"/>
                <w:szCs w:val="21"/>
                <w:u w:color="000000"/>
              </w:rPr>
            </w:pPr>
            <w:r>
              <w:rPr>
                <w:rFonts w:hint="eastAsia" w:ascii="宋体" w:hAnsi="宋体" w:eastAsia="宋体" w:cs="宋体"/>
                <w:b/>
                <w:bCs/>
                <w:sz w:val="21"/>
                <w:szCs w:val="21"/>
                <w:u w:color="000000"/>
              </w:rPr>
              <w:t>单项得分</w:t>
            </w:r>
          </w:p>
        </w:tc>
      </w:tr>
      <w:tr w14:paraId="3476DDDA">
        <w:tblPrEx>
          <w:tblCellMar>
            <w:top w:w="15" w:type="dxa"/>
            <w:left w:w="15" w:type="dxa"/>
            <w:bottom w:w="15" w:type="dxa"/>
            <w:right w:w="15" w:type="dxa"/>
          </w:tblCellMar>
        </w:tblPrEx>
        <w:trPr>
          <w:trHeight w:val="59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14:paraId="7888BAF1">
            <w:pPr>
              <w:spacing w:after="0" w:line="360" w:lineRule="auto"/>
              <w:jc w:val="both"/>
              <w:textAlignment w:val="baseline"/>
              <w:rPr>
                <w:rFonts w:ascii="宋体" w:hAnsi="宋体" w:eastAsia="宋体"/>
                <w:sz w:val="21"/>
                <w:szCs w:val="21"/>
                <w:u w:color="000000"/>
              </w:rPr>
            </w:pPr>
            <w:r>
              <w:rPr>
                <w:rFonts w:hint="eastAsia" w:ascii="宋体" w:hAnsi="宋体" w:eastAsia="宋体" w:cs="宋体"/>
                <w:sz w:val="21"/>
                <w:szCs w:val="21"/>
                <w:u w:color="000000"/>
              </w:rPr>
              <w:t>某项具体工作</w:t>
            </w:r>
          </w:p>
        </w:tc>
        <w:tc>
          <w:tcPr>
            <w:tcW w:w="1114" w:type="dxa"/>
            <w:tcBorders>
              <w:top w:val="single" w:color="000000" w:sz="4" w:space="0"/>
              <w:left w:val="single" w:color="000000" w:sz="4" w:space="0"/>
              <w:bottom w:val="single" w:color="000000" w:sz="4" w:space="0"/>
              <w:right w:val="single" w:color="000000" w:sz="4" w:space="0"/>
            </w:tcBorders>
            <w:vAlign w:val="center"/>
          </w:tcPr>
          <w:p w14:paraId="2A0F1D86">
            <w:pPr>
              <w:spacing w:after="0" w:line="360" w:lineRule="auto"/>
              <w:jc w:val="center"/>
              <w:textAlignment w:val="baseline"/>
              <w:rPr>
                <w:rFonts w:ascii="宋体" w:hAnsi="宋体" w:eastAsia="宋体"/>
                <w:sz w:val="21"/>
                <w:szCs w:val="21"/>
                <w:u w:color="000000"/>
              </w:rPr>
            </w:pPr>
            <w:r>
              <w:rPr>
                <w:rFonts w:ascii="宋体" w:hAnsi="宋体" w:eastAsia="宋体" w:cs="宋体"/>
                <w:sz w:val="21"/>
                <w:szCs w:val="21"/>
                <w:u w:color="000000"/>
              </w:rPr>
              <w:t>50</w:t>
            </w:r>
          </w:p>
        </w:tc>
        <w:tc>
          <w:tcPr>
            <w:tcW w:w="1134" w:type="dxa"/>
            <w:tcBorders>
              <w:top w:val="single" w:color="000000" w:sz="4" w:space="0"/>
              <w:left w:val="single" w:color="000000" w:sz="4" w:space="0"/>
              <w:bottom w:val="single" w:color="000000" w:sz="4" w:space="0"/>
              <w:right w:val="single" w:color="000000" w:sz="4" w:space="0"/>
            </w:tcBorders>
            <w:vAlign w:val="center"/>
          </w:tcPr>
          <w:p w14:paraId="7237AAC5">
            <w:pPr>
              <w:spacing w:after="0" w:line="360" w:lineRule="auto"/>
              <w:jc w:val="center"/>
              <w:textAlignment w:val="baseline"/>
              <w:rPr>
                <w:rFonts w:ascii="宋体" w:hAnsi="宋体" w:eastAsia="宋体" w:cs="宋体"/>
                <w:sz w:val="21"/>
                <w:szCs w:val="21"/>
                <w:u w:color="000000"/>
              </w:rPr>
            </w:pPr>
            <w:r>
              <w:rPr>
                <w:rFonts w:ascii="宋体" w:hAnsi="宋体" w:eastAsia="宋体" w:cs="宋体"/>
                <w:sz w:val="21"/>
                <w:szCs w:val="21"/>
                <w:u w:color="000000"/>
              </w:rPr>
              <w:t>x</w:t>
            </w:r>
          </w:p>
        </w:tc>
        <w:tc>
          <w:tcPr>
            <w:tcW w:w="1218" w:type="dxa"/>
            <w:tcBorders>
              <w:top w:val="single" w:color="000000" w:sz="4" w:space="0"/>
              <w:left w:val="single" w:color="000000" w:sz="4" w:space="0"/>
              <w:bottom w:val="single" w:color="000000" w:sz="4" w:space="0"/>
              <w:right w:val="single" w:color="000000" w:sz="4" w:space="0"/>
            </w:tcBorders>
            <w:vAlign w:val="center"/>
          </w:tcPr>
          <w:p w14:paraId="06953875">
            <w:pPr>
              <w:spacing w:after="0" w:line="360" w:lineRule="auto"/>
              <w:jc w:val="center"/>
              <w:textAlignment w:val="baseline"/>
              <w:rPr>
                <w:rFonts w:ascii="宋体" w:hAnsi="宋体" w:eastAsia="宋体" w:cs="宋体"/>
                <w:sz w:val="21"/>
                <w:szCs w:val="21"/>
                <w:u w:color="000000"/>
              </w:rPr>
            </w:pPr>
            <w:r>
              <w:rPr>
                <w:rFonts w:ascii="宋体" w:hAnsi="宋体" w:eastAsia="宋体" w:cs="宋体"/>
                <w:sz w:val="21"/>
                <w:szCs w:val="21"/>
                <w:u w:color="000000"/>
              </w:rPr>
              <w:t>x</w:t>
            </w:r>
          </w:p>
        </w:tc>
        <w:tc>
          <w:tcPr>
            <w:tcW w:w="767" w:type="dxa"/>
            <w:tcBorders>
              <w:top w:val="single" w:color="000000" w:sz="4" w:space="0"/>
              <w:left w:val="single" w:color="000000" w:sz="4" w:space="0"/>
              <w:bottom w:val="single" w:color="000000" w:sz="4" w:space="0"/>
              <w:right w:val="single" w:color="000000" w:sz="4" w:space="0"/>
            </w:tcBorders>
            <w:vAlign w:val="center"/>
          </w:tcPr>
          <w:p w14:paraId="31920C0B">
            <w:pPr>
              <w:spacing w:after="0" w:line="360" w:lineRule="auto"/>
              <w:jc w:val="center"/>
              <w:textAlignment w:val="baseline"/>
              <w:rPr>
                <w:rFonts w:ascii="宋体" w:hAnsi="宋体" w:eastAsia="宋体" w:cs="宋体"/>
                <w:sz w:val="21"/>
                <w:szCs w:val="21"/>
                <w:u w:color="000000"/>
              </w:rPr>
            </w:pPr>
            <w:r>
              <w:rPr>
                <w:rFonts w:ascii="宋体" w:hAnsi="宋体" w:eastAsia="宋体" w:cs="宋体"/>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14:paraId="7B321109">
            <w:pPr>
              <w:spacing w:after="0" w:line="360" w:lineRule="auto"/>
              <w:jc w:val="center"/>
              <w:textAlignment w:val="baseline"/>
              <w:rPr>
                <w:rFonts w:ascii="宋体" w:hAnsi="宋体" w:eastAsia="宋体" w:cs="宋体"/>
                <w:sz w:val="21"/>
                <w:szCs w:val="21"/>
                <w:u w:color="000000"/>
              </w:rPr>
            </w:pPr>
            <w:r>
              <w:rPr>
                <w:rFonts w:ascii="宋体" w:hAnsi="宋体" w:eastAsia="宋体" w:cs="宋体"/>
                <w:sz w:val="21"/>
                <w:szCs w:val="21"/>
                <w:u w:color="000000"/>
              </w:rPr>
              <w:t>xx</w:t>
            </w:r>
          </w:p>
        </w:tc>
      </w:tr>
      <w:tr w14:paraId="40097BD9">
        <w:tblPrEx>
          <w:tblCellMar>
            <w:top w:w="15" w:type="dxa"/>
            <w:left w:w="15" w:type="dxa"/>
            <w:bottom w:w="15" w:type="dxa"/>
            <w:right w:w="15" w:type="dxa"/>
          </w:tblCellMar>
        </w:tblPrEx>
        <w:trPr>
          <w:trHeight w:val="51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14:paraId="7515284E">
            <w:pPr>
              <w:spacing w:after="0" w:line="360" w:lineRule="auto"/>
              <w:jc w:val="both"/>
              <w:textAlignment w:val="baseline"/>
              <w:rPr>
                <w:rFonts w:ascii="宋体" w:hAnsi="宋体" w:eastAsia="宋体"/>
                <w:sz w:val="21"/>
                <w:szCs w:val="21"/>
                <w:u w:color="000000"/>
              </w:rPr>
            </w:pPr>
            <w:r>
              <w:rPr>
                <w:rFonts w:hint="eastAsia" w:ascii="宋体" w:hAnsi="宋体" w:eastAsia="宋体" w:cs="宋体"/>
                <w:sz w:val="21"/>
                <w:szCs w:val="21"/>
                <w:u w:color="000000"/>
              </w:rPr>
              <w:t>某项具体工作是否满意</w:t>
            </w:r>
          </w:p>
        </w:tc>
        <w:tc>
          <w:tcPr>
            <w:tcW w:w="1114" w:type="dxa"/>
            <w:tcBorders>
              <w:top w:val="single" w:color="000000" w:sz="4" w:space="0"/>
              <w:left w:val="single" w:color="000000" w:sz="4" w:space="0"/>
              <w:bottom w:val="single" w:color="000000" w:sz="4" w:space="0"/>
              <w:right w:val="single" w:color="000000" w:sz="4" w:space="0"/>
            </w:tcBorders>
            <w:vAlign w:val="center"/>
          </w:tcPr>
          <w:p w14:paraId="12299B12">
            <w:pPr>
              <w:spacing w:after="0" w:line="360" w:lineRule="auto"/>
              <w:jc w:val="center"/>
              <w:textAlignment w:val="baseline"/>
              <w:rPr>
                <w:rFonts w:ascii="宋体" w:hAnsi="宋体" w:eastAsia="宋体"/>
                <w:sz w:val="21"/>
                <w:szCs w:val="21"/>
                <w:u w:color="000000"/>
              </w:rPr>
            </w:pPr>
            <w:r>
              <w:rPr>
                <w:rFonts w:ascii="宋体" w:hAnsi="宋体" w:eastAsia="宋体" w:cs="宋体"/>
                <w:sz w:val="21"/>
                <w:szCs w:val="21"/>
                <w:u w:color="000000"/>
              </w:rPr>
              <w:t>50</w:t>
            </w:r>
          </w:p>
        </w:tc>
        <w:tc>
          <w:tcPr>
            <w:tcW w:w="1134" w:type="dxa"/>
            <w:tcBorders>
              <w:top w:val="single" w:color="000000" w:sz="4" w:space="0"/>
              <w:left w:val="single" w:color="000000" w:sz="4" w:space="0"/>
              <w:bottom w:val="single" w:color="000000" w:sz="4" w:space="0"/>
              <w:right w:val="single" w:color="000000" w:sz="4" w:space="0"/>
            </w:tcBorders>
            <w:vAlign w:val="center"/>
          </w:tcPr>
          <w:p w14:paraId="11B8D9A0">
            <w:pPr>
              <w:spacing w:after="0" w:line="360" w:lineRule="auto"/>
              <w:jc w:val="center"/>
              <w:textAlignment w:val="baseline"/>
              <w:rPr>
                <w:rFonts w:ascii="宋体" w:hAnsi="宋体" w:eastAsia="宋体" w:cs="宋体"/>
                <w:sz w:val="21"/>
                <w:szCs w:val="21"/>
                <w:u w:color="000000"/>
              </w:rPr>
            </w:pPr>
            <w:r>
              <w:rPr>
                <w:rFonts w:ascii="宋体" w:hAnsi="宋体" w:eastAsia="宋体" w:cs="宋体"/>
                <w:sz w:val="21"/>
                <w:szCs w:val="21"/>
                <w:u w:color="000000"/>
              </w:rPr>
              <w:t>x</w:t>
            </w:r>
          </w:p>
        </w:tc>
        <w:tc>
          <w:tcPr>
            <w:tcW w:w="1218" w:type="dxa"/>
            <w:tcBorders>
              <w:top w:val="single" w:color="000000" w:sz="4" w:space="0"/>
              <w:left w:val="single" w:color="000000" w:sz="4" w:space="0"/>
              <w:bottom w:val="single" w:color="000000" w:sz="4" w:space="0"/>
              <w:right w:val="single" w:color="000000" w:sz="4" w:space="0"/>
            </w:tcBorders>
            <w:vAlign w:val="center"/>
          </w:tcPr>
          <w:p w14:paraId="0ECC37D2">
            <w:pPr>
              <w:spacing w:after="0" w:line="360" w:lineRule="auto"/>
              <w:jc w:val="center"/>
              <w:textAlignment w:val="baseline"/>
              <w:rPr>
                <w:rFonts w:ascii="宋体" w:hAnsi="宋体" w:eastAsia="宋体" w:cs="宋体"/>
                <w:sz w:val="21"/>
                <w:szCs w:val="21"/>
                <w:u w:color="000000"/>
              </w:rPr>
            </w:pPr>
            <w:r>
              <w:rPr>
                <w:rFonts w:ascii="宋体" w:hAnsi="宋体" w:eastAsia="宋体" w:cs="宋体"/>
                <w:sz w:val="21"/>
                <w:szCs w:val="21"/>
                <w:u w:color="000000"/>
              </w:rPr>
              <w:t>x</w:t>
            </w:r>
          </w:p>
        </w:tc>
        <w:tc>
          <w:tcPr>
            <w:tcW w:w="767" w:type="dxa"/>
            <w:tcBorders>
              <w:top w:val="single" w:color="000000" w:sz="4" w:space="0"/>
              <w:left w:val="single" w:color="000000" w:sz="4" w:space="0"/>
              <w:bottom w:val="single" w:color="000000" w:sz="4" w:space="0"/>
              <w:right w:val="single" w:color="000000" w:sz="4" w:space="0"/>
            </w:tcBorders>
            <w:vAlign w:val="center"/>
          </w:tcPr>
          <w:p w14:paraId="11C5C8A6">
            <w:pPr>
              <w:spacing w:after="0" w:line="360" w:lineRule="auto"/>
              <w:jc w:val="center"/>
              <w:textAlignment w:val="baseline"/>
              <w:rPr>
                <w:rFonts w:ascii="宋体" w:hAnsi="宋体" w:eastAsia="宋体" w:cs="宋体"/>
                <w:sz w:val="21"/>
                <w:szCs w:val="21"/>
                <w:u w:color="000000"/>
              </w:rPr>
            </w:pPr>
            <w:r>
              <w:rPr>
                <w:rFonts w:ascii="宋体" w:hAnsi="宋体" w:eastAsia="宋体" w:cs="宋体"/>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14:paraId="6855658B">
            <w:pPr>
              <w:spacing w:after="0" w:line="360" w:lineRule="auto"/>
              <w:jc w:val="center"/>
              <w:textAlignment w:val="baseline"/>
              <w:rPr>
                <w:rFonts w:ascii="宋体" w:hAnsi="宋体" w:eastAsia="宋体" w:cs="宋体"/>
                <w:sz w:val="21"/>
                <w:szCs w:val="21"/>
                <w:u w:color="000000"/>
              </w:rPr>
            </w:pPr>
            <w:r>
              <w:rPr>
                <w:rFonts w:ascii="宋体" w:hAnsi="宋体" w:eastAsia="宋体" w:cs="宋体"/>
                <w:sz w:val="21"/>
                <w:szCs w:val="21"/>
                <w:u w:color="000000"/>
              </w:rPr>
              <w:t>xx</w:t>
            </w:r>
          </w:p>
        </w:tc>
      </w:tr>
      <w:tr w14:paraId="5082BDE3">
        <w:tblPrEx>
          <w:tblCellMar>
            <w:top w:w="15" w:type="dxa"/>
            <w:left w:w="15" w:type="dxa"/>
            <w:bottom w:w="15" w:type="dxa"/>
            <w:right w:w="15" w:type="dxa"/>
          </w:tblCellMar>
        </w:tblPrEx>
        <w:trPr>
          <w:trHeight w:val="585"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14:paraId="2DC25465">
            <w:pPr>
              <w:spacing w:after="0" w:line="360" w:lineRule="auto"/>
              <w:jc w:val="both"/>
              <w:textAlignment w:val="baseline"/>
              <w:rPr>
                <w:rFonts w:ascii="宋体" w:hAnsi="宋体" w:eastAsia="宋体"/>
                <w:sz w:val="21"/>
                <w:szCs w:val="21"/>
                <w:u w:color="000000"/>
              </w:rPr>
            </w:pPr>
            <w:r>
              <w:rPr>
                <w:rFonts w:hint="eastAsia" w:ascii="宋体" w:hAnsi="宋体" w:eastAsia="宋体" w:cs="宋体"/>
                <w:sz w:val="21"/>
                <w:szCs w:val="21"/>
                <w:u w:color="000000"/>
              </w:rPr>
              <w:t>您对某项具体工作了解程度如何</w:t>
            </w:r>
          </w:p>
        </w:tc>
        <w:tc>
          <w:tcPr>
            <w:tcW w:w="1114" w:type="dxa"/>
            <w:tcBorders>
              <w:top w:val="single" w:color="000000" w:sz="4" w:space="0"/>
              <w:left w:val="single" w:color="000000" w:sz="4" w:space="0"/>
              <w:bottom w:val="single" w:color="000000" w:sz="4" w:space="0"/>
              <w:right w:val="single" w:color="000000" w:sz="4" w:space="0"/>
            </w:tcBorders>
            <w:vAlign w:val="center"/>
          </w:tcPr>
          <w:p w14:paraId="6BE2C579">
            <w:pPr>
              <w:spacing w:after="0" w:line="360" w:lineRule="auto"/>
              <w:jc w:val="center"/>
              <w:textAlignment w:val="baseline"/>
              <w:rPr>
                <w:rFonts w:ascii="宋体" w:hAnsi="宋体" w:eastAsia="宋体"/>
                <w:sz w:val="21"/>
                <w:szCs w:val="21"/>
                <w:u w:color="000000"/>
              </w:rPr>
            </w:pPr>
            <w:r>
              <w:rPr>
                <w:rFonts w:ascii="宋体" w:hAnsi="宋体" w:eastAsia="宋体" w:cs="宋体"/>
                <w:sz w:val="21"/>
                <w:szCs w:val="21"/>
                <w:u w:color="000000"/>
              </w:rPr>
              <w:t>50</w:t>
            </w:r>
          </w:p>
        </w:tc>
        <w:tc>
          <w:tcPr>
            <w:tcW w:w="1134" w:type="dxa"/>
            <w:tcBorders>
              <w:top w:val="single" w:color="000000" w:sz="4" w:space="0"/>
              <w:left w:val="single" w:color="000000" w:sz="4" w:space="0"/>
              <w:bottom w:val="single" w:color="000000" w:sz="4" w:space="0"/>
              <w:right w:val="single" w:color="000000" w:sz="4" w:space="0"/>
            </w:tcBorders>
            <w:vAlign w:val="center"/>
          </w:tcPr>
          <w:p w14:paraId="000ADB37">
            <w:pPr>
              <w:spacing w:after="0" w:line="360" w:lineRule="auto"/>
              <w:jc w:val="center"/>
              <w:textAlignment w:val="baseline"/>
              <w:rPr>
                <w:rFonts w:ascii="宋体" w:hAnsi="宋体" w:eastAsia="宋体" w:cs="宋体"/>
                <w:sz w:val="21"/>
                <w:szCs w:val="21"/>
                <w:u w:color="000000"/>
              </w:rPr>
            </w:pPr>
            <w:r>
              <w:rPr>
                <w:rFonts w:ascii="宋体" w:hAnsi="宋体" w:eastAsia="宋体" w:cs="宋体"/>
                <w:sz w:val="21"/>
                <w:szCs w:val="21"/>
                <w:u w:color="000000"/>
              </w:rPr>
              <w:t>x</w:t>
            </w:r>
          </w:p>
        </w:tc>
        <w:tc>
          <w:tcPr>
            <w:tcW w:w="1218" w:type="dxa"/>
            <w:tcBorders>
              <w:top w:val="single" w:color="000000" w:sz="4" w:space="0"/>
              <w:left w:val="single" w:color="000000" w:sz="4" w:space="0"/>
              <w:bottom w:val="single" w:color="000000" w:sz="4" w:space="0"/>
              <w:right w:val="single" w:color="000000" w:sz="4" w:space="0"/>
            </w:tcBorders>
            <w:vAlign w:val="center"/>
          </w:tcPr>
          <w:p w14:paraId="1B9BAD91">
            <w:pPr>
              <w:spacing w:after="0" w:line="360" w:lineRule="auto"/>
              <w:jc w:val="center"/>
              <w:textAlignment w:val="baseline"/>
              <w:rPr>
                <w:rFonts w:ascii="宋体" w:hAnsi="宋体" w:eastAsia="宋体" w:cs="宋体"/>
                <w:sz w:val="21"/>
                <w:szCs w:val="21"/>
                <w:u w:color="000000"/>
              </w:rPr>
            </w:pPr>
            <w:r>
              <w:rPr>
                <w:rFonts w:ascii="宋体" w:hAnsi="宋体" w:eastAsia="宋体" w:cs="宋体"/>
                <w:sz w:val="21"/>
                <w:szCs w:val="21"/>
                <w:u w:color="000000"/>
              </w:rPr>
              <w:t>x</w:t>
            </w:r>
          </w:p>
        </w:tc>
        <w:tc>
          <w:tcPr>
            <w:tcW w:w="767" w:type="dxa"/>
            <w:tcBorders>
              <w:top w:val="single" w:color="000000" w:sz="4" w:space="0"/>
              <w:left w:val="single" w:color="000000" w:sz="4" w:space="0"/>
              <w:bottom w:val="single" w:color="000000" w:sz="4" w:space="0"/>
              <w:right w:val="single" w:color="000000" w:sz="4" w:space="0"/>
            </w:tcBorders>
            <w:vAlign w:val="center"/>
          </w:tcPr>
          <w:p w14:paraId="32FB0D05">
            <w:pPr>
              <w:spacing w:after="0" w:line="360" w:lineRule="auto"/>
              <w:jc w:val="center"/>
              <w:textAlignment w:val="baseline"/>
              <w:rPr>
                <w:rFonts w:ascii="宋体" w:hAnsi="宋体" w:eastAsia="宋体" w:cs="宋体"/>
                <w:sz w:val="21"/>
                <w:szCs w:val="21"/>
                <w:u w:color="000000"/>
              </w:rPr>
            </w:pPr>
            <w:r>
              <w:rPr>
                <w:rFonts w:ascii="宋体" w:hAnsi="宋体" w:eastAsia="宋体" w:cs="宋体"/>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14:paraId="7E550191">
            <w:pPr>
              <w:spacing w:after="0" w:line="360" w:lineRule="auto"/>
              <w:jc w:val="center"/>
              <w:textAlignment w:val="baseline"/>
              <w:rPr>
                <w:rFonts w:ascii="宋体" w:hAnsi="宋体" w:eastAsia="宋体" w:cs="宋体"/>
                <w:sz w:val="21"/>
                <w:szCs w:val="21"/>
                <w:u w:color="000000"/>
              </w:rPr>
            </w:pPr>
            <w:r>
              <w:rPr>
                <w:rFonts w:ascii="宋体" w:hAnsi="宋体" w:eastAsia="宋体" w:cs="宋体"/>
                <w:sz w:val="21"/>
                <w:szCs w:val="21"/>
                <w:u w:color="000000"/>
              </w:rPr>
              <w:t>x</w:t>
            </w:r>
          </w:p>
        </w:tc>
      </w:tr>
    </w:tbl>
    <w:p w14:paraId="01E3D435">
      <w:pPr>
        <w:spacing w:after="0" w:line="360" w:lineRule="auto"/>
        <w:ind w:firstLine="640" w:firstLineChars="200"/>
        <w:jc w:val="both"/>
        <w:textAlignment w:val="baseline"/>
        <w:rPr>
          <w:rFonts w:ascii="仿宋_GB2312" w:hAnsi="宋体" w:eastAsia="仿宋_GB2312"/>
          <w:sz w:val="32"/>
          <w:szCs w:val="32"/>
          <w:u w:color="000000"/>
        </w:rPr>
      </w:pPr>
      <w:r>
        <w:rPr>
          <w:rFonts w:hint="eastAsia" w:ascii="仿宋_GB2312" w:hAnsi="宋体" w:eastAsia="仿宋_GB2312" w:cs="仿宋_GB2312"/>
          <w:sz w:val="32"/>
          <w:szCs w:val="32"/>
          <w:u w:color="000000"/>
        </w:rPr>
        <w:t>调查问卷共分为</w:t>
      </w:r>
      <w:r>
        <w:rPr>
          <w:rFonts w:ascii="仿宋_GB2312" w:hAnsi="宋体" w:eastAsia="仿宋_GB2312" w:cs="仿宋_GB2312"/>
          <w:sz w:val="32"/>
          <w:szCs w:val="32"/>
          <w:u w:color="000000"/>
        </w:rPr>
        <w:t>3</w:t>
      </w:r>
      <w:r>
        <w:rPr>
          <w:rFonts w:hint="eastAsia" w:ascii="仿宋_GB2312" w:hAnsi="宋体" w:eastAsia="仿宋_GB2312" w:cs="仿宋_GB2312"/>
          <w:sz w:val="32"/>
          <w:szCs w:val="32"/>
          <w:u w:color="000000"/>
        </w:rPr>
        <w:t>个单项，每个单项满分为</w:t>
      </w:r>
      <w:r>
        <w:rPr>
          <w:rFonts w:ascii="仿宋_GB2312" w:hAnsi="宋体" w:eastAsia="仿宋_GB2312" w:cs="仿宋_GB2312"/>
          <w:sz w:val="32"/>
          <w:szCs w:val="32"/>
          <w:u w:color="000000"/>
        </w:rPr>
        <w:t>100</w:t>
      </w:r>
      <w:r>
        <w:rPr>
          <w:rFonts w:hint="eastAsia" w:ascii="仿宋_GB2312" w:hAnsi="宋体" w:eastAsia="仿宋_GB2312" w:cs="仿宋_GB2312"/>
          <w:sz w:val="32"/>
          <w:szCs w:val="32"/>
          <w:u w:color="000000"/>
        </w:rPr>
        <w:t>分。其中：每一单项满分为</w:t>
      </w:r>
      <w:r>
        <w:rPr>
          <w:rFonts w:ascii="仿宋_GB2312" w:hAnsi="宋体" w:eastAsia="仿宋_GB2312" w:cs="仿宋_GB2312"/>
          <w:sz w:val="32"/>
          <w:szCs w:val="32"/>
          <w:u w:color="000000"/>
        </w:rPr>
        <w:t>100</w:t>
      </w:r>
      <w:r>
        <w:rPr>
          <w:rFonts w:hint="eastAsia" w:ascii="仿宋_GB2312" w:hAnsi="宋体" w:eastAsia="仿宋_GB2312" w:cs="仿宋_GB2312"/>
          <w:sz w:val="32"/>
          <w:szCs w:val="32"/>
          <w:u w:color="000000"/>
        </w:rPr>
        <w:t>分：满意为</w:t>
      </w:r>
      <w:r>
        <w:rPr>
          <w:rFonts w:ascii="仿宋_GB2312" w:hAnsi="宋体" w:eastAsia="仿宋_GB2312" w:cs="仿宋_GB2312"/>
          <w:sz w:val="32"/>
          <w:szCs w:val="32"/>
          <w:u w:color="000000"/>
        </w:rPr>
        <w:t>100</w:t>
      </w:r>
      <w:r>
        <w:rPr>
          <w:rFonts w:hint="eastAsia" w:ascii="仿宋_GB2312" w:hAnsi="宋体" w:eastAsia="仿宋_GB2312" w:cs="仿宋_GB2312"/>
          <w:sz w:val="32"/>
          <w:szCs w:val="32"/>
          <w:u w:color="000000"/>
        </w:rPr>
        <w:t>分，一般为</w:t>
      </w:r>
      <w:r>
        <w:rPr>
          <w:rFonts w:ascii="仿宋_GB2312" w:hAnsi="宋体" w:eastAsia="仿宋_GB2312" w:cs="仿宋_GB2312"/>
          <w:sz w:val="32"/>
          <w:szCs w:val="32"/>
          <w:u w:color="000000"/>
        </w:rPr>
        <w:t>50</w:t>
      </w:r>
      <w:r>
        <w:rPr>
          <w:rFonts w:hint="eastAsia" w:ascii="仿宋_GB2312" w:hAnsi="宋体" w:eastAsia="仿宋_GB2312" w:cs="仿宋_GB2312"/>
          <w:sz w:val="32"/>
          <w:szCs w:val="32"/>
          <w:u w:color="000000"/>
        </w:rPr>
        <w:t>分，不满意为</w:t>
      </w:r>
      <w:r>
        <w:rPr>
          <w:rFonts w:ascii="仿宋_GB2312" w:hAnsi="宋体" w:eastAsia="仿宋_GB2312" w:cs="仿宋_GB2312"/>
          <w:sz w:val="32"/>
          <w:szCs w:val="32"/>
          <w:u w:color="000000"/>
        </w:rPr>
        <w:t>0</w:t>
      </w:r>
      <w:r>
        <w:rPr>
          <w:rFonts w:hint="eastAsia" w:ascii="仿宋_GB2312" w:hAnsi="宋体" w:eastAsia="仿宋_GB2312" w:cs="仿宋_GB2312"/>
          <w:sz w:val="32"/>
          <w:szCs w:val="32"/>
          <w:u w:color="000000"/>
        </w:rPr>
        <w:t>分。</w:t>
      </w:r>
    </w:p>
    <w:p w14:paraId="7710F738">
      <w:pPr>
        <w:spacing w:after="0" w:line="360" w:lineRule="auto"/>
        <w:ind w:firstLine="640" w:firstLineChars="200"/>
        <w:jc w:val="both"/>
        <w:textAlignment w:val="baseline"/>
        <w:rPr>
          <w:rFonts w:ascii="仿宋_GB2312" w:hAnsi="宋体" w:eastAsia="仿宋_GB2312"/>
          <w:sz w:val="32"/>
          <w:szCs w:val="32"/>
          <w:u w:color="000000"/>
        </w:rPr>
      </w:pPr>
      <w:r>
        <w:rPr>
          <w:rFonts w:hint="eastAsia" w:ascii="仿宋_GB2312" w:hAnsi="宋体" w:eastAsia="仿宋_GB2312" w:cs="仿宋_GB2312"/>
          <w:sz w:val="32"/>
          <w:szCs w:val="32"/>
          <w:u w:color="000000"/>
        </w:rPr>
        <w:t>单项满意度得分</w:t>
      </w:r>
      <w:r>
        <w:rPr>
          <w:rFonts w:ascii="仿宋_GB2312" w:hAnsi="宋体" w:eastAsia="仿宋_GB2312" w:cs="仿宋_GB2312"/>
          <w:sz w:val="32"/>
          <w:szCs w:val="32"/>
          <w:u w:color="000000"/>
        </w:rPr>
        <w:t>=</w:t>
      </w:r>
      <w:r>
        <w:rPr>
          <w:rFonts w:hint="eastAsia" w:ascii="仿宋_GB2312" w:hAnsi="宋体" w:eastAsia="仿宋_GB2312" w:cs="仿宋_GB2312"/>
          <w:sz w:val="32"/>
          <w:szCs w:val="32"/>
          <w:u w:color="000000"/>
        </w:rPr>
        <w:t>总分数</w:t>
      </w:r>
      <w:r>
        <w:rPr>
          <w:rFonts w:ascii="仿宋_GB2312" w:hAnsi="宋体" w:eastAsia="仿宋_GB2312" w:cs="仿宋_GB2312"/>
          <w:sz w:val="32"/>
          <w:szCs w:val="32"/>
          <w:u w:color="000000"/>
        </w:rPr>
        <w:t>/</w:t>
      </w:r>
      <w:r>
        <w:rPr>
          <w:rFonts w:hint="eastAsia" w:ascii="仿宋_GB2312" w:hAnsi="宋体" w:eastAsia="仿宋_GB2312" w:cs="仿宋_GB2312"/>
          <w:sz w:val="32"/>
          <w:szCs w:val="32"/>
          <w:u w:color="000000"/>
        </w:rPr>
        <w:t>总人数</w:t>
      </w:r>
    </w:p>
    <w:p w14:paraId="4D88816E">
      <w:pPr>
        <w:spacing w:after="0" w:line="360" w:lineRule="auto"/>
        <w:ind w:firstLine="640" w:firstLineChars="200"/>
        <w:jc w:val="both"/>
        <w:textAlignment w:val="baseline"/>
        <w:rPr>
          <w:rFonts w:ascii="仿宋_GB2312" w:hAnsi="宋体" w:eastAsia="仿宋_GB2312"/>
          <w:color w:val="auto"/>
          <w:sz w:val="32"/>
          <w:szCs w:val="32"/>
          <w:u w:color="000000"/>
        </w:rPr>
      </w:pPr>
      <w:r>
        <w:rPr>
          <w:rFonts w:hint="eastAsia" w:ascii="仿宋_GB2312" w:hAnsi="宋体" w:eastAsia="仿宋_GB2312" w:cs="仿宋_GB2312"/>
          <w:color w:val="auto"/>
          <w:sz w:val="32"/>
          <w:szCs w:val="32"/>
          <w:u w:color="000000"/>
        </w:rPr>
        <w:t>总体满意度得分</w:t>
      </w:r>
      <w:r>
        <w:rPr>
          <w:rFonts w:ascii="仿宋_GB2312" w:hAnsi="宋体" w:eastAsia="仿宋_GB2312" w:cs="仿宋_GB2312"/>
          <w:color w:val="auto"/>
          <w:sz w:val="32"/>
          <w:szCs w:val="32"/>
          <w:u w:color="000000"/>
        </w:rPr>
        <w:t>=</w:t>
      </w:r>
      <w:r>
        <w:rPr>
          <w:rFonts w:hint="eastAsia" w:ascii="仿宋_GB2312" w:hAnsi="宋体" w:eastAsia="仿宋_GB2312" w:cs="仿宋_GB2312"/>
          <w:color w:val="auto"/>
          <w:sz w:val="32"/>
          <w:szCs w:val="32"/>
          <w:u w:color="000000"/>
        </w:rPr>
        <w:t>∑</w:t>
      </w:r>
      <w:r>
        <w:rPr>
          <w:rFonts w:ascii="仿宋_GB2312" w:hAnsi="宋体" w:eastAsia="仿宋_GB2312" w:cs="仿宋_GB2312"/>
          <w:color w:val="auto"/>
          <w:sz w:val="32"/>
          <w:szCs w:val="32"/>
          <w:u w:color="000000"/>
        </w:rPr>
        <w:t>1/3</w:t>
      </w:r>
      <w:r>
        <w:rPr>
          <w:rFonts w:hint="eastAsia" w:ascii="仿宋_GB2312" w:hAnsi="宋体" w:eastAsia="仿宋_GB2312" w:cs="仿宋_GB2312"/>
          <w:color w:val="auto"/>
          <w:sz w:val="32"/>
          <w:szCs w:val="32"/>
          <w:u w:color="000000"/>
        </w:rPr>
        <w:t>各单项满意度得分</w:t>
      </w:r>
    </w:p>
    <w:p w14:paraId="07BD063B">
      <w:pPr>
        <w:spacing w:after="0" w:line="360" w:lineRule="auto"/>
        <w:ind w:firstLine="640" w:firstLineChars="200"/>
        <w:jc w:val="both"/>
        <w:textAlignment w:val="baseline"/>
        <w:rPr>
          <w:rFonts w:ascii="仿宋_GB2312" w:hAnsi="宋体" w:eastAsia="仿宋_GB2312"/>
          <w:color w:val="auto"/>
          <w:sz w:val="32"/>
          <w:szCs w:val="32"/>
          <w:u w:color="000000"/>
        </w:rPr>
      </w:pPr>
      <w:r>
        <w:rPr>
          <w:rFonts w:hint="eastAsia" w:ascii="仿宋_GB2312" w:hAnsi="宋体" w:eastAsia="仿宋_GB2312" w:cs="仿宋_GB2312"/>
          <w:color w:val="auto"/>
          <w:sz w:val="32"/>
          <w:szCs w:val="32"/>
          <w:u w:color="000000"/>
        </w:rPr>
        <w:t>经计算，总体得分为</w:t>
      </w:r>
      <w:r>
        <w:rPr>
          <w:rFonts w:ascii="仿宋_GB2312" w:hAnsi="宋体" w:eastAsia="仿宋_GB2312" w:cs="仿宋_GB2312"/>
          <w:color w:val="auto"/>
          <w:sz w:val="32"/>
          <w:szCs w:val="32"/>
          <w:u w:color="000000"/>
        </w:rPr>
        <w:t>94</w:t>
      </w:r>
      <w:r>
        <w:rPr>
          <w:rFonts w:hint="eastAsia" w:ascii="仿宋_GB2312" w:hAnsi="宋体" w:eastAsia="仿宋_GB2312" w:cs="仿宋_GB2312"/>
          <w:color w:val="auto"/>
          <w:sz w:val="32"/>
          <w:szCs w:val="32"/>
          <w:u w:color="000000"/>
        </w:rPr>
        <w:t>分，小于</w:t>
      </w:r>
      <w:r>
        <w:rPr>
          <w:rFonts w:ascii="仿宋_GB2312" w:hAnsi="宋体" w:eastAsia="仿宋_GB2312" w:cs="仿宋_GB2312"/>
          <w:color w:val="auto"/>
          <w:sz w:val="32"/>
          <w:szCs w:val="32"/>
          <w:u w:color="000000"/>
        </w:rPr>
        <w:t>(</w:t>
      </w:r>
      <w:r>
        <w:rPr>
          <w:rFonts w:hint="eastAsia" w:ascii="仿宋_GB2312" w:hAnsi="宋体" w:eastAsia="仿宋_GB2312" w:cs="仿宋_GB2312"/>
          <w:color w:val="auto"/>
          <w:sz w:val="32"/>
          <w:szCs w:val="32"/>
          <w:u w:color="000000"/>
        </w:rPr>
        <w:t>大于）</w:t>
      </w:r>
      <w:r>
        <w:rPr>
          <w:rFonts w:ascii="仿宋_GB2312" w:hAnsi="宋体" w:eastAsia="仿宋_GB2312" w:cs="仿宋_GB2312"/>
          <w:color w:val="auto"/>
          <w:sz w:val="32"/>
          <w:szCs w:val="32"/>
          <w:u w:color="000000"/>
        </w:rPr>
        <w:t>90</w:t>
      </w:r>
      <w:r>
        <w:rPr>
          <w:rFonts w:hint="eastAsia" w:ascii="仿宋_GB2312" w:hAnsi="宋体" w:eastAsia="仿宋_GB2312" w:cs="仿宋_GB2312"/>
          <w:color w:val="auto"/>
          <w:sz w:val="32"/>
          <w:szCs w:val="32"/>
          <w:u w:color="000000"/>
        </w:rPr>
        <w:t>分，评价等级为“优”。</w:t>
      </w:r>
    </w:p>
    <w:p w14:paraId="38554A57">
      <w:pPr>
        <w:spacing w:after="0" w:line="360" w:lineRule="auto"/>
        <w:ind w:firstLine="640" w:firstLineChars="200"/>
        <w:jc w:val="both"/>
        <w:rPr>
          <w:rFonts w:ascii="仿宋_GB2312" w:hAnsi="宋体" w:eastAsia="仿宋_GB2312"/>
          <w:color w:val="auto"/>
          <w:sz w:val="32"/>
          <w:szCs w:val="32"/>
          <w:u w:color="000000"/>
        </w:rPr>
      </w:pPr>
      <w:r>
        <w:rPr>
          <w:rFonts w:hint="eastAsia" w:ascii="仿宋_GB2312" w:hAnsi="宋体" w:eastAsia="仿宋_GB2312" w:cs="仿宋_GB2312"/>
          <w:color w:val="auto"/>
          <w:sz w:val="32"/>
          <w:szCs w:val="32"/>
          <w:u w:color="000000"/>
        </w:rPr>
        <w:t>该指标实际得分</w:t>
      </w:r>
      <w:r>
        <w:rPr>
          <w:rFonts w:ascii="仿宋_GB2312" w:hAnsi="宋体" w:eastAsia="仿宋_GB2312" w:cs="仿宋_GB2312"/>
          <w:color w:val="auto"/>
          <w:sz w:val="32"/>
          <w:szCs w:val="32"/>
          <w:u w:color="000000"/>
        </w:rPr>
        <w:t>5</w:t>
      </w:r>
      <w:r>
        <w:rPr>
          <w:rFonts w:hint="eastAsia" w:ascii="仿宋_GB2312" w:hAnsi="宋体" w:eastAsia="仿宋_GB2312" w:cs="仿宋_GB2312"/>
          <w:color w:val="auto"/>
          <w:sz w:val="32"/>
          <w:szCs w:val="32"/>
          <w:u w:color="000000"/>
        </w:rPr>
        <w:t>分。</w:t>
      </w:r>
    </w:p>
    <w:p w14:paraId="2FC3768B">
      <w:pPr>
        <w:pStyle w:val="3"/>
        <w:keepNext w:val="0"/>
        <w:keepLines w:val="0"/>
        <w:suppressLineNumbers/>
        <w:spacing w:before="0" w:after="0" w:line="360" w:lineRule="auto"/>
        <w:ind w:firstLine="643" w:firstLineChars="200"/>
        <w:rPr>
          <w:rFonts w:ascii="黑体" w:cs="Tahoma"/>
        </w:rPr>
      </w:pPr>
      <w:bookmarkStart w:id="71" w:name="_Toc13757"/>
      <w:r>
        <w:rPr>
          <w:rFonts w:hint="eastAsia" w:ascii="黑体" w:cs="黑体"/>
        </w:rPr>
        <w:t>五、绩效评价发现的问题</w:t>
      </w:r>
      <w:bookmarkEnd w:id="68"/>
      <w:bookmarkEnd w:id="69"/>
      <w:bookmarkEnd w:id="70"/>
      <w:bookmarkEnd w:id="71"/>
      <w:bookmarkStart w:id="72" w:name="_Toc492652789"/>
    </w:p>
    <w:p w14:paraId="2BF42856">
      <w:pPr>
        <w:spacing w:after="0" w:line="360" w:lineRule="auto"/>
        <w:ind w:firstLine="640" w:firstLineChars="200"/>
        <w:jc w:val="both"/>
        <w:textAlignment w:val="baseline"/>
        <w:rPr>
          <w:rFonts w:ascii="仿宋_GB2312" w:hAnsi="宋体" w:eastAsia="仿宋_GB2312"/>
          <w:sz w:val="32"/>
          <w:szCs w:val="32"/>
          <w:u w:color="000000"/>
        </w:rPr>
      </w:pPr>
      <w:r>
        <w:rPr>
          <w:rFonts w:hint="eastAsia" w:ascii="仿宋_GB2312" w:hAnsi="宋体" w:eastAsia="仿宋_GB2312" w:cs="仿宋_GB2312"/>
          <w:sz w:val="32"/>
          <w:szCs w:val="32"/>
          <w:u w:color="000000"/>
        </w:rPr>
        <w:t>通过对各指标得分及扣分原因的分析，</w:t>
      </w:r>
      <w:r>
        <w:rPr>
          <w:rFonts w:hint="eastAsia" w:ascii="仿宋_GB2312" w:eastAsia="仿宋_GB2312" w:cs="仿宋_GB2312"/>
          <w:sz w:val="32"/>
          <w:szCs w:val="32"/>
        </w:rPr>
        <w:t>区总工会</w:t>
      </w:r>
      <w:r>
        <w:rPr>
          <w:rFonts w:ascii="仿宋_GB2312" w:hAnsi="宋体" w:eastAsia="仿宋_GB2312" w:cs="仿宋_GB2312"/>
          <w:sz w:val="32"/>
          <w:szCs w:val="32"/>
          <w:u w:color="000000"/>
        </w:rPr>
        <w:t>2019</w:t>
      </w:r>
      <w:r>
        <w:rPr>
          <w:rFonts w:hint="eastAsia" w:ascii="仿宋_GB2312" w:hAnsi="宋体" w:eastAsia="仿宋_GB2312" w:cs="仿宋_GB2312"/>
          <w:sz w:val="32"/>
          <w:szCs w:val="32"/>
          <w:u w:color="000000"/>
        </w:rPr>
        <w:t>年部门整体支出基本按相关要求执行预算、决算，完成了绩效目标，资金使用效益良好。通过评价，也发现一些不足之处，具体情况如下：</w:t>
      </w:r>
      <w:bookmarkStart w:id="73" w:name="_Toc20723"/>
    </w:p>
    <w:p w14:paraId="48DAEC7B">
      <w:pPr>
        <w:spacing w:after="0" w:line="360" w:lineRule="auto"/>
        <w:ind w:firstLine="640" w:firstLineChars="200"/>
        <w:jc w:val="both"/>
        <w:textAlignment w:val="baseline"/>
        <w:rPr>
          <w:rFonts w:ascii="仿宋_GB2312" w:hAnsi="宋体" w:eastAsia="仿宋_GB2312"/>
          <w:sz w:val="32"/>
          <w:szCs w:val="32"/>
          <w:u w:color="000000"/>
        </w:rPr>
      </w:pPr>
      <w:r>
        <w:rPr>
          <w:rFonts w:ascii="仿宋_GB2312" w:hAnsi="宋体" w:eastAsia="仿宋_GB2312" w:cs="仿宋_GB2312"/>
          <w:sz w:val="32"/>
          <w:szCs w:val="32"/>
          <w:u w:color="000000"/>
        </w:rPr>
        <w:t>1.</w:t>
      </w:r>
      <w:r>
        <w:rPr>
          <w:rFonts w:hint="eastAsia" w:ascii="仿宋_GB2312" w:hAnsi="宋体" w:eastAsia="仿宋_GB2312" w:cs="仿宋_GB2312"/>
          <w:sz w:val="32"/>
          <w:szCs w:val="32"/>
          <w:u w:color="000000"/>
        </w:rPr>
        <w:t>部分绩效指标方面。</w:t>
      </w:r>
    </w:p>
    <w:p w14:paraId="1AE316FB">
      <w:pPr>
        <w:spacing w:after="0" w:line="360" w:lineRule="auto"/>
        <w:ind w:firstLine="640" w:firstLineChars="200"/>
        <w:jc w:val="both"/>
        <w:textAlignment w:val="baseline"/>
        <w:rPr>
          <w:rFonts w:ascii="仿宋_GB2312" w:hAnsi="宋体" w:eastAsia="仿宋_GB2312"/>
          <w:sz w:val="32"/>
          <w:szCs w:val="32"/>
          <w:u w:color="000000"/>
        </w:rPr>
      </w:pPr>
      <w:r>
        <w:rPr>
          <w:rFonts w:ascii="仿宋_GB2312" w:hAnsi="宋体" w:eastAsia="仿宋_GB2312" w:cs="仿宋_GB2312"/>
          <w:sz w:val="32"/>
          <w:szCs w:val="32"/>
          <w:u w:color="000000"/>
        </w:rPr>
        <w:t>2.</w:t>
      </w:r>
      <w:r>
        <w:rPr>
          <w:rFonts w:hint="eastAsia" w:ascii="仿宋_GB2312" w:hAnsi="宋体" w:eastAsia="仿宋_GB2312" w:cs="仿宋_GB2312"/>
          <w:sz w:val="32"/>
          <w:szCs w:val="32"/>
          <w:u w:color="000000"/>
        </w:rPr>
        <w:t>预算决算比较。</w:t>
      </w:r>
    </w:p>
    <w:p w14:paraId="50A19484">
      <w:pPr>
        <w:spacing w:after="0" w:line="360" w:lineRule="auto"/>
        <w:ind w:firstLine="640" w:firstLineChars="200"/>
        <w:jc w:val="both"/>
        <w:textAlignment w:val="baseline"/>
        <w:rPr>
          <w:rFonts w:ascii="仿宋_GB2312" w:hAnsi="宋体" w:eastAsia="仿宋_GB2312"/>
          <w:sz w:val="32"/>
          <w:szCs w:val="32"/>
          <w:u w:color="000000"/>
        </w:rPr>
      </w:pPr>
      <w:r>
        <w:rPr>
          <w:rFonts w:ascii="仿宋_GB2312" w:hAnsi="宋体" w:eastAsia="仿宋_GB2312" w:cs="仿宋_GB2312"/>
          <w:sz w:val="32"/>
          <w:szCs w:val="32"/>
          <w:u w:color="000000"/>
        </w:rPr>
        <w:t>3.</w:t>
      </w:r>
      <w:r>
        <w:rPr>
          <w:rFonts w:hint="eastAsia" w:ascii="仿宋_GB2312" w:hAnsi="宋体" w:eastAsia="仿宋_GB2312" w:cs="仿宋_GB2312"/>
          <w:sz w:val="32"/>
          <w:szCs w:val="32"/>
          <w:u w:color="000000"/>
        </w:rPr>
        <w:t>项目资金使用率方面</w:t>
      </w:r>
    </w:p>
    <w:bookmarkEnd w:id="72"/>
    <w:bookmarkEnd w:id="73"/>
    <w:p w14:paraId="2230E5D4">
      <w:pPr>
        <w:spacing w:after="0" w:line="360" w:lineRule="auto"/>
        <w:jc w:val="both"/>
        <w:textAlignment w:val="baseline"/>
        <w:rPr>
          <w:rFonts w:ascii="仿宋_GB2312" w:hAnsi="宋体" w:eastAsia="仿宋_GB2312"/>
          <w:color w:val="auto"/>
          <w:sz w:val="32"/>
          <w:szCs w:val="32"/>
          <w:u w:color="000000"/>
        </w:rPr>
      </w:pPr>
      <w:bookmarkStart w:id="74" w:name="_Toc465149521"/>
    </w:p>
    <w:p w14:paraId="4CA660BF">
      <w:pPr>
        <w:spacing w:after="0" w:line="360" w:lineRule="auto"/>
        <w:jc w:val="both"/>
        <w:textAlignment w:val="baseline"/>
        <w:rPr>
          <w:rFonts w:ascii="仿宋_GB2312" w:hAnsi="宋体" w:eastAsia="仿宋_GB2312"/>
          <w:color w:val="auto"/>
          <w:sz w:val="32"/>
          <w:szCs w:val="32"/>
          <w:u w:color="000000"/>
        </w:rPr>
      </w:pPr>
      <w:r>
        <w:rPr>
          <w:rFonts w:hint="eastAsia" w:ascii="仿宋_GB2312" w:hAnsi="宋体" w:eastAsia="仿宋_GB2312" w:cs="仿宋_GB2312"/>
          <w:color w:val="auto"/>
          <w:sz w:val="32"/>
          <w:szCs w:val="32"/>
          <w:u w:color="000000"/>
        </w:rPr>
        <w:t>附件：</w:t>
      </w:r>
      <w:r>
        <w:rPr>
          <w:rFonts w:ascii="仿宋_GB2312" w:hAnsi="宋体" w:eastAsia="仿宋_GB2312" w:cs="仿宋_GB2312"/>
          <w:color w:val="auto"/>
          <w:sz w:val="32"/>
          <w:szCs w:val="32"/>
          <w:u w:color="000000"/>
        </w:rPr>
        <w:t>1.</w:t>
      </w:r>
      <w:r>
        <w:rPr>
          <w:rFonts w:hint="eastAsia" w:ascii="仿宋_GB2312" w:hAnsi="宋体" w:eastAsia="仿宋_GB2312" w:cs="仿宋_GB2312"/>
          <w:color w:val="auto"/>
          <w:sz w:val="32"/>
          <w:szCs w:val="32"/>
          <w:u w:color="000000"/>
        </w:rPr>
        <w:t>保定市徐水</w:t>
      </w:r>
      <w:r>
        <w:rPr>
          <w:rFonts w:hint="eastAsia" w:ascii="仿宋_GB2312" w:eastAsia="仿宋_GB2312" w:cs="仿宋_GB2312"/>
          <w:color w:val="auto"/>
          <w:sz w:val="32"/>
          <w:szCs w:val="32"/>
        </w:rPr>
        <w:t>区总工会</w:t>
      </w:r>
      <w:r>
        <w:rPr>
          <w:rFonts w:hint="eastAsia" w:ascii="仿宋_GB2312" w:hAnsi="宋体" w:eastAsia="仿宋_GB2312" w:cs="仿宋_GB2312"/>
          <w:color w:val="auto"/>
          <w:sz w:val="32"/>
          <w:szCs w:val="32"/>
          <w:u w:color="000000"/>
        </w:rPr>
        <w:t>部门基本情况及主要职责</w:t>
      </w:r>
    </w:p>
    <w:p w14:paraId="1404AA6F">
      <w:pPr>
        <w:spacing w:after="0" w:line="540" w:lineRule="exact"/>
        <w:ind w:firstLine="960" w:firstLineChars="300"/>
        <w:jc w:val="both"/>
        <w:textAlignment w:val="baseline"/>
        <w:rPr>
          <w:rFonts w:ascii="仿宋_GB2312" w:hAnsi="宋体" w:eastAsia="仿宋_GB2312"/>
          <w:color w:val="auto"/>
          <w:sz w:val="32"/>
          <w:szCs w:val="32"/>
          <w:u w:color="000000"/>
        </w:rPr>
      </w:pPr>
      <w:r>
        <w:rPr>
          <w:rFonts w:ascii="仿宋_GB2312" w:hAnsi="宋体" w:eastAsia="仿宋_GB2312" w:cs="仿宋_GB2312"/>
          <w:color w:val="auto"/>
          <w:sz w:val="32"/>
          <w:szCs w:val="32"/>
          <w:u w:color="000000"/>
        </w:rPr>
        <w:t>2.2019</w:t>
      </w:r>
      <w:r>
        <w:rPr>
          <w:rFonts w:hint="eastAsia" w:ascii="仿宋_GB2312" w:hAnsi="宋体" w:eastAsia="仿宋_GB2312" w:cs="仿宋_GB2312"/>
          <w:color w:val="auto"/>
          <w:sz w:val="32"/>
          <w:szCs w:val="32"/>
          <w:u w:color="000000"/>
        </w:rPr>
        <w:t>年度保定市徐水区</w:t>
      </w:r>
      <w:r>
        <w:rPr>
          <w:rFonts w:hint="eastAsia" w:ascii="仿宋_GB2312" w:eastAsia="仿宋_GB2312" w:cs="仿宋_GB2312"/>
          <w:color w:val="auto"/>
          <w:sz w:val="32"/>
          <w:szCs w:val="32"/>
        </w:rPr>
        <w:t>区总工会</w:t>
      </w:r>
      <w:r>
        <w:rPr>
          <w:rFonts w:hint="eastAsia" w:ascii="仿宋_GB2312" w:hAnsi="宋体" w:eastAsia="仿宋_GB2312" w:cs="仿宋_GB2312"/>
          <w:color w:val="auto"/>
          <w:sz w:val="32"/>
          <w:szCs w:val="32"/>
          <w:u w:color="000000"/>
        </w:rPr>
        <w:t>收支预算及决算明细表</w:t>
      </w:r>
    </w:p>
    <w:p w14:paraId="1BCD3B69">
      <w:pPr>
        <w:spacing w:after="0" w:line="540" w:lineRule="exact"/>
        <w:ind w:firstLine="960" w:firstLineChars="300"/>
        <w:jc w:val="both"/>
        <w:textAlignment w:val="baseline"/>
        <w:rPr>
          <w:rFonts w:ascii="仿宋_GB2312" w:hAnsi="宋体" w:eastAsia="仿宋_GB2312"/>
          <w:color w:val="auto"/>
          <w:sz w:val="32"/>
          <w:szCs w:val="32"/>
          <w:u w:color="000000"/>
        </w:rPr>
      </w:pPr>
      <w:bookmarkStart w:id="75" w:name="_Toc465149534"/>
      <w:r>
        <w:rPr>
          <w:rFonts w:ascii="仿宋_GB2312" w:hAnsi="宋体" w:eastAsia="仿宋_GB2312" w:cs="仿宋_GB2312"/>
          <w:color w:val="auto"/>
          <w:sz w:val="32"/>
          <w:szCs w:val="32"/>
          <w:u w:color="000000"/>
        </w:rPr>
        <w:t>3.</w:t>
      </w:r>
      <w:bookmarkEnd w:id="75"/>
      <w:r>
        <w:rPr>
          <w:rFonts w:hint="eastAsia" w:ascii="仿宋_GB2312" w:hAnsi="宋体" w:eastAsia="仿宋_GB2312" w:cs="仿宋_GB2312"/>
          <w:color w:val="auto"/>
          <w:sz w:val="32"/>
          <w:szCs w:val="32"/>
          <w:u w:color="000000"/>
        </w:rPr>
        <w:t>部门整体支出绩效评价指标体系</w:t>
      </w:r>
    </w:p>
    <w:p w14:paraId="72F10C49">
      <w:pPr>
        <w:spacing w:after="0" w:line="540" w:lineRule="exact"/>
        <w:ind w:firstLine="960" w:firstLineChars="300"/>
        <w:jc w:val="both"/>
        <w:textAlignment w:val="baseline"/>
        <w:rPr>
          <w:rFonts w:ascii="仿宋_GB2312" w:hAnsi="宋体" w:eastAsia="仿宋_GB2312"/>
          <w:color w:val="auto"/>
          <w:sz w:val="32"/>
          <w:szCs w:val="32"/>
          <w:u w:color="000000"/>
        </w:rPr>
      </w:pPr>
      <w:bookmarkStart w:id="76" w:name="_Toc465149544"/>
      <w:r>
        <w:rPr>
          <w:rFonts w:ascii="仿宋_GB2312" w:hAnsi="宋体" w:eastAsia="仿宋_GB2312" w:cs="仿宋_GB2312"/>
          <w:color w:val="auto"/>
          <w:sz w:val="32"/>
          <w:szCs w:val="32"/>
          <w:u w:color="000000"/>
        </w:rPr>
        <w:t>4.</w:t>
      </w:r>
      <w:bookmarkEnd w:id="76"/>
      <w:r>
        <w:rPr>
          <w:rFonts w:ascii="仿宋_GB2312" w:hAnsi="宋体" w:eastAsia="仿宋_GB2312" w:cs="仿宋_GB2312"/>
          <w:color w:val="auto"/>
          <w:sz w:val="32"/>
          <w:szCs w:val="32"/>
          <w:u w:color="000000"/>
        </w:rPr>
        <w:t>2019</w:t>
      </w:r>
      <w:r>
        <w:rPr>
          <w:rFonts w:hint="eastAsia" w:ascii="仿宋_GB2312" w:hAnsi="宋体" w:eastAsia="仿宋_GB2312" w:cs="仿宋_GB2312"/>
          <w:color w:val="auto"/>
          <w:sz w:val="32"/>
          <w:szCs w:val="32"/>
          <w:u w:color="000000"/>
        </w:rPr>
        <w:t>年徐水区</w:t>
      </w:r>
      <w:r>
        <w:rPr>
          <w:rFonts w:hint="eastAsia" w:ascii="仿宋_GB2312" w:eastAsia="仿宋_GB2312" w:cs="仿宋_GB2312"/>
          <w:color w:val="auto"/>
          <w:sz w:val="32"/>
          <w:szCs w:val="32"/>
        </w:rPr>
        <w:t>总工会</w:t>
      </w:r>
      <w:r>
        <w:rPr>
          <w:rFonts w:hint="eastAsia" w:ascii="仿宋_GB2312" w:hAnsi="宋体" w:eastAsia="仿宋_GB2312" w:cs="仿宋_GB2312"/>
          <w:color w:val="auto"/>
          <w:sz w:val="32"/>
          <w:szCs w:val="32"/>
          <w:u w:color="000000"/>
        </w:rPr>
        <w:t>工作活动绩效目标、绩效指标一览表</w:t>
      </w:r>
      <w:bookmarkEnd w:id="74"/>
    </w:p>
    <w:p w14:paraId="4CD22D42">
      <w:pPr>
        <w:spacing w:line="540" w:lineRule="exact"/>
        <w:ind w:firstLine="640" w:firstLineChars="200"/>
        <w:jc w:val="both"/>
        <w:textAlignment w:val="baseline"/>
        <w:rPr>
          <w:rFonts w:ascii="仿宋_GB2312" w:hAnsi="宋体" w:eastAsia="仿宋_GB2312"/>
          <w:sz w:val="32"/>
          <w:szCs w:val="32"/>
          <w:u w:color="000000"/>
        </w:rPr>
      </w:pPr>
    </w:p>
    <w:p w14:paraId="6574B41C">
      <w:pPr>
        <w:spacing w:line="540" w:lineRule="exact"/>
        <w:ind w:firstLine="640" w:firstLineChars="200"/>
        <w:jc w:val="both"/>
        <w:textAlignment w:val="baseline"/>
        <w:rPr>
          <w:rFonts w:ascii="仿宋_GB2312" w:hAnsi="宋体" w:eastAsia="仿宋_GB2312"/>
          <w:sz w:val="32"/>
          <w:szCs w:val="32"/>
          <w:u w:color="000000"/>
        </w:rPr>
      </w:pPr>
    </w:p>
    <w:p w14:paraId="5D54DBB7">
      <w:pPr>
        <w:spacing w:line="540" w:lineRule="exact"/>
        <w:ind w:firstLine="640" w:firstLineChars="200"/>
        <w:jc w:val="both"/>
        <w:textAlignment w:val="baseline"/>
        <w:rPr>
          <w:rFonts w:ascii="仿宋_GB2312" w:hAnsi="宋体" w:eastAsia="仿宋_GB2312"/>
          <w:sz w:val="32"/>
          <w:szCs w:val="32"/>
          <w:u w:color="000000"/>
        </w:rPr>
      </w:pPr>
    </w:p>
    <w:p w14:paraId="48F2A1FD">
      <w:pPr>
        <w:spacing w:line="540" w:lineRule="exact"/>
        <w:ind w:firstLine="640" w:firstLineChars="200"/>
        <w:jc w:val="both"/>
        <w:textAlignment w:val="baseline"/>
        <w:rPr>
          <w:rFonts w:ascii="仿宋_GB2312" w:hAnsi="宋体" w:eastAsia="仿宋_GB2312"/>
          <w:sz w:val="32"/>
          <w:szCs w:val="32"/>
          <w:u w:color="000000"/>
        </w:rPr>
      </w:pPr>
    </w:p>
    <w:p w14:paraId="63342EAC">
      <w:pPr>
        <w:spacing w:line="540" w:lineRule="exact"/>
        <w:ind w:firstLine="640" w:firstLineChars="200"/>
        <w:jc w:val="both"/>
        <w:textAlignment w:val="baseline"/>
        <w:rPr>
          <w:rFonts w:ascii="仿宋_GB2312" w:hAnsi="宋体" w:eastAsia="仿宋_GB2312"/>
          <w:sz w:val="32"/>
          <w:szCs w:val="32"/>
          <w:u w:color="000000"/>
        </w:rPr>
      </w:pPr>
    </w:p>
    <w:sectPr>
      <w:footerReference r:id="rId5" w:type="default"/>
      <w:pgSz w:w="11906" w:h="16838"/>
      <w:pgMar w:top="1440" w:right="1797" w:bottom="1191" w:left="179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25DE6">
    <w:pPr>
      <w:pStyle w:val="14"/>
      <w:jc w:val="center"/>
    </w:pPr>
  </w:p>
  <w:p w14:paraId="0946BFC7">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BD131">
    <w:pPr>
      <w:pStyle w:val="14"/>
      <w:jc w:val="center"/>
    </w:pPr>
    <w:r>
      <w:fldChar w:fldCharType="begin"/>
    </w:r>
    <w:r>
      <w:instrText xml:space="preserve"> PAGE   \* MERGEFORMAT </w:instrText>
    </w:r>
    <w:r>
      <w:fldChar w:fldCharType="separate"/>
    </w:r>
    <w:r>
      <w:rPr>
        <w:lang w:val="zh-CN"/>
      </w:rPr>
      <w:t>35</w:t>
    </w:r>
    <w:r>
      <w:rPr>
        <w:lang w:val="zh-CN"/>
      </w:rPr>
      <w:fldChar w:fldCharType="end"/>
    </w:r>
  </w:p>
  <w:p w14:paraId="7DD7F3C5">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720"/>
  <w:doNotHyphenateCaps/>
  <w:noPunctuationKerning w:val="1"/>
  <w:characterSpacingControl w:val="doNotCompress"/>
  <w:noLineBreaksAfter w:lang="zh-CN" w:val="$([{£¥·‘“〈《「『【〔〖〝﹙﹛﹝＄（．［｛￡￥"/>
  <w:noLineBreaksBefore w:lang="zh-CN" w:val="!%),.:;&gt;?]}¢¨°·ˇˉ―‖’”…‰′″›℃∶、。〃〉》」』】〕〗〞︶︺︾﹀﹄﹚﹜﹞！＂％＇），．：；？］｀｜｝～￠"/>
  <w:doNotValidateAgainstSchema/>
  <w:doNotDemarcateInvalidXml/>
  <w:footnotePr>
    <w:footnote w:id="0"/>
    <w:footnote w:id="1"/>
  </w:foot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hjMmIxYWJkODNhYmEwMzRiM2Y2ZTRiM2ZmYThmNTYifQ=="/>
  </w:docVars>
  <w:rsids>
    <w:rsidRoot w:val="00D31D50"/>
    <w:rsid w:val="00004179"/>
    <w:rsid w:val="0000439F"/>
    <w:rsid w:val="00007CA0"/>
    <w:rsid w:val="00011687"/>
    <w:rsid w:val="000132F3"/>
    <w:rsid w:val="00015C39"/>
    <w:rsid w:val="000174D3"/>
    <w:rsid w:val="0002415F"/>
    <w:rsid w:val="00025620"/>
    <w:rsid w:val="0002705B"/>
    <w:rsid w:val="000317D7"/>
    <w:rsid w:val="00032963"/>
    <w:rsid w:val="00032B03"/>
    <w:rsid w:val="000334C2"/>
    <w:rsid w:val="0003450B"/>
    <w:rsid w:val="0003465E"/>
    <w:rsid w:val="00034910"/>
    <w:rsid w:val="0003506D"/>
    <w:rsid w:val="000409C0"/>
    <w:rsid w:val="0004123E"/>
    <w:rsid w:val="00044599"/>
    <w:rsid w:val="000446E5"/>
    <w:rsid w:val="00044A25"/>
    <w:rsid w:val="00044B0A"/>
    <w:rsid w:val="00047D49"/>
    <w:rsid w:val="00047D7B"/>
    <w:rsid w:val="000509B6"/>
    <w:rsid w:val="00050A62"/>
    <w:rsid w:val="000516BA"/>
    <w:rsid w:val="00051DBC"/>
    <w:rsid w:val="00052010"/>
    <w:rsid w:val="00061096"/>
    <w:rsid w:val="000612A2"/>
    <w:rsid w:val="00063117"/>
    <w:rsid w:val="000656FA"/>
    <w:rsid w:val="00065DEF"/>
    <w:rsid w:val="00072BF5"/>
    <w:rsid w:val="000752C6"/>
    <w:rsid w:val="00075B78"/>
    <w:rsid w:val="00077648"/>
    <w:rsid w:val="00077CB7"/>
    <w:rsid w:val="000806F0"/>
    <w:rsid w:val="0008095D"/>
    <w:rsid w:val="00080E48"/>
    <w:rsid w:val="000825BA"/>
    <w:rsid w:val="00090C2D"/>
    <w:rsid w:val="00091D50"/>
    <w:rsid w:val="000935D5"/>
    <w:rsid w:val="0009618D"/>
    <w:rsid w:val="00096195"/>
    <w:rsid w:val="00096682"/>
    <w:rsid w:val="0009756F"/>
    <w:rsid w:val="000A1F67"/>
    <w:rsid w:val="000A2079"/>
    <w:rsid w:val="000A3052"/>
    <w:rsid w:val="000A5467"/>
    <w:rsid w:val="000B09F3"/>
    <w:rsid w:val="000B0C4A"/>
    <w:rsid w:val="000B23E8"/>
    <w:rsid w:val="000B62FE"/>
    <w:rsid w:val="000B72BC"/>
    <w:rsid w:val="000B78D7"/>
    <w:rsid w:val="000C1EA5"/>
    <w:rsid w:val="000C36B8"/>
    <w:rsid w:val="000C52FB"/>
    <w:rsid w:val="000C55E6"/>
    <w:rsid w:val="000C6D5A"/>
    <w:rsid w:val="000D09B2"/>
    <w:rsid w:val="000D7C38"/>
    <w:rsid w:val="000E0902"/>
    <w:rsid w:val="000E1A0B"/>
    <w:rsid w:val="000E3830"/>
    <w:rsid w:val="000E4098"/>
    <w:rsid w:val="000F070B"/>
    <w:rsid w:val="000F3158"/>
    <w:rsid w:val="000F364D"/>
    <w:rsid w:val="000F4432"/>
    <w:rsid w:val="000F465E"/>
    <w:rsid w:val="000F5E8C"/>
    <w:rsid w:val="001000B2"/>
    <w:rsid w:val="00104C6C"/>
    <w:rsid w:val="0010560E"/>
    <w:rsid w:val="0010612A"/>
    <w:rsid w:val="00106FF7"/>
    <w:rsid w:val="00107111"/>
    <w:rsid w:val="001073D6"/>
    <w:rsid w:val="00107819"/>
    <w:rsid w:val="0011574B"/>
    <w:rsid w:val="00116132"/>
    <w:rsid w:val="00117B9C"/>
    <w:rsid w:val="00117E7D"/>
    <w:rsid w:val="00120EA6"/>
    <w:rsid w:val="00122196"/>
    <w:rsid w:val="0012439D"/>
    <w:rsid w:val="0012587C"/>
    <w:rsid w:val="0013591D"/>
    <w:rsid w:val="00141DE8"/>
    <w:rsid w:val="00144105"/>
    <w:rsid w:val="00145B4E"/>
    <w:rsid w:val="001544E1"/>
    <w:rsid w:val="001551CE"/>
    <w:rsid w:val="00164732"/>
    <w:rsid w:val="00164FE1"/>
    <w:rsid w:val="001703D7"/>
    <w:rsid w:val="001719D0"/>
    <w:rsid w:val="00172245"/>
    <w:rsid w:val="0017403C"/>
    <w:rsid w:val="00174241"/>
    <w:rsid w:val="001751E6"/>
    <w:rsid w:val="00176E7D"/>
    <w:rsid w:val="001804B7"/>
    <w:rsid w:val="001827F5"/>
    <w:rsid w:val="00183C43"/>
    <w:rsid w:val="00185652"/>
    <w:rsid w:val="00187750"/>
    <w:rsid w:val="00190292"/>
    <w:rsid w:val="001926B8"/>
    <w:rsid w:val="0019341A"/>
    <w:rsid w:val="001952EC"/>
    <w:rsid w:val="001A0F7A"/>
    <w:rsid w:val="001A1677"/>
    <w:rsid w:val="001A5FD3"/>
    <w:rsid w:val="001B0380"/>
    <w:rsid w:val="001B04A4"/>
    <w:rsid w:val="001B30D5"/>
    <w:rsid w:val="001B382A"/>
    <w:rsid w:val="001B5C88"/>
    <w:rsid w:val="001B6CE6"/>
    <w:rsid w:val="001C046D"/>
    <w:rsid w:val="001C1412"/>
    <w:rsid w:val="001C391F"/>
    <w:rsid w:val="001C5135"/>
    <w:rsid w:val="001C796E"/>
    <w:rsid w:val="001D1367"/>
    <w:rsid w:val="001D5041"/>
    <w:rsid w:val="001D5A7C"/>
    <w:rsid w:val="001D76AA"/>
    <w:rsid w:val="001E21EA"/>
    <w:rsid w:val="001E288A"/>
    <w:rsid w:val="001E3ABB"/>
    <w:rsid w:val="001E4C24"/>
    <w:rsid w:val="001E5C43"/>
    <w:rsid w:val="001F07B6"/>
    <w:rsid w:val="001F0B92"/>
    <w:rsid w:val="001F1094"/>
    <w:rsid w:val="001F2F0E"/>
    <w:rsid w:val="001F33AA"/>
    <w:rsid w:val="001F6236"/>
    <w:rsid w:val="00200051"/>
    <w:rsid w:val="00202D5A"/>
    <w:rsid w:val="00205F02"/>
    <w:rsid w:val="00207701"/>
    <w:rsid w:val="0021307B"/>
    <w:rsid w:val="002142B8"/>
    <w:rsid w:val="002161F4"/>
    <w:rsid w:val="00216E75"/>
    <w:rsid w:val="00221907"/>
    <w:rsid w:val="00222FA8"/>
    <w:rsid w:val="0022532A"/>
    <w:rsid w:val="00227AF3"/>
    <w:rsid w:val="00227AFB"/>
    <w:rsid w:val="00235741"/>
    <w:rsid w:val="00236B18"/>
    <w:rsid w:val="002401EA"/>
    <w:rsid w:val="00240A04"/>
    <w:rsid w:val="00241B9D"/>
    <w:rsid w:val="002439D4"/>
    <w:rsid w:val="00245CB2"/>
    <w:rsid w:val="00246A44"/>
    <w:rsid w:val="00250BAC"/>
    <w:rsid w:val="00260245"/>
    <w:rsid w:val="002602C3"/>
    <w:rsid w:val="0026252A"/>
    <w:rsid w:val="00262BB1"/>
    <w:rsid w:val="00263D3A"/>
    <w:rsid w:val="002643BE"/>
    <w:rsid w:val="00265325"/>
    <w:rsid w:val="00266E84"/>
    <w:rsid w:val="002715FC"/>
    <w:rsid w:val="002736FD"/>
    <w:rsid w:val="00274CFA"/>
    <w:rsid w:val="00275677"/>
    <w:rsid w:val="00275A3F"/>
    <w:rsid w:val="00277113"/>
    <w:rsid w:val="0028068C"/>
    <w:rsid w:val="00282A89"/>
    <w:rsid w:val="00282FF8"/>
    <w:rsid w:val="00283F8F"/>
    <w:rsid w:val="002869F9"/>
    <w:rsid w:val="00292F98"/>
    <w:rsid w:val="002939A0"/>
    <w:rsid w:val="002959A3"/>
    <w:rsid w:val="0029626E"/>
    <w:rsid w:val="00296E59"/>
    <w:rsid w:val="002979B7"/>
    <w:rsid w:val="00297CEF"/>
    <w:rsid w:val="002A0364"/>
    <w:rsid w:val="002A1661"/>
    <w:rsid w:val="002A1A25"/>
    <w:rsid w:val="002A563C"/>
    <w:rsid w:val="002B05EF"/>
    <w:rsid w:val="002B2388"/>
    <w:rsid w:val="002B2E34"/>
    <w:rsid w:val="002B76FA"/>
    <w:rsid w:val="002C029E"/>
    <w:rsid w:val="002C2C71"/>
    <w:rsid w:val="002C4966"/>
    <w:rsid w:val="002C4EFF"/>
    <w:rsid w:val="002C5A65"/>
    <w:rsid w:val="002C71F3"/>
    <w:rsid w:val="002D2112"/>
    <w:rsid w:val="002D53D7"/>
    <w:rsid w:val="002D5508"/>
    <w:rsid w:val="002D5FC1"/>
    <w:rsid w:val="002D7AB3"/>
    <w:rsid w:val="002E1D3C"/>
    <w:rsid w:val="002E1F73"/>
    <w:rsid w:val="002E269D"/>
    <w:rsid w:val="002E3460"/>
    <w:rsid w:val="002E62BF"/>
    <w:rsid w:val="002E70AE"/>
    <w:rsid w:val="002F0C41"/>
    <w:rsid w:val="002F5B6A"/>
    <w:rsid w:val="002F5BF5"/>
    <w:rsid w:val="002F5ECA"/>
    <w:rsid w:val="00306572"/>
    <w:rsid w:val="003079C7"/>
    <w:rsid w:val="0031159D"/>
    <w:rsid w:val="0031318C"/>
    <w:rsid w:val="003169F3"/>
    <w:rsid w:val="00316A0F"/>
    <w:rsid w:val="0032078D"/>
    <w:rsid w:val="00321CE0"/>
    <w:rsid w:val="0032231F"/>
    <w:rsid w:val="00323B43"/>
    <w:rsid w:val="00325BCC"/>
    <w:rsid w:val="00326FA5"/>
    <w:rsid w:val="003309A3"/>
    <w:rsid w:val="003345BC"/>
    <w:rsid w:val="00343662"/>
    <w:rsid w:val="0035365E"/>
    <w:rsid w:val="00355403"/>
    <w:rsid w:val="003569A8"/>
    <w:rsid w:val="00361FFF"/>
    <w:rsid w:val="00362340"/>
    <w:rsid w:val="003653A5"/>
    <w:rsid w:val="00366971"/>
    <w:rsid w:val="00367DF7"/>
    <w:rsid w:val="00370AFA"/>
    <w:rsid w:val="0037120F"/>
    <w:rsid w:val="003715C3"/>
    <w:rsid w:val="0037242E"/>
    <w:rsid w:val="003743E9"/>
    <w:rsid w:val="0037737B"/>
    <w:rsid w:val="0038005F"/>
    <w:rsid w:val="003803CC"/>
    <w:rsid w:val="00382949"/>
    <w:rsid w:val="00391AE3"/>
    <w:rsid w:val="00393C77"/>
    <w:rsid w:val="00396D4C"/>
    <w:rsid w:val="003A02BE"/>
    <w:rsid w:val="003A1765"/>
    <w:rsid w:val="003A3C32"/>
    <w:rsid w:val="003A4AC3"/>
    <w:rsid w:val="003A4D02"/>
    <w:rsid w:val="003A4D52"/>
    <w:rsid w:val="003A536E"/>
    <w:rsid w:val="003A718D"/>
    <w:rsid w:val="003B02A3"/>
    <w:rsid w:val="003B6DEC"/>
    <w:rsid w:val="003B79D3"/>
    <w:rsid w:val="003C2B92"/>
    <w:rsid w:val="003D126B"/>
    <w:rsid w:val="003D1D33"/>
    <w:rsid w:val="003D22C9"/>
    <w:rsid w:val="003D28AC"/>
    <w:rsid w:val="003D3733"/>
    <w:rsid w:val="003D37D8"/>
    <w:rsid w:val="003D7B2A"/>
    <w:rsid w:val="003E266C"/>
    <w:rsid w:val="003E3C05"/>
    <w:rsid w:val="003F282F"/>
    <w:rsid w:val="00400E89"/>
    <w:rsid w:val="00401AB4"/>
    <w:rsid w:val="00402CA2"/>
    <w:rsid w:val="00402D95"/>
    <w:rsid w:val="00403ADD"/>
    <w:rsid w:val="00407629"/>
    <w:rsid w:val="004108EE"/>
    <w:rsid w:val="00410F1A"/>
    <w:rsid w:val="00412A31"/>
    <w:rsid w:val="004200B9"/>
    <w:rsid w:val="00426133"/>
    <w:rsid w:val="004300B1"/>
    <w:rsid w:val="00430AF8"/>
    <w:rsid w:val="0043148F"/>
    <w:rsid w:val="0043354D"/>
    <w:rsid w:val="00434EB0"/>
    <w:rsid w:val="004358AB"/>
    <w:rsid w:val="00435DA7"/>
    <w:rsid w:val="004370A2"/>
    <w:rsid w:val="00437865"/>
    <w:rsid w:val="00445C28"/>
    <w:rsid w:val="004468B5"/>
    <w:rsid w:val="00451E9F"/>
    <w:rsid w:val="00452F10"/>
    <w:rsid w:val="004551F1"/>
    <w:rsid w:val="00456648"/>
    <w:rsid w:val="00457E00"/>
    <w:rsid w:val="00461E7C"/>
    <w:rsid w:val="004639CB"/>
    <w:rsid w:val="004639E0"/>
    <w:rsid w:val="00463A6D"/>
    <w:rsid w:val="00465A21"/>
    <w:rsid w:val="0047029F"/>
    <w:rsid w:val="0047047F"/>
    <w:rsid w:val="00472532"/>
    <w:rsid w:val="0047276D"/>
    <w:rsid w:val="00472C49"/>
    <w:rsid w:val="00474DE3"/>
    <w:rsid w:val="00476219"/>
    <w:rsid w:val="00477959"/>
    <w:rsid w:val="00486217"/>
    <w:rsid w:val="00486A56"/>
    <w:rsid w:val="00494D73"/>
    <w:rsid w:val="004A19C4"/>
    <w:rsid w:val="004A6EA4"/>
    <w:rsid w:val="004B146A"/>
    <w:rsid w:val="004B1E69"/>
    <w:rsid w:val="004B4146"/>
    <w:rsid w:val="004B5892"/>
    <w:rsid w:val="004B59DD"/>
    <w:rsid w:val="004B5E88"/>
    <w:rsid w:val="004B5EDE"/>
    <w:rsid w:val="004C0341"/>
    <w:rsid w:val="004C46D3"/>
    <w:rsid w:val="004C5D39"/>
    <w:rsid w:val="004C7656"/>
    <w:rsid w:val="004C7C48"/>
    <w:rsid w:val="004D21B9"/>
    <w:rsid w:val="004D21FF"/>
    <w:rsid w:val="004D2DD5"/>
    <w:rsid w:val="004D41F0"/>
    <w:rsid w:val="004D55F1"/>
    <w:rsid w:val="004D578A"/>
    <w:rsid w:val="004D656B"/>
    <w:rsid w:val="004D7523"/>
    <w:rsid w:val="004E0AA9"/>
    <w:rsid w:val="004E1AEF"/>
    <w:rsid w:val="004E3774"/>
    <w:rsid w:val="004E446B"/>
    <w:rsid w:val="004E5448"/>
    <w:rsid w:val="004E5DFC"/>
    <w:rsid w:val="004E642E"/>
    <w:rsid w:val="004E7ADC"/>
    <w:rsid w:val="004F4875"/>
    <w:rsid w:val="005024D5"/>
    <w:rsid w:val="005031BA"/>
    <w:rsid w:val="00507211"/>
    <w:rsid w:val="00507934"/>
    <w:rsid w:val="005108E7"/>
    <w:rsid w:val="0051171B"/>
    <w:rsid w:val="00512D1D"/>
    <w:rsid w:val="005131A5"/>
    <w:rsid w:val="00515160"/>
    <w:rsid w:val="00515C9F"/>
    <w:rsid w:val="00516D5A"/>
    <w:rsid w:val="005170FB"/>
    <w:rsid w:val="0052300D"/>
    <w:rsid w:val="00523B77"/>
    <w:rsid w:val="0052474C"/>
    <w:rsid w:val="00525074"/>
    <w:rsid w:val="00525520"/>
    <w:rsid w:val="005319EE"/>
    <w:rsid w:val="00531BE2"/>
    <w:rsid w:val="005417A8"/>
    <w:rsid w:val="005421AC"/>
    <w:rsid w:val="00544C1A"/>
    <w:rsid w:val="00546D1B"/>
    <w:rsid w:val="0055027D"/>
    <w:rsid w:val="00553A8B"/>
    <w:rsid w:val="00554FA1"/>
    <w:rsid w:val="00556934"/>
    <w:rsid w:val="0055755C"/>
    <w:rsid w:val="005607DF"/>
    <w:rsid w:val="00564377"/>
    <w:rsid w:val="00564538"/>
    <w:rsid w:val="00566A89"/>
    <w:rsid w:val="00567E07"/>
    <w:rsid w:val="005771F7"/>
    <w:rsid w:val="00577B7B"/>
    <w:rsid w:val="005825ED"/>
    <w:rsid w:val="00583F7F"/>
    <w:rsid w:val="0058600B"/>
    <w:rsid w:val="00587913"/>
    <w:rsid w:val="00593428"/>
    <w:rsid w:val="00593B65"/>
    <w:rsid w:val="005A15D6"/>
    <w:rsid w:val="005A1FD8"/>
    <w:rsid w:val="005A317D"/>
    <w:rsid w:val="005A79F9"/>
    <w:rsid w:val="005C04E0"/>
    <w:rsid w:val="005C3594"/>
    <w:rsid w:val="005C46B7"/>
    <w:rsid w:val="005C7C8B"/>
    <w:rsid w:val="005D4C1F"/>
    <w:rsid w:val="005D5617"/>
    <w:rsid w:val="005D6591"/>
    <w:rsid w:val="005D6869"/>
    <w:rsid w:val="005D7446"/>
    <w:rsid w:val="005E5F88"/>
    <w:rsid w:val="005E722A"/>
    <w:rsid w:val="005F06F5"/>
    <w:rsid w:val="005F46C0"/>
    <w:rsid w:val="005F471D"/>
    <w:rsid w:val="005F720A"/>
    <w:rsid w:val="005F7467"/>
    <w:rsid w:val="005F78E7"/>
    <w:rsid w:val="006007F3"/>
    <w:rsid w:val="0060402C"/>
    <w:rsid w:val="006050E8"/>
    <w:rsid w:val="00605975"/>
    <w:rsid w:val="0061252A"/>
    <w:rsid w:val="006133CD"/>
    <w:rsid w:val="006135B3"/>
    <w:rsid w:val="006138D4"/>
    <w:rsid w:val="00616C03"/>
    <w:rsid w:val="00616F30"/>
    <w:rsid w:val="006215A2"/>
    <w:rsid w:val="00621F7D"/>
    <w:rsid w:val="00622AD1"/>
    <w:rsid w:val="00623267"/>
    <w:rsid w:val="00625428"/>
    <w:rsid w:val="0062670B"/>
    <w:rsid w:val="00630B86"/>
    <w:rsid w:val="00630F5B"/>
    <w:rsid w:val="00634C66"/>
    <w:rsid w:val="006352D1"/>
    <w:rsid w:val="00636E1A"/>
    <w:rsid w:val="00642BA5"/>
    <w:rsid w:val="006434E0"/>
    <w:rsid w:val="00650C90"/>
    <w:rsid w:val="0065172D"/>
    <w:rsid w:val="0065287D"/>
    <w:rsid w:val="0065671B"/>
    <w:rsid w:val="00656A5A"/>
    <w:rsid w:val="00663A42"/>
    <w:rsid w:val="0066418E"/>
    <w:rsid w:val="0066469F"/>
    <w:rsid w:val="00664DC7"/>
    <w:rsid w:val="00676566"/>
    <w:rsid w:val="0067780F"/>
    <w:rsid w:val="00680B9F"/>
    <w:rsid w:val="0068140F"/>
    <w:rsid w:val="00684287"/>
    <w:rsid w:val="00686C30"/>
    <w:rsid w:val="00687252"/>
    <w:rsid w:val="00690FA3"/>
    <w:rsid w:val="0069331D"/>
    <w:rsid w:val="00696DF8"/>
    <w:rsid w:val="0069783E"/>
    <w:rsid w:val="00697E26"/>
    <w:rsid w:val="006A0330"/>
    <w:rsid w:val="006A3AE1"/>
    <w:rsid w:val="006A3B57"/>
    <w:rsid w:val="006A6958"/>
    <w:rsid w:val="006A6AB2"/>
    <w:rsid w:val="006B117D"/>
    <w:rsid w:val="006B19B7"/>
    <w:rsid w:val="006B392C"/>
    <w:rsid w:val="006B4CC0"/>
    <w:rsid w:val="006B65B0"/>
    <w:rsid w:val="006B7B84"/>
    <w:rsid w:val="006C5198"/>
    <w:rsid w:val="006C6A07"/>
    <w:rsid w:val="006E0A3D"/>
    <w:rsid w:val="006E27F1"/>
    <w:rsid w:val="006E5BC8"/>
    <w:rsid w:val="006E7CBA"/>
    <w:rsid w:val="006F222F"/>
    <w:rsid w:val="006F551B"/>
    <w:rsid w:val="006F7B69"/>
    <w:rsid w:val="0070241F"/>
    <w:rsid w:val="007024A9"/>
    <w:rsid w:val="00703C96"/>
    <w:rsid w:val="007130D7"/>
    <w:rsid w:val="00713E98"/>
    <w:rsid w:val="00715591"/>
    <w:rsid w:val="00715AE8"/>
    <w:rsid w:val="0072516F"/>
    <w:rsid w:val="0073034D"/>
    <w:rsid w:val="00731ADC"/>
    <w:rsid w:val="007330F2"/>
    <w:rsid w:val="00733DB0"/>
    <w:rsid w:val="00735043"/>
    <w:rsid w:val="00740444"/>
    <w:rsid w:val="00744577"/>
    <w:rsid w:val="007452CF"/>
    <w:rsid w:val="00746055"/>
    <w:rsid w:val="00746DA9"/>
    <w:rsid w:val="00747086"/>
    <w:rsid w:val="007515E2"/>
    <w:rsid w:val="00756D66"/>
    <w:rsid w:val="00761D80"/>
    <w:rsid w:val="0076364A"/>
    <w:rsid w:val="00766FC5"/>
    <w:rsid w:val="00770E5B"/>
    <w:rsid w:val="00772930"/>
    <w:rsid w:val="00776E20"/>
    <w:rsid w:val="00780704"/>
    <w:rsid w:val="007814AF"/>
    <w:rsid w:val="007825F0"/>
    <w:rsid w:val="00787F88"/>
    <w:rsid w:val="0079721A"/>
    <w:rsid w:val="007A095C"/>
    <w:rsid w:val="007A0AF8"/>
    <w:rsid w:val="007A283A"/>
    <w:rsid w:val="007A65C8"/>
    <w:rsid w:val="007A6B16"/>
    <w:rsid w:val="007A7AC4"/>
    <w:rsid w:val="007B639C"/>
    <w:rsid w:val="007B7036"/>
    <w:rsid w:val="007C0870"/>
    <w:rsid w:val="007C2D10"/>
    <w:rsid w:val="007C457D"/>
    <w:rsid w:val="007C4A22"/>
    <w:rsid w:val="007D02A9"/>
    <w:rsid w:val="007D166D"/>
    <w:rsid w:val="007D17C7"/>
    <w:rsid w:val="007D2766"/>
    <w:rsid w:val="007D2961"/>
    <w:rsid w:val="007D2FF7"/>
    <w:rsid w:val="007D38E6"/>
    <w:rsid w:val="007D49F0"/>
    <w:rsid w:val="007D6C20"/>
    <w:rsid w:val="007D74D8"/>
    <w:rsid w:val="007E13A4"/>
    <w:rsid w:val="007E20CA"/>
    <w:rsid w:val="007E3988"/>
    <w:rsid w:val="007E4698"/>
    <w:rsid w:val="007E6959"/>
    <w:rsid w:val="007E6991"/>
    <w:rsid w:val="007E7A36"/>
    <w:rsid w:val="007F222D"/>
    <w:rsid w:val="007F3FB7"/>
    <w:rsid w:val="007F518D"/>
    <w:rsid w:val="007F68FE"/>
    <w:rsid w:val="007F7E7E"/>
    <w:rsid w:val="00803C29"/>
    <w:rsid w:val="00804E5E"/>
    <w:rsid w:val="00804FAA"/>
    <w:rsid w:val="00805678"/>
    <w:rsid w:val="00805D26"/>
    <w:rsid w:val="0081553D"/>
    <w:rsid w:val="00815BE9"/>
    <w:rsid w:val="00815C94"/>
    <w:rsid w:val="00815CF6"/>
    <w:rsid w:val="00816990"/>
    <w:rsid w:val="00817981"/>
    <w:rsid w:val="008219D5"/>
    <w:rsid w:val="00822851"/>
    <w:rsid w:val="00824A75"/>
    <w:rsid w:val="0082509A"/>
    <w:rsid w:val="00825A51"/>
    <w:rsid w:val="00825D53"/>
    <w:rsid w:val="008272DF"/>
    <w:rsid w:val="00831065"/>
    <w:rsid w:val="008337A7"/>
    <w:rsid w:val="00835BCB"/>
    <w:rsid w:val="00836773"/>
    <w:rsid w:val="00836E6A"/>
    <w:rsid w:val="008410D0"/>
    <w:rsid w:val="00841559"/>
    <w:rsid w:val="0084558B"/>
    <w:rsid w:val="00845924"/>
    <w:rsid w:val="00846107"/>
    <w:rsid w:val="00847E07"/>
    <w:rsid w:val="00851297"/>
    <w:rsid w:val="00852C43"/>
    <w:rsid w:val="00853737"/>
    <w:rsid w:val="008541B8"/>
    <w:rsid w:val="00857249"/>
    <w:rsid w:val="00861067"/>
    <w:rsid w:val="00862AE2"/>
    <w:rsid w:val="00862C25"/>
    <w:rsid w:val="00863CA2"/>
    <w:rsid w:val="00864A80"/>
    <w:rsid w:val="008655ED"/>
    <w:rsid w:val="00866942"/>
    <w:rsid w:val="00871B0D"/>
    <w:rsid w:val="00871B14"/>
    <w:rsid w:val="008735A1"/>
    <w:rsid w:val="00875962"/>
    <w:rsid w:val="00880325"/>
    <w:rsid w:val="00882ABD"/>
    <w:rsid w:val="008844A4"/>
    <w:rsid w:val="008857CC"/>
    <w:rsid w:val="0089314F"/>
    <w:rsid w:val="0089328E"/>
    <w:rsid w:val="00894E40"/>
    <w:rsid w:val="0089513A"/>
    <w:rsid w:val="00896069"/>
    <w:rsid w:val="00896786"/>
    <w:rsid w:val="008976AB"/>
    <w:rsid w:val="008A2C15"/>
    <w:rsid w:val="008A3DBA"/>
    <w:rsid w:val="008A483E"/>
    <w:rsid w:val="008A5601"/>
    <w:rsid w:val="008B2F03"/>
    <w:rsid w:val="008B3F82"/>
    <w:rsid w:val="008B7726"/>
    <w:rsid w:val="008C08EC"/>
    <w:rsid w:val="008C2997"/>
    <w:rsid w:val="008C443B"/>
    <w:rsid w:val="008C538A"/>
    <w:rsid w:val="008D0618"/>
    <w:rsid w:val="008D1AEB"/>
    <w:rsid w:val="008D1E23"/>
    <w:rsid w:val="008D2A7C"/>
    <w:rsid w:val="008D3031"/>
    <w:rsid w:val="008D4F00"/>
    <w:rsid w:val="008D7DBC"/>
    <w:rsid w:val="008E08B2"/>
    <w:rsid w:val="008E0AFC"/>
    <w:rsid w:val="008E1E43"/>
    <w:rsid w:val="008E3116"/>
    <w:rsid w:val="008E637F"/>
    <w:rsid w:val="008E66FE"/>
    <w:rsid w:val="008F27DB"/>
    <w:rsid w:val="008F5B6F"/>
    <w:rsid w:val="009002A3"/>
    <w:rsid w:val="0090038C"/>
    <w:rsid w:val="009007EC"/>
    <w:rsid w:val="00900EF5"/>
    <w:rsid w:val="00901EE5"/>
    <w:rsid w:val="0090421D"/>
    <w:rsid w:val="00906447"/>
    <w:rsid w:val="0091349D"/>
    <w:rsid w:val="009141C7"/>
    <w:rsid w:val="009160EA"/>
    <w:rsid w:val="00917E0F"/>
    <w:rsid w:val="00920597"/>
    <w:rsid w:val="00921E42"/>
    <w:rsid w:val="00922872"/>
    <w:rsid w:val="0092425B"/>
    <w:rsid w:val="00924D39"/>
    <w:rsid w:val="00924FFE"/>
    <w:rsid w:val="009263C3"/>
    <w:rsid w:val="009268AB"/>
    <w:rsid w:val="009364FF"/>
    <w:rsid w:val="00942397"/>
    <w:rsid w:val="009425B4"/>
    <w:rsid w:val="00946F52"/>
    <w:rsid w:val="00950F44"/>
    <w:rsid w:val="00952A7D"/>
    <w:rsid w:val="00952BF8"/>
    <w:rsid w:val="00953747"/>
    <w:rsid w:val="0095565A"/>
    <w:rsid w:val="00955918"/>
    <w:rsid w:val="00960439"/>
    <w:rsid w:val="009606DF"/>
    <w:rsid w:val="00961D67"/>
    <w:rsid w:val="00962D93"/>
    <w:rsid w:val="009636EF"/>
    <w:rsid w:val="0096408D"/>
    <w:rsid w:val="009651A8"/>
    <w:rsid w:val="009657E9"/>
    <w:rsid w:val="0096666B"/>
    <w:rsid w:val="009719C3"/>
    <w:rsid w:val="0097578E"/>
    <w:rsid w:val="00976E55"/>
    <w:rsid w:val="009814B0"/>
    <w:rsid w:val="00984D41"/>
    <w:rsid w:val="009852BB"/>
    <w:rsid w:val="009853C4"/>
    <w:rsid w:val="0098547C"/>
    <w:rsid w:val="009860B4"/>
    <w:rsid w:val="00986724"/>
    <w:rsid w:val="0098718E"/>
    <w:rsid w:val="00994269"/>
    <w:rsid w:val="0099439A"/>
    <w:rsid w:val="00994737"/>
    <w:rsid w:val="009A0F00"/>
    <w:rsid w:val="009A37AE"/>
    <w:rsid w:val="009A4059"/>
    <w:rsid w:val="009A47EF"/>
    <w:rsid w:val="009B1979"/>
    <w:rsid w:val="009B1E1B"/>
    <w:rsid w:val="009B2CC0"/>
    <w:rsid w:val="009B4C38"/>
    <w:rsid w:val="009C0DAB"/>
    <w:rsid w:val="009C1E20"/>
    <w:rsid w:val="009D0378"/>
    <w:rsid w:val="009D0F18"/>
    <w:rsid w:val="009D1A68"/>
    <w:rsid w:val="009D1EFB"/>
    <w:rsid w:val="009D5964"/>
    <w:rsid w:val="009D6A0C"/>
    <w:rsid w:val="009E0725"/>
    <w:rsid w:val="009E1492"/>
    <w:rsid w:val="009E4B3F"/>
    <w:rsid w:val="009E5877"/>
    <w:rsid w:val="009E666E"/>
    <w:rsid w:val="009F41E9"/>
    <w:rsid w:val="009F69B0"/>
    <w:rsid w:val="00A0310D"/>
    <w:rsid w:val="00A073F4"/>
    <w:rsid w:val="00A07BBE"/>
    <w:rsid w:val="00A16439"/>
    <w:rsid w:val="00A21057"/>
    <w:rsid w:val="00A217CE"/>
    <w:rsid w:val="00A21E86"/>
    <w:rsid w:val="00A22DFB"/>
    <w:rsid w:val="00A26B47"/>
    <w:rsid w:val="00A27301"/>
    <w:rsid w:val="00A305E3"/>
    <w:rsid w:val="00A353F1"/>
    <w:rsid w:val="00A357B0"/>
    <w:rsid w:val="00A35B22"/>
    <w:rsid w:val="00A40CA6"/>
    <w:rsid w:val="00A42B99"/>
    <w:rsid w:val="00A479B6"/>
    <w:rsid w:val="00A50D3C"/>
    <w:rsid w:val="00A51750"/>
    <w:rsid w:val="00A532E3"/>
    <w:rsid w:val="00A54512"/>
    <w:rsid w:val="00A54D9C"/>
    <w:rsid w:val="00A56663"/>
    <w:rsid w:val="00A57200"/>
    <w:rsid w:val="00A573AD"/>
    <w:rsid w:val="00A57865"/>
    <w:rsid w:val="00A62B31"/>
    <w:rsid w:val="00A64850"/>
    <w:rsid w:val="00A65003"/>
    <w:rsid w:val="00A65202"/>
    <w:rsid w:val="00A73299"/>
    <w:rsid w:val="00A7536B"/>
    <w:rsid w:val="00A80356"/>
    <w:rsid w:val="00A816B6"/>
    <w:rsid w:val="00A82D81"/>
    <w:rsid w:val="00A96E79"/>
    <w:rsid w:val="00AA2033"/>
    <w:rsid w:val="00AA4A07"/>
    <w:rsid w:val="00AA6230"/>
    <w:rsid w:val="00AB632D"/>
    <w:rsid w:val="00AC5444"/>
    <w:rsid w:val="00AC70E1"/>
    <w:rsid w:val="00AD1D29"/>
    <w:rsid w:val="00AD328E"/>
    <w:rsid w:val="00AD5147"/>
    <w:rsid w:val="00AE0837"/>
    <w:rsid w:val="00AE11C8"/>
    <w:rsid w:val="00AE355C"/>
    <w:rsid w:val="00AE4EFC"/>
    <w:rsid w:val="00AE5731"/>
    <w:rsid w:val="00AE7127"/>
    <w:rsid w:val="00AF15EB"/>
    <w:rsid w:val="00AF6BA2"/>
    <w:rsid w:val="00AF7801"/>
    <w:rsid w:val="00B019E2"/>
    <w:rsid w:val="00B020ED"/>
    <w:rsid w:val="00B036CB"/>
    <w:rsid w:val="00B130D5"/>
    <w:rsid w:val="00B13566"/>
    <w:rsid w:val="00B13A54"/>
    <w:rsid w:val="00B14220"/>
    <w:rsid w:val="00B16868"/>
    <w:rsid w:val="00B17251"/>
    <w:rsid w:val="00B2128A"/>
    <w:rsid w:val="00B2159A"/>
    <w:rsid w:val="00B21D32"/>
    <w:rsid w:val="00B251FA"/>
    <w:rsid w:val="00B313B2"/>
    <w:rsid w:val="00B334AD"/>
    <w:rsid w:val="00B34A43"/>
    <w:rsid w:val="00B36912"/>
    <w:rsid w:val="00B404A0"/>
    <w:rsid w:val="00B4256A"/>
    <w:rsid w:val="00B432AB"/>
    <w:rsid w:val="00B54D75"/>
    <w:rsid w:val="00B60C2A"/>
    <w:rsid w:val="00B64061"/>
    <w:rsid w:val="00B65FC0"/>
    <w:rsid w:val="00B707DD"/>
    <w:rsid w:val="00B719F4"/>
    <w:rsid w:val="00B73995"/>
    <w:rsid w:val="00B74DBC"/>
    <w:rsid w:val="00B75E08"/>
    <w:rsid w:val="00B76684"/>
    <w:rsid w:val="00B7698F"/>
    <w:rsid w:val="00B85F5F"/>
    <w:rsid w:val="00B86395"/>
    <w:rsid w:val="00B86E2B"/>
    <w:rsid w:val="00B91DEC"/>
    <w:rsid w:val="00B92A56"/>
    <w:rsid w:val="00B931F8"/>
    <w:rsid w:val="00B95DB0"/>
    <w:rsid w:val="00B9722F"/>
    <w:rsid w:val="00B97741"/>
    <w:rsid w:val="00BA0721"/>
    <w:rsid w:val="00BA1883"/>
    <w:rsid w:val="00BA227D"/>
    <w:rsid w:val="00BA4C84"/>
    <w:rsid w:val="00BC09FC"/>
    <w:rsid w:val="00BC0DD5"/>
    <w:rsid w:val="00BC60E6"/>
    <w:rsid w:val="00BE66AA"/>
    <w:rsid w:val="00BE73B9"/>
    <w:rsid w:val="00BF444F"/>
    <w:rsid w:val="00BF77F5"/>
    <w:rsid w:val="00C01D8A"/>
    <w:rsid w:val="00C023EF"/>
    <w:rsid w:val="00C125B4"/>
    <w:rsid w:val="00C15415"/>
    <w:rsid w:val="00C16FE4"/>
    <w:rsid w:val="00C172EB"/>
    <w:rsid w:val="00C22F98"/>
    <w:rsid w:val="00C2363B"/>
    <w:rsid w:val="00C25385"/>
    <w:rsid w:val="00C26560"/>
    <w:rsid w:val="00C3062F"/>
    <w:rsid w:val="00C32E7A"/>
    <w:rsid w:val="00C408D9"/>
    <w:rsid w:val="00C42DB9"/>
    <w:rsid w:val="00C447FD"/>
    <w:rsid w:val="00C44B90"/>
    <w:rsid w:val="00C51434"/>
    <w:rsid w:val="00C51743"/>
    <w:rsid w:val="00C51A61"/>
    <w:rsid w:val="00C57393"/>
    <w:rsid w:val="00C60383"/>
    <w:rsid w:val="00C64C71"/>
    <w:rsid w:val="00C6528B"/>
    <w:rsid w:val="00C661B3"/>
    <w:rsid w:val="00C70300"/>
    <w:rsid w:val="00C7037D"/>
    <w:rsid w:val="00C70637"/>
    <w:rsid w:val="00C71DC8"/>
    <w:rsid w:val="00C735E0"/>
    <w:rsid w:val="00C73E69"/>
    <w:rsid w:val="00C74592"/>
    <w:rsid w:val="00C767BA"/>
    <w:rsid w:val="00C8048C"/>
    <w:rsid w:val="00C80C68"/>
    <w:rsid w:val="00C86E9A"/>
    <w:rsid w:val="00C90C02"/>
    <w:rsid w:val="00C93A3D"/>
    <w:rsid w:val="00C94F0A"/>
    <w:rsid w:val="00CA3203"/>
    <w:rsid w:val="00CA6058"/>
    <w:rsid w:val="00CA6BD1"/>
    <w:rsid w:val="00CB1B1B"/>
    <w:rsid w:val="00CB3E03"/>
    <w:rsid w:val="00CB580D"/>
    <w:rsid w:val="00CB6098"/>
    <w:rsid w:val="00CB623E"/>
    <w:rsid w:val="00CC0BA5"/>
    <w:rsid w:val="00CC1B92"/>
    <w:rsid w:val="00CC1F3E"/>
    <w:rsid w:val="00CC236E"/>
    <w:rsid w:val="00CC2B2A"/>
    <w:rsid w:val="00CC6216"/>
    <w:rsid w:val="00CC6A8D"/>
    <w:rsid w:val="00CC70FA"/>
    <w:rsid w:val="00CD37C3"/>
    <w:rsid w:val="00CD3911"/>
    <w:rsid w:val="00CD48EF"/>
    <w:rsid w:val="00CD4BA1"/>
    <w:rsid w:val="00CD59A6"/>
    <w:rsid w:val="00CE33C1"/>
    <w:rsid w:val="00CE3834"/>
    <w:rsid w:val="00CF148C"/>
    <w:rsid w:val="00CF3D94"/>
    <w:rsid w:val="00CF48A3"/>
    <w:rsid w:val="00CF5081"/>
    <w:rsid w:val="00D058E4"/>
    <w:rsid w:val="00D07178"/>
    <w:rsid w:val="00D11C0B"/>
    <w:rsid w:val="00D11EE9"/>
    <w:rsid w:val="00D13F47"/>
    <w:rsid w:val="00D14E66"/>
    <w:rsid w:val="00D17631"/>
    <w:rsid w:val="00D17CD3"/>
    <w:rsid w:val="00D17D15"/>
    <w:rsid w:val="00D21B22"/>
    <w:rsid w:val="00D24AEB"/>
    <w:rsid w:val="00D24AFD"/>
    <w:rsid w:val="00D27902"/>
    <w:rsid w:val="00D27984"/>
    <w:rsid w:val="00D31D50"/>
    <w:rsid w:val="00D323E9"/>
    <w:rsid w:val="00D34F5B"/>
    <w:rsid w:val="00D35023"/>
    <w:rsid w:val="00D3706E"/>
    <w:rsid w:val="00D403B8"/>
    <w:rsid w:val="00D45C1B"/>
    <w:rsid w:val="00D45E14"/>
    <w:rsid w:val="00D51C9A"/>
    <w:rsid w:val="00D5318C"/>
    <w:rsid w:val="00D53371"/>
    <w:rsid w:val="00D53BD5"/>
    <w:rsid w:val="00D55621"/>
    <w:rsid w:val="00D57419"/>
    <w:rsid w:val="00D6000E"/>
    <w:rsid w:val="00D623E1"/>
    <w:rsid w:val="00D713D6"/>
    <w:rsid w:val="00D72DAF"/>
    <w:rsid w:val="00D75BB9"/>
    <w:rsid w:val="00D76276"/>
    <w:rsid w:val="00D77919"/>
    <w:rsid w:val="00D8083C"/>
    <w:rsid w:val="00D85F8D"/>
    <w:rsid w:val="00D87F81"/>
    <w:rsid w:val="00D90E39"/>
    <w:rsid w:val="00D97E89"/>
    <w:rsid w:val="00DA45EE"/>
    <w:rsid w:val="00DA58A3"/>
    <w:rsid w:val="00DB2F5B"/>
    <w:rsid w:val="00DB46CB"/>
    <w:rsid w:val="00DB695F"/>
    <w:rsid w:val="00DC03E7"/>
    <w:rsid w:val="00DC3710"/>
    <w:rsid w:val="00DC3B9E"/>
    <w:rsid w:val="00DC4FB9"/>
    <w:rsid w:val="00DC545F"/>
    <w:rsid w:val="00DC54A9"/>
    <w:rsid w:val="00DC6139"/>
    <w:rsid w:val="00DC6686"/>
    <w:rsid w:val="00DC6D84"/>
    <w:rsid w:val="00DC7F68"/>
    <w:rsid w:val="00DD1D7F"/>
    <w:rsid w:val="00DD360A"/>
    <w:rsid w:val="00DD7F91"/>
    <w:rsid w:val="00DE0985"/>
    <w:rsid w:val="00DE206D"/>
    <w:rsid w:val="00DE42BF"/>
    <w:rsid w:val="00DE4A1A"/>
    <w:rsid w:val="00DE4E11"/>
    <w:rsid w:val="00DE53FE"/>
    <w:rsid w:val="00DE6ED8"/>
    <w:rsid w:val="00E0060F"/>
    <w:rsid w:val="00E00A5F"/>
    <w:rsid w:val="00E05D64"/>
    <w:rsid w:val="00E07ABB"/>
    <w:rsid w:val="00E07D8F"/>
    <w:rsid w:val="00E13762"/>
    <w:rsid w:val="00E14E2F"/>
    <w:rsid w:val="00E154CF"/>
    <w:rsid w:val="00E1552D"/>
    <w:rsid w:val="00E1640B"/>
    <w:rsid w:val="00E2036D"/>
    <w:rsid w:val="00E317A6"/>
    <w:rsid w:val="00E3190E"/>
    <w:rsid w:val="00E31F05"/>
    <w:rsid w:val="00E32285"/>
    <w:rsid w:val="00E34295"/>
    <w:rsid w:val="00E3667E"/>
    <w:rsid w:val="00E4228D"/>
    <w:rsid w:val="00E4254E"/>
    <w:rsid w:val="00E4608C"/>
    <w:rsid w:val="00E502A2"/>
    <w:rsid w:val="00E51CE4"/>
    <w:rsid w:val="00E521B6"/>
    <w:rsid w:val="00E52931"/>
    <w:rsid w:val="00E53ACE"/>
    <w:rsid w:val="00E5519B"/>
    <w:rsid w:val="00E55FEE"/>
    <w:rsid w:val="00E57BD3"/>
    <w:rsid w:val="00E57D38"/>
    <w:rsid w:val="00E65332"/>
    <w:rsid w:val="00E6556B"/>
    <w:rsid w:val="00E65F77"/>
    <w:rsid w:val="00E670CD"/>
    <w:rsid w:val="00E67EA9"/>
    <w:rsid w:val="00E7727F"/>
    <w:rsid w:val="00E83519"/>
    <w:rsid w:val="00E91889"/>
    <w:rsid w:val="00E91F0F"/>
    <w:rsid w:val="00E944E2"/>
    <w:rsid w:val="00E95C54"/>
    <w:rsid w:val="00E96103"/>
    <w:rsid w:val="00EA027D"/>
    <w:rsid w:val="00EB22CF"/>
    <w:rsid w:val="00EB3414"/>
    <w:rsid w:val="00EB39DD"/>
    <w:rsid w:val="00EB40E4"/>
    <w:rsid w:val="00EB67BA"/>
    <w:rsid w:val="00EC149F"/>
    <w:rsid w:val="00EC16F8"/>
    <w:rsid w:val="00EC306F"/>
    <w:rsid w:val="00EC408E"/>
    <w:rsid w:val="00EC41F2"/>
    <w:rsid w:val="00EC4EB3"/>
    <w:rsid w:val="00EC5617"/>
    <w:rsid w:val="00EC5E46"/>
    <w:rsid w:val="00EC7C9E"/>
    <w:rsid w:val="00ED230D"/>
    <w:rsid w:val="00ED2440"/>
    <w:rsid w:val="00EE1C0B"/>
    <w:rsid w:val="00EE59D0"/>
    <w:rsid w:val="00EE6AD7"/>
    <w:rsid w:val="00EE7FF3"/>
    <w:rsid w:val="00EF26BF"/>
    <w:rsid w:val="00EF4861"/>
    <w:rsid w:val="00EF50C7"/>
    <w:rsid w:val="00EF5E19"/>
    <w:rsid w:val="00EF779D"/>
    <w:rsid w:val="00EF7E82"/>
    <w:rsid w:val="00F01970"/>
    <w:rsid w:val="00F01B91"/>
    <w:rsid w:val="00F06AF6"/>
    <w:rsid w:val="00F079A5"/>
    <w:rsid w:val="00F07F69"/>
    <w:rsid w:val="00F107F9"/>
    <w:rsid w:val="00F111E0"/>
    <w:rsid w:val="00F117D4"/>
    <w:rsid w:val="00F16475"/>
    <w:rsid w:val="00F22D55"/>
    <w:rsid w:val="00F24A9A"/>
    <w:rsid w:val="00F2592D"/>
    <w:rsid w:val="00F25C5F"/>
    <w:rsid w:val="00F3182D"/>
    <w:rsid w:val="00F34EF2"/>
    <w:rsid w:val="00F3580F"/>
    <w:rsid w:val="00F406BB"/>
    <w:rsid w:val="00F44AD0"/>
    <w:rsid w:val="00F50379"/>
    <w:rsid w:val="00F55102"/>
    <w:rsid w:val="00F55291"/>
    <w:rsid w:val="00F57115"/>
    <w:rsid w:val="00F6298B"/>
    <w:rsid w:val="00F63B02"/>
    <w:rsid w:val="00F65350"/>
    <w:rsid w:val="00F65C21"/>
    <w:rsid w:val="00F700A6"/>
    <w:rsid w:val="00F760D1"/>
    <w:rsid w:val="00F8151A"/>
    <w:rsid w:val="00F81BEC"/>
    <w:rsid w:val="00F83788"/>
    <w:rsid w:val="00F84D69"/>
    <w:rsid w:val="00F85054"/>
    <w:rsid w:val="00F87AEF"/>
    <w:rsid w:val="00F87C14"/>
    <w:rsid w:val="00F94F61"/>
    <w:rsid w:val="00FA17B4"/>
    <w:rsid w:val="00FA17BA"/>
    <w:rsid w:val="00FA3581"/>
    <w:rsid w:val="00FA6136"/>
    <w:rsid w:val="00FB10B8"/>
    <w:rsid w:val="00FB24BA"/>
    <w:rsid w:val="00FB28C8"/>
    <w:rsid w:val="00FB381D"/>
    <w:rsid w:val="00FB4700"/>
    <w:rsid w:val="00FB6172"/>
    <w:rsid w:val="00FB6492"/>
    <w:rsid w:val="00FC007D"/>
    <w:rsid w:val="00FC131A"/>
    <w:rsid w:val="00FC17D2"/>
    <w:rsid w:val="00FC224A"/>
    <w:rsid w:val="00FC43D6"/>
    <w:rsid w:val="00FC784C"/>
    <w:rsid w:val="00FD2208"/>
    <w:rsid w:val="00FD2EC4"/>
    <w:rsid w:val="00FD3ADC"/>
    <w:rsid w:val="00FD5C09"/>
    <w:rsid w:val="00FD63D3"/>
    <w:rsid w:val="00FD717D"/>
    <w:rsid w:val="00FD77F2"/>
    <w:rsid w:val="00FE44CF"/>
    <w:rsid w:val="00FF1239"/>
    <w:rsid w:val="00FF1AC1"/>
    <w:rsid w:val="00FF5B16"/>
    <w:rsid w:val="00FF5DE3"/>
    <w:rsid w:val="00FF62F7"/>
    <w:rsid w:val="00FF6EAF"/>
    <w:rsid w:val="00FF7408"/>
    <w:rsid w:val="01F65399"/>
    <w:rsid w:val="026A1A9F"/>
    <w:rsid w:val="03226A0E"/>
    <w:rsid w:val="04260169"/>
    <w:rsid w:val="04CC4830"/>
    <w:rsid w:val="050945F2"/>
    <w:rsid w:val="050E4034"/>
    <w:rsid w:val="056F4DC0"/>
    <w:rsid w:val="05F86FA8"/>
    <w:rsid w:val="06174B4A"/>
    <w:rsid w:val="06342461"/>
    <w:rsid w:val="065C2670"/>
    <w:rsid w:val="06677EA2"/>
    <w:rsid w:val="06F06056"/>
    <w:rsid w:val="07021FF9"/>
    <w:rsid w:val="071C7BC7"/>
    <w:rsid w:val="075A67A2"/>
    <w:rsid w:val="0840050B"/>
    <w:rsid w:val="086D38AF"/>
    <w:rsid w:val="08C44882"/>
    <w:rsid w:val="08C94E4D"/>
    <w:rsid w:val="0915227D"/>
    <w:rsid w:val="09164C3B"/>
    <w:rsid w:val="099842FD"/>
    <w:rsid w:val="0A3A2559"/>
    <w:rsid w:val="0A805158"/>
    <w:rsid w:val="0AF87126"/>
    <w:rsid w:val="0B4B1CD9"/>
    <w:rsid w:val="0B9B2EBC"/>
    <w:rsid w:val="0BA309DB"/>
    <w:rsid w:val="0BC90D6D"/>
    <w:rsid w:val="0BCB508B"/>
    <w:rsid w:val="0C070B14"/>
    <w:rsid w:val="0C1A22A8"/>
    <w:rsid w:val="0C26236E"/>
    <w:rsid w:val="0C9306BE"/>
    <w:rsid w:val="0CB05CD1"/>
    <w:rsid w:val="0D1B39E9"/>
    <w:rsid w:val="0DCB2021"/>
    <w:rsid w:val="0E3A01CC"/>
    <w:rsid w:val="0E9172D3"/>
    <w:rsid w:val="0EF1422C"/>
    <w:rsid w:val="0F3B23D4"/>
    <w:rsid w:val="0F3B3DD7"/>
    <w:rsid w:val="107B6AE8"/>
    <w:rsid w:val="11195DC6"/>
    <w:rsid w:val="115A70AD"/>
    <w:rsid w:val="116421D6"/>
    <w:rsid w:val="11EA1B00"/>
    <w:rsid w:val="121F5AC5"/>
    <w:rsid w:val="125037BB"/>
    <w:rsid w:val="12521250"/>
    <w:rsid w:val="12524B60"/>
    <w:rsid w:val="12E866AF"/>
    <w:rsid w:val="130C55D8"/>
    <w:rsid w:val="13244A23"/>
    <w:rsid w:val="13EE6B6B"/>
    <w:rsid w:val="1472386E"/>
    <w:rsid w:val="148F0FC6"/>
    <w:rsid w:val="151600A7"/>
    <w:rsid w:val="159F345A"/>
    <w:rsid w:val="15E43EF8"/>
    <w:rsid w:val="16A81136"/>
    <w:rsid w:val="16AC4207"/>
    <w:rsid w:val="178A56FB"/>
    <w:rsid w:val="17A8647B"/>
    <w:rsid w:val="18253B4C"/>
    <w:rsid w:val="190F1674"/>
    <w:rsid w:val="19132D2F"/>
    <w:rsid w:val="19210747"/>
    <w:rsid w:val="196E7CB2"/>
    <w:rsid w:val="198759D2"/>
    <w:rsid w:val="19D72BB5"/>
    <w:rsid w:val="1AD212BF"/>
    <w:rsid w:val="1AF900F3"/>
    <w:rsid w:val="1AFC6A2C"/>
    <w:rsid w:val="1BE0351A"/>
    <w:rsid w:val="1C120302"/>
    <w:rsid w:val="1C442FCB"/>
    <w:rsid w:val="1C532B00"/>
    <w:rsid w:val="1CCC12C5"/>
    <w:rsid w:val="1D1B1BAD"/>
    <w:rsid w:val="1D401A6B"/>
    <w:rsid w:val="1DCC5DA5"/>
    <w:rsid w:val="1E8A015B"/>
    <w:rsid w:val="1EA00E4A"/>
    <w:rsid w:val="1F4F1109"/>
    <w:rsid w:val="1F6A0646"/>
    <w:rsid w:val="206A0332"/>
    <w:rsid w:val="2091595B"/>
    <w:rsid w:val="20F51AC3"/>
    <w:rsid w:val="21AE6D2F"/>
    <w:rsid w:val="21C21552"/>
    <w:rsid w:val="21C3713A"/>
    <w:rsid w:val="24DA6297"/>
    <w:rsid w:val="252F3CBE"/>
    <w:rsid w:val="26694CDB"/>
    <w:rsid w:val="282C171E"/>
    <w:rsid w:val="2849297F"/>
    <w:rsid w:val="2936596A"/>
    <w:rsid w:val="2997006D"/>
    <w:rsid w:val="29AC5EF0"/>
    <w:rsid w:val="29D20D1C"/>
    <w:rsid w:val="2B040631"/>
    <w:rsid w:val="2B0B5AF1"/>
    <w:rsid w:val="2B793244"/>
    <w:rsid w:val="2C094BA0"/>
    <w:rsid w:val="2C60205D"/>
    <w:rsid w:val="2C8F5C68"/>
    <w:rsid w:val="2CAD317E"/>
    <w:rsid w:val="2CC97424"/>
    <w:rsid w:val="2D2725F0"/>
    <w:rsid w:val="2D345768"/>
    <w:rsid w:val="2D73679B"/>
    <w:rsid w:val="2E994608"/>
    <w:rsid w:val="2E9C375A"/>
    <w:rsid w:val="2EA60EE0"/>
    <w:rsid w:val="2ED8262F"/>
    <w:rsid w:val="2F242CBD"/>
    <w:rsid w:val="2FB34058"/>
    <w:rsid w:val="300C74C4"/>
    <w:rsid w:val="304B3830"/>
    <w:rsid w:val="307D5A91"/>
    <w:rsid w:val="317B20C5"/>
    <w:rsid w:val="32A33E31"/>
    <w:rsid w:val="32D048D8"/>
    <w:rsid w:val="32D3622F"/>
    <w:rsid w:val="32D63CF2"/>
    <w:rsid w:val="32F26097"/>
    <w:rsid w:val="3341799D"/>
    <w:rsid w:val="337A399F"/>
    <w:rsid w:val="337F2EFA"/>
    <w:rsid w:val="339029A7"/>
    <w:rsid w:val="33CC5FD9"/>
    <w:rsid w:val="34697607"/>
    <w:rsid w:val="34DC6FBF"/>
    <w:rsid w:val="352019FA"/>
    <w:rsid w:val="35731520"/>
    <w:rsid w:val="35F436C6"/>
    <w:rsid w:val="36037C49"/>
    <w:rsid w:val="36B804EA"/>
    <w:rsid w:val="371766EB"/>
    <w:rsid w:val="371F22B8"/>
    <w:rsid w:val="3728049C"/>
    <w:rsid w:val="37CD3E9A"/>
    <w:rsid w:val="37D03480"/>
    <w:rsid w:val="37D87189"/>
    <w:rsid w:val="37E87EA7"/>
    <w:rsid w:val="37F761BE"/>
    <w:rsid w:val="380B1A51"/>
    <w:rsid w:val="382056BC"/>
    <w:rsid w:val="38AB6B19"/>
    <w:rsid w:val="39035D73"/>
    <w:rsid w:val="39144BF9"/>
    <w:rsid w:val="39236305"/>
    <w:rsid w:val="397D1814"/>
    <w:rsid w:val="3991694F"/>
    <w:rsid w:val="3A096C45"/>
    <w:rsid w:val="3B3315C9"/>
    <w:rsid w:val="3B3666AA"/>
    <w:rsid w:val="3B5D03F9"/>
    <w:rsid w:val="3B9C69ED"/>
    <w:rsid w:val="3C075E40"/>
    <w:rsid w:val="3C0F314C"/>
    <w:rsid w:val="3C8400FD"/>
    <w:rsid w:val="3C8D5215"/>
    <w:rsid w:val="3CB96E1E"/>
    <w:rsid w:val="3E2A5A13"/>
    <w:rsid w:val="3E6A5C1B"/>
    <w:rsid w:val="3E951BD3"/>
    <w:rsid w:val="3EB91E59"/>
    <w:rsid w:val="3FA23A80"/>
    <w:rsid w:val="3FB75DF9"/>
    <w:rsid w:val="418368ED"/>
    <w:rsid w:val="425C64FC"/>
    <w:rsid w:val="4278675D"/>
    <w:rsid w:val="431F105C"/>
    <w:rsid w:val="43F003B4"/>
    <w:rsid w:val="446458DA"/>
    <w:rsid w:val="446645C4"/>
    <w:rsid w:val="44E00C2F"/>
    <w:rsid w:val="44F12828"/>
    <w:rsid w:val="453F4EE8"/>
    <w:rsid w:val="457E0C0E"/>
    <w:rsid w:val="45A27895"/>
    <w:rsid w:val="4654463C"/>
    <w:rsid w:val="469D1E1F"/>
    <w:rsid w:val="4703453A"/>
    <w:rsid w:val="47401AE3"/>
    <w:rsid w:val="47847F9B"/>
    <w:rsid w:val="47B6276E"/>
    <w:rsid w:val="47D7714D"/>
    <w:rsid w:val="48CA305E"/>
    <w:rsid w:val="491D1161"/>
    <w:rsid w:val="4945471C"/>
    <w:rsid w:val="49C23604"/>
    <w:rsid w:val="4A6500D9"/>
    <w:rsid w:val="4B4D56DB"/>
    <w:rsid w:val="4BCB58DC"/>
    <w:rsid w:val="4BE87F26"/>
    <w:rsid w:val="4C081E20"/>
    <w:rsid w:val="4C3974A1"/>
    <w:rsid w:val="4C4D743A"/>
    <w:rsid w:val="4C561056"/>
    <w:rsid w:val="4CDC25C4"/>
    <w:rsid w:val="4D2A1AAB"/>
    <w:rsid w:val="4DBE15DE"/>
    <w:rsid w:val="4DFF45BC"/>
    <w:rsid w:val="4E61428A"/>
    <w:rsid w:val="4E7B705D"/>
    <w:rsid w:val="4ECB455C"/>
    <w:rsid w:val="4EF16D21"/>
    <w:rsid w:val="4F4E6BEF"/>
    <w:rsid w:val="4F6745C5"/>
    <w:rsid w:val="4F751E54"/>
    <w:rsid w:val="4FA9510C"/>
    <w:rsid w:val="50891C17"/>
    <w:rsid w:val="520E7D39"/>
    <w:rsid w:val="527310FD"/>
    <w:rsid w:val="52C145B3"/>
    <w:rsid w:val="532C19FA"/>
    <w:rsid w:val="536C046F"/>
    <w:rsid w:val="53777260"/>
    <w:rsid w:val="53BD324D"/>
    <w:rsid w:val="53DA3FDB"/>
    <w:rsid w:val="54B52F23"/>
    <w:rsid w:val="559025B5"/>
    <w:rsid w:val="55BE6F35"/>
    <w:rsid w:val="56AB5747"/>
    <w:rsid w:val="57466A30"/>
    <w:rsid w:val="57E7750E"/>
    <w:rsid w:val="582C3304"/>
    <w:rsid w:val="583E683E"/>
    <w:rsid w:val="584263FC"/>
    <w:rsid w:val="58AA248A"/>
    <w:rsid w:val="592757C1"/>
    <w:rsid w:val="5A097D45"/>
    <w:rsid w:val="5A232744"/>
    <w:rsid w:val="5A8E433F"/>
    <w:rsid w:val="5ACC5639"/>
    <w:rsid w:val="5AFE0937"/>
    <w:rsid w:val="5B022AFF"/>
    <w:rsid w:val="5B1C238B"/>
    <w:rsid w:val="5BB72396"/>
    <w:rsid w:val="5BDA2541"/>
    <w:rsid w:val="5C8E70AE"/>
    <w:rsid w:val="5C9700DF"/>
    <w:rsid w:val="5CFF5AEE"/>
    <w:rsid w:val="5D5260D6"/>
    <w:rsid w:val="5E4106DA"/>
    <w:rsid w:val="5E4B362D"/>
    <w:rsid w:val="5E4B3828"/>
    <w:rsid w:val="5EC32979"/>
    <w:rsid w:val="5EFC5263"/>
    <w:rsid w:val="5F2B51D9"/>
    <w:rsid w:val="5F37440C"/>
    <w:rsid w:val="609E7926"/>
    <w:rsid w:val="60CC769A"/>
    <w:rsid w:val="60F3280A"/>
    <w:rsid w:val="615A0826"/>
    <w:rsid w:val="616E5025"/>
    <w:rsid w:val="62117B48"/>
    <w:rsid w:val="6233066F"/>
    <w:rsid w:val="625714F8"/>
    <w:rsid w:val="62AF2B34"/>
    <w:rsid w:val="62D7081D"/>
    <w:rsid w:val="63687194"/>
    <w:rsid w:val="638E50BC"/>
    <w:rsid w:val="64D27A6F"/>
    <w:rsid w:val="65765688"/>
    <w:rsid w:val="65A40D91"/>
    <w:rsid w:val="66F55A6B"/>
    <w:rsid w:val="67327F2E"/>
    <w:rsid w:val="674609A7"/>
    <w:rsid w:val="67465B30"/>
    <w:rsid w:val="68082611"/>
    <w:rsid w:val="688C533B"/>
    <w:rsid w:val="692F0DD2"/>
    <w:rsid w:val="692F6DB1"/>
    <w:rsid w:val="696B16A5"/>
    <w:rsid w:val="69772905"/>
    <w:rsid w:val="6A360EF4"/>
    <w:rsid w:val="6A736A2C"/>
    <w:rsid w:val="6AC4173D"/>
    <w:rsid w:val="6B3F6E7C"/>
    <w:rsid w:val="6B4F76A1"/>
    <w:rsid w:val="6BB6746F"/>
    <w:rsid w:val="6BFD03AE"/>
    <w:rsid w:val="6BFF6077"/>
    <w:rsid w:val="6C2308EC"/>
    <w:rsid w:val="6C867767"/>
    <w:rsid w:val="6CA34648"/>
    <w:rsid w:val="6D031FFE"/>
    <w:rsid w:val="6D870368"/>
    <w:rsid w:val="6DEF74D5"/>
    <w:rsid w:val="6E9856D0"/>
    <w:rsid w:val="6EB840FC"/>
    <w:rsid w:val="6EE920DC"/>
    <w:rsid w:val="6F377C99"/>
    <w:rsid w:val="6F7E7DE2"/>
    <w:rsid w:val="6FAA433E"/>
    <w:rsid w:val="704F1D50"/>
    <w:rsid w:val="7062369D"/>
    <w:rsid w:val="70D8666D"/>
    <w:rsid w:val="70F82977"/>
    <w:rsid w:val="711203ED"/>
    <w:rsid w:val="712A76BE"/>
    <w:rsid w:val="716D6D00"/>
    <w:rsid w:val="719901C6"/>
    <w:rsid w:val="71B131C3"/>
    <w:rsid w:val="71CC5821"/>
    <w:rsid w:val="71F26BCA"/>
    <w:rsid w:val="720542F1"/>
    <w:rsid w:val="72380013"/>
    <w:rsid w:val="72540D30"/>
    <w:rsid w:val="73426C39"/>
    <w:rsid w:val="73594771"/>
    <w:rsid w:val="740F0E4D"/>
    <w:rsid w:val="7469799F"/>
    <w:rsid w:val="74A66F51"/>
    <w:rsid w:val="74E24705"/>
    <w:rsid w:val="750506F3"/>
    <w:rsid w:val="758944AE"/>
    <w:rsid w:val="758C4507"/>
    <w:rsid w:val="75AA1A6C"/>
    <w:rsid w:val="76C0735A"/>
    <w:rsid w:val="76DE39EB"/>
    <w:rsid w:val="774B42DA"/>
    <w:rsid w:val="77CC2AC5"/>
    <w:rsid w:val="78AC0F28"/>
    <w:rsid w:val="78AD7E4B"/>
    <w:rsid w:val="7922758B"/>
    <w:rsid w:val="79766799"/>
    <w:rsid w:val="79B255D2"/>
    <w:rsid w:val="79B45BBB"/>
    <w:rsid w:val="79D0307E"/>
    <w:rsid w:val="79DE121D"/>
    <w:rsid w:val="79E249A2"/>
    <w:rsid w:val="7A5C7B4D"/>
    <w:rsid w:val="7B1F1C18"/>
    <w:rsid w:val="7B387938"/>
    <w:rsid w:val="7C341C52"/>
    <w:rsid w:val="7D033238"/>
    <w:rsid w:val="7D2F6ABF"/>
    <w:rsid w:val="7D50024E"/>
    <w:rsid w:val="7D637EF4"/>
    <w:rsid w:val="7E341B98"/>
    <w:rsid w:val="7E51328E"/>
    <w:rsid w:val="7F14576E"/>
    <w:rsid w:val="7FB7357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ahoma"/>
      <w:kern w:val="0"/>
      <w:sz w:val="22"/>
      <w:szCs w:val="22"/>
      <w:lang w:val="en-US" w:eastAsia="zh-CN" w:bidi="ar-SA"/>
    </w:rPr>
  </w:style>
  <w:style w:type="paragraph" w:styleId="2">
    <w:name w:val="heading 1"/>
    <w:basedOn w:val="1"/>
    <w:next w:val="1"/>
    <w:link w:val="31"/>
    <w:qFormat/>
    <w:uiPriority w:val="99"/>
    <w:pPr>
      <w:keepNext/>
      <w:keepLines/>
      <w:adjustRightInd/>
      <w:snapToGrid/>
      <w:spacing w:before="200" w:line="360" w:lineRule="auto"/>
      <w:jc w:val="center"/>
      <w:textAlignment w:val="baseline"/>
      <w:outlineLvl w:val="0"/>
    </w:pPr>
    <w:rPr>
      <w:rFonts w:ascii="Times New Roman" w:hAnsi="Times New Roman" w:eastAsia="黑体" w:cs="Times New Roman"/>
      <w:b/>
      <w:bCs/>
      <w:color w:val="000000"/>
      <w:kern w:val="44"/>
      <w:sz w:val="36"/>
      <w:szCs w:val="36"/>
      <w:u w:color="000000"/>
    </w:rPr>
  </w:style>
  <w:style w:type="paragraph" w:styleId="3">
    <w:name w:val="heading 2"/>
    <w:basedOn w:val="1"/>
    <w:next w:val="1"/>
    <w:link w:val="32"/>
    <w:qFormat/>
    <w:uiPriority w:val="99"/>
    <w:pPr>
      <w:keepNext/>
      <w:keepLines/>
      <w:widowControl w:val="0"/>
      <w:adjustRightInd/>
      <w:snapToGrid/>
      <w:spacing w:before="260" w:after="260" w:line="416" w:lineRule="auto"/>
      <w:jc w:val="both"/>
      <w:outlineLvl w:val="1"/>
    </w:pPr>
    <w:rPr>
      <w:rFonts w:ascii="Arial" w:hAnsi="Arial" w:eastAsia="黑体" w:cs="Arial"/>
      <w:b/>
      <w:bCs/>
      <w:kern w:val="2"/>
      <w:sz w:val="32"/>
      <w:szCs w:val="32"/>
    </w:rPr>
  </w:style>
  <w:style w:type="paragraph" w:styleId="4">
    <w:name w:val="heading 3"/>
    <w:basedOn w:val="1"/>
    <w:next w:val="1"/>
    <w:link w:val="33"/>
    <w:qFormat/>
    <w:uiPriority w:val="99"/>
    <w:pPr>
      <w:keepNext/>
      <w:keepLines/>
      <w:adjustRightInd/>
      <w:snapToGrid/>
      <w:spacing w:before="260" w:after="260" w:line="360" w:lineRule="auto"/>
      <w:textAlignment w:val="baseline"/>
      <w:outlineLvl w:val="2"/>
    </w:pPr>
    <w:rPr>
      <w:rFonts w:ascii="Times New Roman" w:hAnsi="Times New Roman" w:eastAsia="仿宋_GB2312" w:cs="Times New Roman"/>
      <w:b/>
      <w:bCs/>
      <w:sz w:val="30"/>
      <w:szCs w:val="30"/>
      <w:u w:color="000000"/>
    </w:rPr>
  </w:style>
  <w:style w:type="paragraph" w:styleId="5">
    <w:name w:val="heading 4"/>
    <w:basedOn w:val="1"/>
    <w:next w:val="1"/>
    <w:link w:val="34"/>
    <w:qFormat/>
    <w:uiPriority w:val="99"/>
    <w:pPr>
      <w:keepNext/>
      <w:keepLines/>
      <w:widowControl w:val="0"/>
      <w:adjustRightInd/>
      <w:snapToGrid/>
      <w:spacing w:before="280" w:after="290" w:line="376" w:lineRule="auto"/>
      <w:jc w:val="both"/>
      <w:outlineLvl w:val="3"/>
    </w:pPr>
    <w:rPr>
      <w:rFonts w:ascii="Cambria" w:hAnsi="Cambria" w:eastAsia="宋体" w:cs="Cambria"/>
      <w:b/>
      <w:bCs/>
      <w:kern w:val="2"/>
      <w:sz w:val="28"/>
      <w:szCs w:val="28"/>
    </w:rPr>
  </w:style>
  <w:style w:type="paragraph" w:styleId="6">
    <w:name w:val="heading 5"/>
    <w:basedOn w:val="1"/>
    <w:next w:val="1"/>
    <w:link w:val="35"/>
    <w:qFormat/>
    <w:uiPriority w:val="99"/>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7">
    <w:name w:val="heading 6"/>
    <w:basedOn w:val="1"/>
    <w:next w:val="1"/>
    <w:link w:val="36"/>
    <w:qFormat/>
    <w:uiPriority w:val="99"/>
    <w:pPr>
      <w:keepNext/>
      <w:keepLines/>
      <w:widowControl w:val="0"/>
      <w:adjustRightInd/>
      <w:snapToGrid/>
      <w:spacing w:before="240" w:after="64" w:line="320" w:lineRule="auto"/>
      <w:jc w:val="both"/>
      <w:outlineLvl w:val="5"/>
    </w:pPr>
    <w:rPr>
      <w:rFonts w:ascii="Cambria" w:hAnsi="Cambria" w:eastAsia="宋体" w:cs="Cambria"/>
      <w:b/>
      <w:bCs/>
      <w:kern w:val="2"/>
      <w:sz w:val="24"/>
      <w:szCs w:val="24"/>
    </w:rPr>
  </w:style>
  <w:style w:type="character" w:default="1" w:styleId="24">
    <w:name w:val="Default Paragraph Font"/>
    <w:semiHidden/>
    <w:qFormat/>
    <w:uiPriority w:val="99"/>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8">
    <w:name w:val="Document Map"/>
    <w:basedOn w:val="1"/>
    <w:link w:val="37"/>
    <w:semiHidden/>
    <w:qFormat/>
    <w:uiPriority w:val="99"/>
    <w:pPr>
      <w:widowControl w:val="0"/>
      <w:shd w:val="clear" w:color="auto" w:fill="000080"/>
      <w:adjustRightInd/>
      <w:snapToGrid/>
      <w:spacing w:after="0"/>
      <w:jc w:val="both"/>
    </w:pPr>
    <w:rPr>
      <w:rFonts w:ascii="Times New Roman" w:hAnsi="Times New Roman" w:eastAsia="宋体" w:cs="Times New Roman"/>
      <w:kern w:val="2"/>
      <w:sz w:val="21"/>
      <w:szCs w:val="21"/>
    </w:rPr>
  </w:style>
  <w:style w:type="paragraph" w:styleId="9">
    <w:name w:val="annotation text"/>
    <w:basedOn w:val="1"/>
    <w:link w:val="38"/>
    <w:semiHidden/>
    <w:qFormat/>
    <w:uiPriority w:val="99"/>
  </w:style>
  <w:style w:type="paragraph" w:styleId="10">
    <w:name w:val="Body Text"/>
    <w:basedOn w:val="1"/>
    <w:link w:val="39"/>
    <w:qFormat/>
    <w:uiPriority w:val="99"/>
    <w:pPr>
      <w:widowControl w:val="0"/>
      <w:adjustRightInd/>
      <w:snapToGrid/>
      <w:spacing w:after="120"/>
      <w:jc w:val="both"/>
    </w:pPr>
    <w:rPr>
      <w:rFonts w:ascii="Times New Roman" w:hAnsi="Times New Roman" w:eastAsia="宋体" w:cs="Times New Roman"/>
      <w:kern w:val="2"/>
      <w:sz w:val="21"/>
      <w:szCs w:val="21"/>
    </w:rPr>
  </w:style>
  <w:style w:type="paragraph" w:styleId="11">
    <w:name w:val="toc 3"/>
    <w:basedOn w:val="1"/>
    <w:next w:val="1"/>
    <w:semiHidden/>
    <w:qFormat/>
    <w:uiPriority w:val="99"/>
    <w:pPr>
      <w:widowControl w:val="0"/>
      <w:adjustRightInd/>
      <w:snapToGrid/>
      <w:spacing w:after="0"/>
      <w:ind w:left="840" w:leftChars="400"/>
      <w:jc w:val="both"/>
    </w:pPr>
    <w:rPr>
      <w:rFonts w:ascii="Times New Roman" w:hAnsi="Times New Roman" w:eastAsia="宋体" w:cs="Times New Roman"/>
      <w:kern w:val="2"/>
      <w:sz w:val="28"/>
      <w:szCs w:val="28"/>
    </w:rPr>
  </w:style>
  <w:style w:type="paragraph" w:styleId="12">
    <w:name w:val="Plain Text"/>
    <w:basedOn w:val="1"/>
    <w:link w:val="40"/>
    <w:qFormat/>
    <w:uiPriority w:val="99"/>
    <w:pPr>
      <w:adjustRightInd/>
      <w:snapToGrid/>
      <w:spacing w:after="0" w:line="351" w:lineRule="atLeast"/>
      <w:ind w:firstLine="419"/>
      <w:jc w:val="both"/>
      <w:textAlignment w:val="baseline"/>
    </w:pPr>
    <w:rPr>
      <w:rFonts w:ascii="宋体" w:hAnsi="Times New Roman" w:eastAsia="宋体" w:cs="宋体"/>
      <w:color w:val="000000"/>
      <w:sz w:val="21"/>
      <w:szCs w:val="21"/>
      <w:u w:color="000000"/>
    </w:rPr>
  </w:style>
  <w:style w:type="paragraph" w:styleId="13">
    <w:name w:val="Balloon Text"/>
    <w:basedOn w:val="1"/>
    <w:link w:val="41"/>
    <w:semiHidden/>
    <w:qFormat/>
    <w:uiPriority w:val="99"/>
    <w:pPr>
      <w:widowControl w:val="0"/>
      <w:adjustRightInd/>
      <w:snapToGrid/>
      <w:spacing w:after="0"/>
      <w:jc w:val="both"/>
    </w:pPr>
    <w:rPr>
      <w:rFonts w:ascii="Times New Roman" w:hAnsi="Times New Roman" w:eastAsia="宋体" w:cs="Times New Roman"/>
      <w:kern w:val="2"/>
      <w:sz w:val="18"/>
      <w:szCs w:val="18"/>
    </w:rPr>
  </w:style>
  <w:style w:type="paragraph" w:styleId="14">
    <w:name w:val="footer"/>
    <w:basedOn w:val="1"/>
    <w:link w:val="42"/>
    <w:qFormat/>
    <w:uiPriority w:val="99"/>
    <w:pPr>
      <w:tabs>
        <w:tab w:val="center" w:pos="4153"/>
        <w:tab w:val="right" w:pos="8306"/>
      </w:tabs>
    </w:pPr>
    <w:rPr>
      <w:sz w:val="18"/>
      <w:szCs w:val="18"/>
    </w:rPr>
  </w:style>
  <w:style w:type="paragraph" w:styleId="15">
    <w:name w:val="header"/>
    <w:basedOn w:val="1"/>
    <w:link w:val="43"/>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semiHidden/>
    <w:qFormat/>
    <w:uiPriority w:val="99"/>
    <w:pPr>
      <w:widowControl w:val="0"/>
      <w:tabs>
        <w:tab w:val="right" w:leader="dot" w:pos="8777"/>
      </w:tabs>
      <w:adjustRightInd/>
      <w:snapToGrid/>
      <w:spacing w:after="0" w:line="360" w:lineRule="auto"/>
      <w:jc w:val="both"/>
    </w:pPr>
    <w:rPr>
      <w:rFonts w:ascii="Times New Roman" w:hAnsi="Times New Roman" w:eastAsia="黑体" w:cs="Times New Roman"/>
      <w:kern w:val="2"/>
      <w:sz w:val="32"/>
      <w:szCs w:val="32"/>
    </w:rPr>
  </w:style>
  <w:style w:type="paragraph" w:styleId="17">
    <w:name w:val="footnote text"/>
    <w:basedOn w:val="1"/>
    <w:link w:val="44"/>
    <w:semiHidden/>
    <w:qFormat/>
    <w:uiPriority w:val="99"/>
    <w:pPr>
      <w:widowControl w:val="0"/>
      <w:adjustRightInd/>
      <w:spacing w:after="0"/>
    </w:pPr>
    <w:rPr>
      <w:rFonts w:ascii="Times New Roman" w:hAnsi="Times New Roman" w:eastAsia="宋体" w:cs="Times New Roman"/>
      <w:kern w:val="2"/>
      <w:sz w:val="18"/>
      <w:szCs w:val="18"/>
    </w:rPr>
  </w:style>
  <w:style w:type="paragraph" w:styleId="18">
    <w:name w:val="toc 2"/>
    <w:basedOn w:val="1"/>
    <w:next w:val="1"/>
    <w:semiHidden/>
    <w:qFormat/>
    <w:uiPriority w:val="99"/>
    <w:pPr>
      <w:widowControl w:val="0"/>
      <w:adjustRightInd/>
      <w:snapToGrid/>
      <w:spacing w:after="0"/>
      <w:ind w:left="420" w:leftChars="200"/>
      <w:jc w:val="both"/>
    </w:pPr>
    <w:rPr>
      <w:rFonts w:ascii="Times New Roman" w:hAnsi="Times New Roman" w:eastAsia="宋体" w:cs="Times New Roman"/>
      <w:kern w:val="2"/>
      <w:sz w:val="30"/>
      <w:szCs w:val="30"/>
    </w:rPr>
  </w:style>
  <w:style w:type="paragraph" w:styleId="19">
    <w:name w:val="HTML Preformatted"/>
    <w:basedOn w:val="1"/>
    <w:link w:val="45"/>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20">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21">
    <w:name w:val="Title"/>
    <w:basedOn w:val="1"/>
    <w:next w:val="1"/>
    <w:link w:val="46"/>
    <w:qFormat/>
    <w:uiPriority w:val="99"/>
    <w:pPr>
      <w:widowControl w:val="0"/>
      <w:adjustRightInd/>
      <w:snapToGrid/>
      <w:spacing w:before="240" w:after="60"/>
      <w:jc w:val="center"/>
      <w:outlineLvl w:val="0"/>
    </w:pPr>
    <w:rPr>
      <w:rFonts w:ascii="Cambria" w:hAnsi="Cambria" w:eastAsia="宋体" w:cs="Cambria"/>
      <w:b/>
      <w:bCs/>
      <w:kern w:val="2"/>
      <w:sz w:val="32"/>
      <w:szCs w:val="32"/>
    </w:rPr>
  </w:style>
  <w:style w:type="paragraph" w:styleId="22">
    <w:name w:val="annotation subject"/>
    <w:basedOn w:val="9"/>
    <w:next w:val="9"/>
    <w:link w:val="47"/>
    <w:semiHidden/>
    <w:qFormat/>
    <w:uiPriority w:val="99"/>
    <w:pPr>
      <w:widowControl w:val="0"/>
      <w:adjustRightInd/>
      <w:snapToGrid/>
      <w:spacing w:after="0"/>
    </w:pPr>
    <w:rPr>
      <w:rFonts w:ascii="Times New Roman" w:hAnsi="Times New Roman" w:eastAsia="宋体" w:cs="Times New Roman"/>
      <w:b/>
      <w:bCs/>
      <w:kern w:val="2"/>
      <w:sz w:val="21"/>
      <w:szCs w:val="21"/>
    </w:rPr>
  </w:style>
  <w:style w:type="character" w:styleId="25">
    <w:name w:val="page number"/>
    <w:basedOn w:val="24"/>
    <w:qFormat/>
    <w:uiPriority w:val="99"/>
  </w:style>
  <w:style w:type="character" w:styleId="26">
    <w:name w:val="FollowedHyperlink"/>
    <w:basedOn w:val="24"/>
    <w:qFormat/>
    <w:uiPriority w:val="99"/>
    <w:rPr>
      <w:color w:val="800080"/>
      <w:u w:val="single"/>
    </w:rPr>
  </w:style>
  <w:style w:type="character" w:styleId="27">
    <w:name w:val="Emphasis"/>
    <w:basedOn w:val="24"/>
    <w:qFormat/>
    <w:uiPriority w:val="99"/>
    <w:rPr>
      <w:color w:val="auto"/>
    </w:rPr>
  </w:style>
  <w:style w:type="character" w:styleId="28">
    <w:name w:val="Hyperlink"/>
    <w:basedOn w:val="24"/>
    <w:qFormat/>
    <w:uiPriority w:val="99"/>
    <w:rPr>
      <w:color w:val="0000FF"/>
      <w:u w:val="single"/>
    </w:rPr>
  </w:style>
  <w:style w:type="character" w:styleId="29">
    <w:name w:val="annotation reference"/>
    <w:basedOn w:val="24"/>
    <w:semiHidden/>
    <w:qFormat/>
    <w:uiPriority w:val="99"/>
    <w:rPr>
      <w:sz w:val="21"/>
      <w:szCs w:val="21"/>
    </w:rPr>
  </w:style>
  <w:style w:type="character" w:styleId="30">
    <w:name w:val="footnote reference"/>
    <w:basedOn w:val="24"/>
    <w:semiHidden/>
    <w:qFormat/>
    <w:uiPriority w:val="99"/>
    <w:rPr>
      <w:vertAlign w:val="superscript"/>
    </w:rPr>
  </w:style>
  <w:style w:type="character" w:customStyle="1" w:styleId="31">
    <w:name w:val="Heading 1 Char"/>
    <w:basedOn w:val="24"/>
    <w:link w:val="2"/>
    <w:qFormat/>
    <w:locked/>
    <w:uiPriority w:val="99"/>
    <w:rPr>
      <w:rFonts w:ascii="Times New Roman" w:hAnsi="Times New Roman" w:eastAsia="黑体" w:cs="Times New Roman"/>
      <w:b/>
      <w:bCs/>
      <w:color w:val="000000"/>
      <w:kern w:val="44"/>
      <w:sz w:val="44"/>
      <w:szCs w:val="44"/>
      <w:u w:color="000000"/>
    </w:rPr>
  </w:style>
  <w:style w:type="character" w:customStyle="1" w:styleId="32">
    <w:name w:val="Heading 2 Char"/>
    <w:basedOn w:val="24"/>
    <w:link w:val="3"/>
    <w:qFormat/>
    <w:locked/>
    <w:uiPriority w:val="99"/>
    <w:rPr>
      <w:rFonts w:ascii="Arial" w:hAnsi="Arial" w:eastAsia="黑体" w:cs="Arial"/>
      <w:b/>
      <w:bCs/>
      <w:kern w:val="2"/>
      <w:sz w:val="32"/>
      <w:szCs w:val="32"/>
    </w:rPr>
  </w:style>
  <w:style w:type="character" w:customStyle="1" w:styleId="33">
    <w:name w:val="Heading 3 Char"/>
    <w:basedOn w:val="24"/>
    <w:link w:val="4"/>
    <w:qFormat/>
    <w:locked/>
    <w:uiPriority w:val="99"/>
    <w:rPr>
      <w:rFonts w:ascii="Times New Roman" w:hAnsi="Times New Roman" w:eastAsia="仿宋_GB2312" w:cs="Times New Roman"/>
      <w:b/>
      <w:bCs/>
      <w:sz w:val="32"/>
      <w:szCs w:val="32"/>
      <w:u w:color="000000"/>
    </w:rPr>
  </w:style>
  <w:style w:type="character" w:customStyle="1" w:styleId="34">
    <w:name w:val="Heading 4 Char"/>
    <w:basedOn w:val="24"/>
    <w:link w:val="5"/>
    <w:qFormat/>
    <w:locked/>
    <w:uiPriority w:val="99"/>
    <w:rPr>
      <w:rFonts w:ascii="Cambria" w:hAnsi="Cambria" w:eastAsia="宋体" w:cs="Cambria"/>
      <w:b/>
      <w:bCs/>
      <w:kern w:val="2"/>
      <w:sz w:val="28"/>
      <w:szCs w:val="28"/>
    </w:rPr>
  </w:style>
  <w:style w:type="character" w:customStyle="1" w:styleId="35">
    <w:name w:val="Heading 5 Char"/>
    <w:basedOn w:val="24"/>
    <w:link w:val="6"/>
    <w:qFormat/>
    <w:locked/>
    <w:uiPriority w:val="99"/>
    <w:rPr>
      <w:rFonts w:ascii="Times New Roman" w:hAnsi="Times New Roman" w:eastAsia="宋体" w:cs="Times New Roman"/>
      <w:b/>
      <w:bCs/>
      <w:kern w:val="2"/>
      <w:sz w:val="28"/>
      <w:szCs w:val="28"/>
    </w:rPr>
  </w:style>
  <w:style w:type="character" w:customStyle="1" w:styleId="36">
    <w:name w:val="Heading 6 Char"/>
    <w:basedOn w:val="24"/>
    <w:link w:val="7"/>
    <w:qFormat/>
    <w:locked/>
    <w:uiPriority w:val="99"/>
    <w:rPr>
      <w:rFonts w:ascii="Cambria" w:hAnsi="Cambria" w:eastAsia="宋体" w:cs="Cambria"/>
      <w:b/>
      <w:bCs/>
      <w:kern w:val="2"/>
      <w:sz w:val="24"/>
      <w:szCs w:val="24"/>
    </w:rPr>
  </w:style>
  <w:style w:type="character" w:customStyle="1" w:styleId="37">
    <w:name w:val="Document Map Char"/>
    <w:basedOn w:val="24"/>
    <w:link w:val="8"/>
    <w:semiHidden/>
    <w:qFormat/>
    <w:locked/>
    <w:uiPriority w:val="99"/>
    <w:rPr>
      <w:rFonts w:ascii="Times New Roman" w:hAnsi="Times New Roman" w:eastAsia="宋体" w:cs="Times New Roman"/>
      <w:kern w:val="2"/>
      <w:sz w:val="24"/>
      <w:szCs w:val="24"/>
      <w:shd w:val="clear" w:color="auto" w:fill="000080"/>
    </w:rPr>
  </w:style>
  <w:style w:type="character" w:customStyle="1" w:styleId="38">
    <w:name w:val="Comment Text Char"/>
    <w:basedOn w:val="24"/>
    <w:link w:val="9"/>
    <w:qFormat/>
    <w:locked/>
    <w:uiPriority w:val="99"/>
    <w:rPr>
      <w:rFonts w:ascii="Tahoma" w:hAnsi="Tahoma" w:cs="Tahoma"/>
    </w:rPr>
  </w:style>
  <w:style w:type="character" w:customStyle="1" w:styleId="39">
    <w:name w:val="Body Text Char"/>
    <w:basedOn w:val="24"/>
    <w:link w:val="10"/>
    <w:qFormat/>
    <w:locked/>
    <w:uiPriority w:val="99"/>
    <w:rPr>
      <w:rFonts w:ascii="Times New Roman" w:hAnsi="Times New Roman" w:eastAsia="宋体" w:cs="Times New Roman"/>
      <w:kern w:val="2"/>
      <w:sz w:val="24"/>
      <w:szCs w:val="24"/>
    </w:rPr>
  </w:style>
  <w:style w:type="character" w:customStyle="1" w:styleId="40">
    <w:name w:val="Plain Text Char"/>
    <w:basedOn w:val="24"/>
    <w:link w:val="12"/>
    <w:qFormat/>
    <w:locked/>
    <w:uiPriority w:val="99"/>
    <w:rPr>
      <w:rFonts w:ascii="宋体" w:hAnsi="Times New Roman" w:eastAsia="宋体" w:cs="宋体"/>
      <w:color w:val="000000"/>
      <w:sz w:val="20"/>
      <w:szCs w:val="20"/>
      <w:u w:color="000000"/>
    </w:rPr>
  </w:style>
  <w:style w:type="character" w:customStyle="1" w:styleId="41">
    <w:name w:val="Balloon Text Char"/>
    <w:basedOn w:val="24"/>
    <w:link w:val="13"/>
    <w:qFormat/>
    <w:locked/>
    <w:uiPriority w:val="99"/>
    <w:rPr>
      <w:rFonts w:ascii="Times New Roman" w:hAnsi="Times New Roman" w:eastAsia="宋体" w:cs="Times New Roman"/>
      <w:kern w:val="2"/>
      <w:sz w:val="18"/>
      <w:szCs w:val="18"/>
    </w:rPr>
  </w:style>
  <w:style w:type="character" w:customStyle="1" w:styleId="42">
    <w:name w:val="Footer Char"/>
    <w:basedOn w:val="24"/>
    <w:link w:val="14"/>
    <w:qFormat/>
    <w:locked/>
    <w:uiPriority w:val="99"/>
    <w:rPr>
      <w:rFonts w:ascii="Tahoma" w:hAnsi="Tahoma" w:cs="Tahoma"/>
      <w:sz w:val="18"/>
      <w:szCs w:val="18"/>
    </w:rPr>
  </w:style>
  <w:style w:type="character" w:customStyle="1" w:styleId="43">
    <w:name w:val="Header Char"/>
    <w:basedOn w:val="24"/>
    <w:link w:val="15"/>
    <w:qFormat/>
    <w:locked/>
    <w:uiPriority w:val="99"/>
    <w:rPr>
      <w:rFonts w:ascii="Tahoma" w:hAnsi="Tahoma" w:cs="Tahoma"/>
      <w:sz w:val="18"/>
      <w:szCs w:val="18"/>
    </w:rPr>
  </w:style>
  <w:style w:type="character" w:customStyle="1" w:styleId="44">
    <w:name w:val="Footnote Text Char"/>
    <w:basedOn w:val="24"/>
    <w:link w:val="17"/>
    <w:qFormat/>
    <w:locked/>
    <w:uiPriority w:val="99"/>
    <w:rPr>
      <w:rFonts w:ascii="Times New Roman" w:hAnsi="Times New Roman" w:eastAsia="宋体" w:cs="Times New Roman"/>
      <w:kern w:val="2"/>
      <w:sz w:val="18"/>
      <w:szCs w:val="18"/>
    </w:rPr>
  </w:style>
  <w:style w:type="character" w:customStyle="1" w:styleId="45">
    <w:name w:val="HTML Preformatted Char"/>
    <w:basedOn w:val="24"/>
    <w:link w:val="19"/>
    <w:qFormat/>
    <w:locked/>
    <w:uiPriority w:val="99"/>
    <w:rPr>
      <w:rFonts w:ascii="宋体" w:hAnsi="宋体" w:eastAsia="宋体" w:cs="宋体"/>
      <w:sz w:val="24"/>
      <w:szCs w:val="24"/>
    </w:rPr>
  </w:style>
  <w:style w:type="character" w:customStyle="1" w:styleId="46">
    <w:name w:val="Title Char"/>
    <w:basedOn w:val="24"/>
    <w:link w:val="21"/>
    <w:qFormat/>
    <w:locked/>
    <w:uiPriority w:val="99"/>
    <w:rPr>
      <w:rFonts w:ascii="Cambria" w:hAnsi="Cambria" w:eastAsia="宋体" w:cs="Cambria"/>
      <w:b/>
      <w:bCs/>
      <w:kern w:val="2"/>
      <w:sz w:val="32"/>
      <w:szCs w:val="32"/>
    </w:rPr>
  </w:style>
  <w:style w:type="character" w:customStyle="1" w:styleId="47">
    <w:name w:val="Comment Subject Char"/>
    <w:basedOn w:val="38"/>
    <w:link w:val="22"/>
    <w:qFormat/>
    <w:locked/>
    <w:uiPriority w:val="99"/>
    <w:rPr>
      <w:rFonts w:ascii="Times New Roman" w:hAnsi="Times New Roman" w:eastAsia="宋体" w:cs="Times New Roman"/>
      <w:b/>
      <w:bCs/>
      <w:kern w:val="2"/>
      <w:sz w:val="24"/>
      <w:szCs w:val="24"/>
    </w:rPr>
  </w:style>
  <w:style w:type="paragraph" w:customStyle="1" w:styleId="48">
    <w:name w:val="标题1"/>
    <w:basedOn w:val="1"/>
    <w:qFormat/>
    <w:uiPriority w:val="99"/>
    <w:pPr>
      <w:widowControl w:val="0"/>
      <w:adjustRightInd/>
      <w:snapToGrid/>
      <w:spacing w:after="0"/>
      <w:ind w:firstLine="640" w:firstLineChars="200"/>
      <w:jc w:val="center"/>
    </w:pPr>
    <w:rPr>
      <w:rFonts w:ascii="Times New Roman" w:hAnsi="Times New Roman" w:eastAsia="黑体" w:cs="Times New Roman"/>
      <w:kern w:val="2"/>
      <w:sz w:val="32"/>
      <w:szCs w:val="32"/>
    </w:rPr>
  </w:style>
  <w:style w:type="paragraph" w:styleId="49">
    <w:name w:val="List Paragraph"/>
    <w:basedOn w:val="1"/>
    <w:qFormat/>
    <w:uiPriority w:val="99"/>
    <w:pPr>
      <w:ind w:firstLine="420" w:firstLineChars="200"/>
    </w:pPr>
  </w:style>
  <w:style w:type="paragraph" w:customStyle="1" w:styleId="50">
    <w:name w:val="xl69"/>
    <w:basedOn w:val="1"/>
    <w:qFormat/>
    <w:uiPriority w:val="99"/>
    <w:pPr>
      <w:pBdr>
        <w:top w:val="single" w:color="auto" w:sz="8" w:space="0"/>
        <w:left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1">
    <w:name w:val="xl74"/>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2">
    <w:name w:val="xl70"/>
    <w:basedOn w:val="1"/>
    <w:qFormat/>
    <w:uiPriority w:val="99"/>
    <w:pPr>
      <w:pBdr>
        <w:left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3">
    <w:name w:val="font7"/>
    <w:basedOn w:val="1"/>
    <w:qFormat/>
    <w:uiPriority w:val="99"/>
    <w:pPr>
      <w:adjustRightInd/>
      <w:snapToGrid/>
      <w:spacing w:before="100" w:beforeAutospacing="1" w:after="100" w:afterAutospacing="1"/>
    </w:pPr>
    <w:rPr>
      <w:rFonts w:ascii="宋体" w:hAnsi="宋体" w:eastAsia="宋体" w:cs="宋体"/>
      <w:color w:val="000000"/>
      <w:sz w:val="24"/>
      <w:szCs w:val="24"/>
    </w:rPr>
  </w:style>
  <w:style w:type="paragraph" w:customStyle="1" w:styleId="54">
    <w:name w:val="xl72"/>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55">
    <w:name w:val="xl67"/>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6">
    <w:name w:val="font5"/>
    <w:basedOn w:val="1"/>
    <w:qFormat/>
    <w:uiPriority w:val="99"/>
    <w:pPr>
      <w:adjustRightInd/>
      <w:snapToGrid/>
      <w:spacing w:before="100" w:beforeAutospacing="1" w:after="100" w:afterAutospacing="1"/>
    </w:pPr>
    <w:rPr>
      <w:rFonts w:ascii="宋体" w:hAnsi="宋体" w:eastAsia="宋体" w:cs="宋体"/>
      <w:b/>
      <w:bCs/>
      <w:color w:val="000000"/>
      <w:sz w:val="24"/>
      <w:szCs w:val="24"/>
    </w:rPr>
  </w:style>
  <w:style w:type="paragraph" w:customStyle="1" w:styleId="57">
    <w:name w:val="xl65"/>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58">
    <w:name w:val="font6"/>
    <w:basedOn w:val="1"/>
    <w:qFormat/>
    <w:uiPriority w:val="99"/>
    <w:pPr>
      <w:adjustRightInd/>
      <w:snapToGrid/>
      <w:spacing w:before="100" w:beforeAutospacing="1" w:after="100" w:afterAutospacing="1"/>
    </w:pPr>
    <w:rPr>
      <w:rFonts w:ascii="宋体" w:hAnsi="宋体" w:eastAsia="宋体" w:cs="宋体"/>
      <w:color w:val="000000"/>
    </w:rPr>
  </w:style>
  <w:style w:type="paragraph" w:customStyle="1" w:styleId="59">
    <w:name w:val="xl75"/>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60">
    <w:name w:val="Char Char Char Char Char Char1 Char"/>
    <w:basedOn w:val="1"/>
    <w:qFormat/>
    <w:uiPriority w:val="99"/>
    <w:pPr>
      <w:adjustRightInd/>
      <w:snapToGrid/>
      <w:spacing w:after="160" w:line="240" w:lineRule="exact"/>
    </w:pPr>
    <w:rPr>
      <w:rFonts w:ascii="Times New Roman" w:hAnsi="Times New Roman" w:eastAsia="宋体" w:cs="Times New Roman"/>
      <w:kern w:val="2"/>
      <w:sz w:val="21"/>
      <w:szCs w:val="21"/>
    </w:rPr>
  </w:style>
  <w:style w:type="paragraph" w:customStyle="1" w:styleId="61">
    <w:name w:val="xl68"/>
    <w:basedOn w:val="1"/>
    <w:qFormat/>
    <w:uiPriority w:val="99"/>
    <w:pPr>
      <w:pBdr>
        <w:bottom w:val="single" w:color="auto" w:sz="8" w:space="0"/>
        <w:right w:val="single" w:color="auto" w:sz="8" w:space="0"/>
      </w:pBdr>
      <w:adjustRightInd/>
      <w:snapToGrid/>
      <w:spacing w:before="100" w:beforeAutospacing="1" w:after="100" w:afterAutospacing="1"/>
      <w:jc w:val="center"/>
      <w:textAlignment w:val="top"/>
    </w:pPr>
    <w:rPr>
      <w:rFonts w:ascii="宋体" w:hAnsi="宋体" w:eastAsia="宋体" w:cs="宋体"/>
    </w:rPr>
  </w:style>
  <w:style w:type="paragraph" w:customStyle="1" w:styleId="62">
    <w:name w:val="xl66"/>
    <w:basedOn w:val="1"/>
    <w:qFormat/>
    <w:uiPriority w:val="99"/>
    <w:pPr>
      <w:pBdr>
        <w:top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3">
    <w:name w:val="xl73"/>
    <w:basedOn w:val="1"/>
    <w:qFormat/>
    <w:uiPriority w:val="99"/>
    <w:pPr>
      <w:pBdr>
        <w:top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4">
    <w:name w:val="xl71"/>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65">
    <w:name w:val="样式 标题 2 + 行距: 固定值 30 磅"/>
    <w:basedOn w:val="3"/>
    <w:qFormat/>
    <w:uiPriority w:val="99"/>
    <w:pPr>
      <w:widowControl/>
      <w:spacing w:line="600" w:lineRule="exact"/>
      <w:jc w:val="left"/>
      <w:textAlignment w:val="baseline"/>
    </w:pPr>
    <w:rPr>
      <w:rFonts w:eastAsia="楷体_GB2312"/>
      <w:color w:val="000000"/>
      <w:kern w:val="0"/>
      <w:u w:color="000000"/>
    </w:rPr>
  </w:style>
  <w:style w:type="paragraph" w:customStyle="1" w:styleId="66">
    <w:name w:val="列出段落1"/>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1"/>
    </w:rPr>
  </w:style>
  <w:style w:type="paragraph" w:customStyle="1" w:styleId="67">
    <w:name w:val="Char Char"/>
    <w:basedOn w:val="1"/>
    <w:qFormat/>
    <w:uiPriority w:val="99"/>
    <w:pPr>
      <w:widowControl w:val="0"/>
      <w:adjustRightInd/>
      <w:snapToGrid/>
      <w:spacing w:after="0"/>
      <w:jc w:val="both"/>
    </w:pPr>
    <w:rPr>
      <w:rFonts w:ascii="Times New Roman" w:hAnsi="Times New Roman" w:eastAsia="宋体" w:cs="Times New Roman"/>
      <w:kern w:val="2"/>
      <w:sz w:val="21"/>
      <w:szCs w:val="21"/>
    </w:rPr>
  </w:style>
  <w:style w:type="paragraph" w:customStyle="1" w:styleId="68">
    <w:name w:val="Char"/>
    <w:basedOn w:val="1"/>
    <w:qFormat/>
    <w:uiPriority w:val="99"/>
    <w:pPr>
      <w:adjustRightInd/>
      <w:snapToGrid/>
      <w:spacing w:after="160" w:line="240" w:lineRule="exact"/>
    </w:pPr>
    <w:rPr>
      <w:rFonts w:ascii="Calibri" w:hAnsi="Calibri" w:eastAsia="宋体" w:cs="Calibri"/>
      <w:kern w:val="2"/>
      <w:sz w:val="21"/>
      <w:szCs w:val="21"/>
    </w:rPr>
  </w:style>
  <w:style w:type="paragraph" w:customStyle="1" w:styleId="69">
    <w:name w:val="p"/>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70">
    <w:name w:val="默认段落字体 Para Char Char Char Char"/>
    <w:basedOn w:val="1"/>
    <w:qFormat/>
    <w:uiPriority w:val="99"/>
    <w:pPr>
      <w:widowControl w:val="0"/>
      <w:adjustRightInd/>
      <w:snapToGrid/>
      <w:spacing w:after="0"/>
      <w:jc w:val="both"/>
    </w:pPr>
    <w:rPr>
      <w:rFonts w:ascii="Times New Roman" w:hAnsi="Times New Roman" w:eastAsia="宋体" w:cs="Times New Roman"/>
      <w:sz w:val="21"/>
      <w:szCs w:val="21"/>
      <w:lang w:eastAsia="en-US"/>
    </w:rPr>
  </w:style>
  <w:style w:type="paragraph" w:customStyle="1" w:styleId="71">
    <w:name w:val="TOC 标题1"/>
    <w:basedOn w:val="2"/>
    <w:next w:val="1"/>
    <w:qFormat/>
    <w:uiPriority w:val="99"/>
    <w:pPr>
      <w:spacing w:before="480" w:after="0" w:line="276" w:lineRule="auto"/>
      <w:jc w:val="left"/>
      <w:textAlignment w:val="auto"/>
      <w:outlineLvl w:val="9"/>
    </w:pPr>
    <w:rPr>
      <w:rFonts w:ascii="Cambria" w:hAnsi="Cambria" w:eastAsia="宋体" w:cs="Cambria"/>
      <w:color w:val="365F91"/>
      <w:kern w:val="0"/>
      <w:sz w:val="28"/>
      <w:szCs w:val="28"/>
    </w:rPr>
  </w:style>
  <w:style w:type="character" w:customStyle="1" w:styleId="72">
    <w:name w:val="font01"/>
    <w:basedOn w:val="24"/>
    <w:qFormat/>
    <w:uiPriority w:val="99"/>
    <w:rPr>
      <w:rFonts w:ascii="宋体" w:hAnsi="宋体" w:eastAsia="宋体" w:cs="宋体"/>
      <w:b/>
      <w:bCs/>
      <w:color w:val="000000"/>
      <w:sz w:val="32"/>
      <w:szCs w:val="32"/>
      <w:u w:val="none"/>
    </w:rPr>
  </w:style>
  <w:style w:type="character" w:customStyle="1" w:styleId="73">
    <w:name w:val="font21"/>
    <w:basedOn w:val="24"/>
    <w:qFormat/>
    <w:uiPriority w:val="99"/>
    <w:rPr>
      <w:rFonts w:ascii="Times New Roman" w:hAnsi="Times New Roman" w:cs="Times New Roman"/>
      <w:b/>
      <w:bCs/>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29</Pages>
  <Words>10520</Words>
  <Characters>11122</Characters>
  <Lines>0</Lines>
  <Paragraphs>0</Paragraphs>
  <TotalTime>330</TotalTime>
  <ScaleCrop>false</ScaleCrop>
  <LinksUpToDate>false</LinksUpToDate>
  <CharactersWithSpaces>11191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2020-09-15T02:23:00Z</dcterms:created>
  <dc:creator>Administrator</dc:creator>
  <cp:lastModifiedBy>小胖粥</cp:lastModifiedBy>
  <cp:lastPrinted>2020-10-12T06:35:00Z</cp:lastPrinted>
  <dcterms:modified xsi:type="dcterms:W3CDTF">2024-08-07T07:40:48Z</dcterms:modified>
  <dc:title>附件3：</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61C1474658814BA4AA4DD5043D91EEDA_12</vt:lpwstr>
  </property>
</Properties>
</file>