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E02983">
      <w:pPr>
        <w:widowControl w:val="0"/>
        <w:adjustRightInd/>
        <w:snapToGrid/>
        <w:spacing w:after="0" w:line="540" w:lineRule="exact"/>
        <w:rPr>
          <w:rFonts w:ascii="Times New Roman" w:hAnsi="Times New Roman" w:eastAsia="宋体"/>
          <w:kern w:val="2"/>
          <w:sz w:val="32"/>
          <w:szCs w:val="32"/>
        </w:rPr>
      </w:pPr>
    </w:p>
    <w:p w14:paraId="67163229">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1327E199">
      <w:pPr>
        <w:widowControl w:val="0"/>
        <w:adjustRightInd/>
        <w:snapToGrid/>
        <w:spacing w:after="0" w:line="480" w:lineRule="auto"/>
        <w:jc w:val="center"/>
        <w:rPr>
          <w:rFonts w:ascii="黑体" w:hAnsi="黑体" w:eastAsia="黑体"/>
          <w:kern w:val="2"/>
          <w:sz w:val="48"/>
          <w:szCs w:val="48"/>
        </w:rPr>
      </w:pPr>
      <w:r>
        <w:rPr>
          <w:rFonts w:hint="eastAsia" w:ascii="黑体" w:hAnsi="黑体" w:eastAsia="黑体" w:cs="黑体"/>
          <w:kern w:val="2"/>
          <w:sz w:val="48"/>
          <w:szCs w:val="48"/>
        </w:rPr>
        <w:t>保定市徐水区总工会</w:t>
      </w:r>
      <w:r>
        <w:rPr>
          <w:rFonts w:ascii="黑体" w:hAnsi="黑体" w:eastAsia="黑体" w:cs="黑体"/>
          <w:kern w:val="2"/>
          <w:sz w:val="48"/>
          <w:szCs w:val="48"/>
        </w:rPr>
        <w:t>2021</w:t>
      </w:r>
      <w:r>
        <w:rPr>
          <w:rFonts w:hint="eastAsia" w:ascii="黑体" w:hAnsi="黑体" w:eastAsia="黑体" w:cs="黑体"/>
          <w:kern w:val="2"/>
          <w:sz w:val="48"/>
          <w:szCs w:val="48"/>
        </w:rPr>
        <w:t>年部门</w:t>
      </w:r>
    </w:p>
    <w:p w14:paraId="623EECC3">
      <w:pPr>
        <w:widowControl w:val="0"/>
        <w:adjustRightInd/>
        <w:snapToGrid/>
        <w:spacing w:after="0" w:line="480" w:lineRule="auto"/>
        <w:jc w:val="center"/>
        <w:rPr>
          <w:rFonts w:ascii="黑体" w:hAnsi="黑体" w:eastAsia="黑体"/>
          <w:kern w:val="2"/>
          <w:sz w:val="48"/>
          <w:szCs w:val="48"/>
        </w:rPr>
      </w:pPr>
      <w:r>
        <w:rPr>
          <w:rFonts w:hint="eastAsia" w:ascii="黑体" w:hAnsi="黑体" w:eastAsia="黑体" w:cs="黑体"/>
          <w:kern w:val="2"/>
          <w:sz w:val="48"/>
          <w:szCs w:val="48"/>
        </w:rPr>
        <w:t>整体支出绩效评价自评报告</w:t>
      </w:r>
    </w:p>
    <w:p w14:paraId="0CCF58D0">
      <w:pPr>
        <w:widowControl w:val="0"/>
        <w:adjustRightInd/>
        <w:snapToGrid/>
        <w:spacing w:after="0" w:line="480" w:lineRule="auto"/>
        <w:jc w:val="center"/>
        <w:rPr>
          <w:rFonts w:ascii="黑体" w:hAnsi="黑体" w:eastAsia="黑体"/>
          <w:kern w:val="2"/>
          <w:sz w:val="32"/>
          <w:szCs w:val="32"/>
        </w:rPr>
      </w:pPr>
    </w:p>
    <w:p w14:paraId="18421574">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320EC3E">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DE745BE">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259C0A05">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3D116F25">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780D517F">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5E68B51">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61917067">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9B691EA">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440CF815">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585B7E2">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14954CC4">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4D8CCB11">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8B04D6F">
      <w:pPr>
        <w:widowControl w:val="0"/>
        <w:adjustRightInd/>
        <w:snapToGrid/>
        <w:spacing w:after="0" w:line="540" w:lineRule="exact"/>
        <w:ind w:firstLine="720" w:firstLineChars="200"/>
        <w:jc w:val="center"/>
        <w:rPr>
          <w:rFonts w:ascii="宋体" w:hAnsi="宋体" w:eastAsia="宋体"/>
          <w:kern w:val="2"/>
          <w:sz w:val="36"/>
          <w:szCs w:val="36"/>
        </w:rPr>
      </w:pPr>
      <w:r>
        <w:rPr>
          <w:rFonts w:ascii="宋体" w:hAnsi="宋体" w:eastAsia="宋体" w:cs="宋体"/>
          <w:kern w:val="2"/>
          <w:sz w:val="36"/>
          <w:szCs w:val="36"/>
        </w:rPr>
        <w:t>2022</w:t>
      </w:r>
      <w:r>
        <w:rPr>
          <w:rFonts w:hint="eastAsia" w:ascii="宋体" w:hAnsi="宋体" w:eastAsia="宋体" w:cs="宋体"/>
          <w:kern w:val="2"/>
          <w:sz w:val="36"/>
          <w:szCs w:val="36"/>
        </w:rPr>
        <w:t>年</w:t>
      </w:r>
      <w:r>
        <w:rPr>
          <w:rFonts w:ascii="宋体" w:hAnsi="宋体" w:eastAsia="宋体" w:cs="宋体"/>
          <w:kern w:val="2"/>
          <w:sz w:val="36"/>
          <w:szCs w:val="36"/>
        </w:rPr>
        <w:t>11</w:t>
      </w:r>
      <w:r>
        <w:rPr>
          <w:rFonts w:hint="eastAsia" w:ascii="宋体" w:hAnsi="宋体" w:eastAsia="宋体" w:cs="宋体"/>
          <w:kern w:val="2"/>
          <w:sz w:val="36"/>
          <w:szCs w:val="36"/>
        </w:rPr>
        <w:t>月</w:t>
      </w:r>
    </w:p>
    <w:p w14:paraId="48A12BFF">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6EE8DB85">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70408AFB">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383B0BAD">
      <w:pPr>
        <w:pStyle w:val="71"/>
        <w:ind w:firstLine="883" w:firstLineChars="200"/>
        <w:jc w:val="center"/>
        <w:rPr>
          <w:rFonts w:cs="Tahoma"/>
          <w:color w:val="auto"/>
          <w:sz w:val="44"/>
          <w:szCs w:val="44"/>
          <w:lang w:val="zh-CN"/>
        </w:rPr>
      </w:pPr>
      <w:r>
        <w:rPr>
          <w:rFonts w:hint="eastAsia" w:cs="宋体"/>
          <w:color w:val="auto"/>
          <w:sz w:val="44"/>
          <w:szCs w:val="44"/>
          <w:lang w:val="zh-CN"/>
        </w:rPr>
        <w:t>目</w:t>
      </w:r>
      <w:r>
        <w:rPr>
          <w:color w:val="auto"/>
          <w:sz w:val="44"/>
          <w:szCs w:val="44"/>
          <w:lang w:val="zh-CN"/>
        </w:rPr>
        <w:t xml:space="preserve">    </w:t>
      </w:r>
      <w:r>
        <w:rPr>
          <w:rFonts w:hint="eastAsia" w:cs="宋体"/>
          <w:color w:val="auto"/>
          <w:sz w:val="44"/>
          <w:szCs w:val="44"/>
          <w:lang w:val="zh-CN"/>
        </w:rPr>
        <w:t>录</w:t>
      </w:r>
    </w:p>
    <w:p w14:paraId="61DC5011">
      <w:pPr>
        <w:pStyle w:val="18"/>
        <w:tabs>
          <w:tab w:val="right" w:leader="dot" w:pos="8312"/>
        </w:tabs>
        <w:spacing w:line="312" w:lineRule="auto"/>
        <w:ind w:left="0" w:leftChars="0"/>
        <w:rPr>
          <w:rFonts w:ascii="宋体" w:cs="Tahoma"/>
          <w:b/>
          <w:bCs/>
          <w:sz w:val="24"/>
          <w:szCs w:val="24"/>
        </w:rPr>
      </w:pPr>
      <w:r>
        <w:rPr>
          <w:rFonts w:ascii="宋体" w:hAnsi="宋体" w:cs="宋体"/>
          <w:sz w:val="24"/>
          <w:szCs w:val="24"/>
        </w:rPr>
        <w:fldChar w:fldCharType="begin"/>
      </w:r>
      <w:r>
        <w:rPr>
          <w:rFonts w:ascii="宋体" w:hAnsi="宋体" w:cs="宋体"/>
          <w:sz w:val="24"/>
          <w:szCs w:val="24"/>
        </w:rPr>
        <w:instrText xml:space="preserve"> TOC \o "1-3" \h \z \u </w:instrText>
      </w:r>
      <w:r>
        <w:rPr>
          <w:rFonts w:ascii="宋体" w:hAnsi="宋体" w:cs="宋体"/>
          <w:sz w:val="24"/>
          <w:szCs w:val="24"/>
        </w:rPr>
        <w:fldChar w:fldCharType="separate"/>
      </w:r>
      <w:r>
        <w:fldChar w:fldCharType="begin"/>
      </w:r>
      <w:r>
        <w:instrText xml:space="preserve"> HYPERLINK \l "_Toc25184" </w:instrText>
      </w:r>
      <w:r>
        <w:fldChar w:fldCharType="separate"/>
      </w:r>
      <w:r>
        <w:rPr>
          <w:rFonts w:hint="eastAsia" w:ascii="宋体" w:hAnsi="宋体" w:cs="宋体"/>
          <w:b/>
          <w:bCs/>
          <w:sz w:val="24"/>
          <w:szCs w:val="24"/>
        </w:rPr>
        <w:t>第一部分</w:t>
      </w:r>
      <w:r>
        <w:rPr>
          <w:rFonts w:ascii="宋体" w:hAnsi="宋体" w:cs="宋体"/>
          <w:b/>
          <w:bCs/>
          <w:sz w:val="24"/>
          <w:szCs w:val="24"/>
        </w:rPr>
        <w:t xml:space="preserve">   </w:t>
      </w:r>
      <w:r>
        <w:rPr>
          <w:rFonts w:hint="eastAsia" w:ascii="宋体" w:hAnsi="宋体" w:cs="宋体"/>
          <w:b/>
          <w:bCs/>
          <w:sz w:val="24"/>
          <w:szCs w:val="24"/>
        </w:rPr>
        <w:t>摘</w:t>
      </w:r>
      <w:r>
        <w:rPr>
          <w:rFonts w:ascii="宋体" w:hAnsi="宋体" w:cs="宋体"/>
          <w:b/>
          <w:bCs/>
          <w:sz w:val="24"/>
          <w:szCs w:val="24"/>
        </w:rPr>
        <w:t xml:space="preserve">  </w:t>
      </w:r>
      <w:r>
        <w:rPr>
          <w:rFonts w:hint="eastAsia" w:ascii="宋体" w:hAnsi="宋体" w:cs="宋体"/>
          <w:b/>
          <w:bCs/>
          <w:sz w:val="24"/>
          <w:szCs w:val="24"/>
        </w:rPr>
        <w:t>要</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_Toc25184 </w:instrText>
      </w:r>
      <w:r>
        <w:rPr>
          <w:rFonts w:ascii="宋体" w:hAnsi="宋体" w:cs="宋体"/>
          <w:b/>
          <w:bCs/>
          <w:sz w:val="24"/>
          <w:szCs w:val="24"/>
        </w:rPr>
        <w:fldChar w:fldCharType="separate"/>
      </w:r>
      <w:r>
        <w:rPr>
          <w:rFonts w:ascii="宋体" w:hAnsi="宋体" w:cs="宋体"/>
          <w:b/>
          <w:bCs/>
          <w:sz w:val="24"/>
          <w:szCs w:val="24"/>
        </w:rPr>
        <w:t>1</w:t>
      </w:r>
      <w:r>
        <w:rPr>
          <w:rFonts w:ascii="宋体" w:hAnsi="宋体" w:cs="宋体"/>
          <w:b/>
          <w:bCs/>
          <w:sz w:val="24"/>
          <w:szCs w:val="24"/>
        </w:rPr>
        <w:fldChar w:fldCharType="end"/>
      </w:r>
      <w:r>
        <w:rPr>
          <w:rFonts w:ascii="宋体" w:hAnsi="宋体" w:cs="宋体"/>
          <w:b/>
          <w:bCs/>
          <w:sz w:val="24"/>
          <w:szCs w:val="24"/>
        </w:rPr>
        <w:fldChar w:fldCharType="end"/>
      </w:r>
    </w:p>
    <w:p w14:paraId="0C9F0DA3">
      <w:pPr>
        <w:pStyle w:val="18"/>
        <w:tabs>
          <w:tab w:val="right" w:leader="dot" w:pos="8312"/>
        </w:tabs>
        <w:spacing w:line="312" w:lineRule="auto"/>
        <w:ind w:left="0" w:leftChars="0"/>
        <w:rPr>
          <w:rFonts w:ascii="宋体" w:cs="Tahoma"/>
          <w:sz w:val="24"/>
          <w:szCs w:val="24"/>
        </w:rPr>
      </w:pPr>
      <w:r>
        <w:fldChar w:fldCharType="begin"/>
      </w:r>
      <w:r>
        <w:instrText xml:space="preserve"> HYPERLINK \l "_Toc4346" </w:instrText>
      </w:r>
      <w:r>
        <w:fldChar w:fldCharType="separate"/>
      </w:r>
      <w:r>
        <w:rPr>
          <w:rFonts w:hint="eastAsia" w:ascii="宋体" w:hAnsi="宋体" w:cs="宋体"/>
          <w:b/>
          <w:bCs/>
          <w:sz w:val="24"/>
          <w:szCs w:val="24"/>
        </w:rPr>
        <w:t>第二部分</w:t>
      </w:r>
      <w:r>
        <w:rPr>
          <w:rFonts w:ascii="宋体" w:hAnsi="宋体" w:cs="宋体"/>
          <w:b/>
          <w:bCs/>
          <w:sz w:val="24"/>
          <w:szCs w:val="24"/>
        </w:rPr>
        <w:t xml:space="preserve">   </w:t>
      </w:r>
      <w:r>
        <w:rPr>
          <w:rFonts w:hint="eastAsia" w:ascii="宋体" w:hAnsi="宋体" w:cs="宋体"/>
          <w:b/>
          <w:bCs/>
          <w:sz w:val="24"/>
          <w:szCs w:val="24"/>
        </w:rPr>
        <w:t>绩效评价报告</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_Toc4346 </w:instrText>
      </w:r>
      <w:r>
        <w:rPr>
          <w:rFonts w:ascii="宋体" w:hAnsi="宋体" w:cs="宋体"/>
          <w:b/>
          <w:bCs/>
          <w:sz w:val="24"/>
          <w:szCs w:val="24"/>
        </w:rPr>
        <w:fldChar w:fldCharType="separate"/>
      </w:r>
      <w:r>
        <w:rPr>
          <w:rFonts w:ascii="宋体" w:hAnsi="宋体" w:cs="宋体"/>
          <w:b/>
          <w:bCs/>
          <w:sz w:val="24"/>
          <w:szCs w:val="24"/>
        </w:rPr>
        <w:t>3</w:t>
      </w:r>
      <w:r>
        <w:rPr>
          <w:rFonts w:ascii="宋体" w:hAnsi="宋体" w:cs="宋体"/>
          <w:b/>
          <w:bCs/>
          <w:sz w:val="24"/>
          <w:szCs w:val="24"/>
        </w:rPr>
        <w:fldChar w:fldCharType="end"/>
      </w:r>
      <w:r>
        <w:rPr>
          <w:rFonts w:ascii="宋体" w:hAnsi="宋体" w:cs="宋体"/>
          <w:b/>
          <w:bCs/>
          <w:sz w:val="24"/>
          <w:szCs w:val="24"/>
        </w:rPr>
        <w:fldChar w:fldCharType="end"/>
      </w:r>
    </w:p>
    <w:p w14:paraId="5D58E4F9">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"_Toc427" </w:instrText>
      </w:r>
      <w:r>
        <w:fldChar w:fldCharType="separate"/>
      </w:r>
      <w:r>
        <w:rPr>
          <w:rFonts w:hint="eastAsia" w:ascii="宋体" w:hAnsi="宋体" w:cs="宋体"/>
          <w:b/>
          <w:bCs/>
          <w:sz w:val="24"/>
          <w:szCs w:val="24"/>
        </w:rPr>
        <w:t>一、保定市徐水区总工会基本情况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_Toc427 </w:instrText>
      </w:r>
      <w:r>
        <w:rPr>
          <w:rFonts w:ascii="宋体" w:hAnsi="宋体" w:cs="宋体"/>
          <w:b/>
          <w:bCs/>
          <w:sz w:val="24"/>
          <w:szCs w:val="24"/>
        </w:rPr>
        <w:fldChar w:fldCharType="separate"/>
      </w:r>
      <w:r>
        <w:rPr>
          <w:rFonts w:ascii="宋体" w:hAnsi="宋体" w:cs="宋体"/>
          <w:b/>
          <w:bCs/>
          <w:sz w:val="24"/>
          <w:szCs w:val="24"/>
        </w:rPr>
        <w:t>4</w:t>
      </w:r>
      <w:r>
        <w:rPr>
          <w:rFonts w:ascii="宋体" w:hAnsi="宋体" w:cs="宋体"/>
          <w:b/>
          <w:bCs/>
          <w:sz w:val="24"/>
          <w:szCs w:val="24"/>
        </w:rPr>
        <w:fldChar w:fldCharType="end"/>
      </w:r>
      <w:r>
        <w:rPr>
          <w:rFonts w:ascii="宋体" w:hAnsi="宋体" w:cs="宋体"/>
          <w:b/>
          <w:bCs/>
          <w:sz w:val="24"/>
          <w:szCs w:val="24"/>
        </w:rPr>
        <w:fldChar w:fldCharType="end"/>
      </w:r>
    </w:p>
    <w:p w14:paraId="406CF65B">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"_Toc11473" </w:instrText>
      </w:r>
      <w:r>
        <w:fldChar w:fldCharType="separate"/>
      </w:r>
      <w:r>
        <w:rPr>
          <w:rFonts w:hint="eastAsia" w:ascii="宋体" w:hAnsi="宋体" w:cs="宋体"/>
          <w:sz w:val="24"/>
          <w:szCs w:val="24"/>
        </w:rPr>
        <w:t>（一）部门职责和工作活动</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_Toc11473 </w:instrText>
      </w:r>
      <w:r>
        <w:rPr>
          <w:rFonts w:ascii="宋体" w:hAnsi="宋体" w:cs="宋体"/>
          <w:sz w:val="24"/>
          <w:szCs w:val="24"/>
        </w:rPr>
        <w:fldChar w:fldCharType="separate"/>
      </w:r>
      <w:r>
        <w:rPr>
          <w:rFonts w:ascii="宋体" w:hAnsi="宋体" w:cs="宋体"/>
          <w:sz w:val="24"/>
          <w:szCs w:val="24"/>
        </w:rPr>
        <w:t>4</w:t>
      </w:r>
      <w:r>
        <w:rPr>
          <w:rFonts w:ascii="宋体" w:hAnsi="宋体" w:cs="宋体"/>
          <w:sz w:val="24"/>
          <w:szCs w:val="24"/>
        </w:rPr>
        <w:fldChar w:fldCharType="end"/>
      </w:r>
      <w:r>
        <w:rPr>
          <w:rFonts w:ascii="宋体" w:hAnsi="宋体" w:cs="宋体"/>
          <w:sz w:val="24"/>
          <w:szCs w:val="24"/>
        </w:rPr>
        <w:fldChar w:fldCharType="end"/>
      </w:r>
    </w:p>
    <w:p w14:paraId="17DE2DB7">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"_Toc7075" </w:instrText>
      </w:r>
      <w:r>
        <w:fldChar w:fldCharType="separate"/>
      </w:r>
      <w:r>
        <w:rPr>
          <w:rFonts w:hint="eastAsia" w:ascii="宋体" w:hAnsi="宋体" w:cs="宋体"/>
          <w:sz w:val="24"/>
          <w:szCs w:val="24"/>
        </w:rPr>
        <w:t>（二）部门年度发展规划总体目标和职责分类绩效目标</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_Toc7075 </w:instrText>
      </w:r>
      <w:r>
        <w:rPr>
          <w:rFonts w:ascii="宋体" w:hAnsi="宋体" w:cs="宋体"/>
          <w:sz w:val="24"/>
          <w:szCs w:val="24"/>
        </w:rPr>
        <w:fldChar w:fldCharType="separate"/>
      </w:r>
      <w:r>
        <w:rPr>
          <w:rFonts w:ascii="宋体" w:hAnsi="宋体" w:cs="宋体"/>
          <w:sz w:val="24"/>
          <w:szCs w:val="24"/>
        </w:rPr>
        <w:t>6</w:t>
      </w:r>
      <w:r>
        <w:rPr>
          <w:rFonts w:ascii="宋体" w:hAnsi="宋体" w:cs="宋体"/>
          <w:sz w:val="24"/>
          <w:szCs w:val="24"/>
        </w:rPr>
        <w:fldChar w:fldCharType="end"/>
      </w:r>
      <w:r>
        <w:rPr>
          <w:rFonts w:ascii="宋体" w:hAnsi="宋体" w:cs="宋体"/>
          <w:sz w:val="24"/>
          <w:szCs w:val="24"/>
        </w:rPr>
        <w:fldChar w:fldCharType="end"/>
      </w:r>
    </w:p>
    <w:p w14:paraId="05294AB6">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"_Toc1678" </w:instrText>
      </w:r>
      <w:r>
        <w:fldChar w:fldCharType="separate"/>
      </w:r>
      <w:r>
        <w:rPr>
          <w:rFonts w:hint="eastAsia" w:ascii="宋体" w:hAnsi="宋体" w:cs="宋体"/>
          <w:sz w:val="24"/>
          <w:szCs w:val="24"/>
        </w:rPr>
        <w:t>（三）部门预算收入及决算收入</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_Toc1678 </w:instrText>
      </w:r>
      <w:r>
        <w:rPr>
          <w:rFonts w:ascii="宋体" w:hAnsi="宋体" w:cs="宋体"/>
          <w:sz w:val="24"/>
          <w:szCs w:val="24"/>
        </w:rPr>
        <w:fldChar w:fldCharType="separate"/>
      </w:r>
      <w:r>
        <w:rPr>
          <w:rFonts w:ascii="宋体" w:hAnsi="宋体" w:cs="宋体"/>
          <w:sz w:val="24"/>
          <w:szCs w:val="24"/>
        </w:rPr>
        <w:t>7</w:t>
      </w:r>
      <w:r>
        <w:rPr>
          <w:rFonts w:ascii="宋体" w:hAnsi="宋体" w:cs="宋体"/>
          <w:sz w:val="24"/>
          <w:szCs w:val="24"/>
        </w:rPr>
        <w:fldChar w:fldCharType="end"/>
      </w:r>
      <w:r>
        <w:rPr>
          <w:rFonts w:ascii="宋体" w:hAnsi="宋体" w:cs="宋体"/>
          <w:sz w:val="24"/>
          <w:szCs w:val="24"/>
        </w:rPr>
        <w:fldChar w:fldCharType="end"/>
      </w:r>
    </w:p>
    <w:p w14:paraId="680C990A">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"_Toc18197" </w:instrText>
      </w:r>
      <w:r>
        <w:fldChar w:fldCharType="separate"/>
      </w:r>
      <w:r>
        <w:rPr>
          <w:rFonts w:hint="eastAsia" w:ascii="宋体" w:hAnsi="宋体" w:cs="宋体"/>
          <w:sz w:val="24"/>
          <w:szCs w:val="24"/>
        </w:rPr>
        <w:t>（四）预算支出及决算支出</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_Toc18197 </w:instrText>
      </w:r>
      <w:r>
        <w:rPr>
          <w:rFonts w:ascii="宋体" w:hAnsi="宋体" w:cs="宋体"/>
          <w:sz w:val="24"/>
          <w:szCs w:val="24"/>
        </w:rPr>
        <w:fldChar w:fldCharType="separate"/>
      </w:r>
      <w:r>
        <w:rPr>
          <w:rFonts w:ascii="宋体" w:hAnsi="宋体" w:cs="宋体"/>
          <w:sz w:val="24"/>
          <w:szCs w:val="24"/>
        </w:rPr>
        <w:t>8</w:t>
      </w:r>
      <w:r>
        <w:rPr>
          <w:rFonts w:ascii="宋体" w:hAnsi="宋体" w:cs="宋体"/>
          <w:sz w:val="24"/>
          <w:szCs w:val="24"/>
        </w:rPr>
        <w:fldChar w:fldCharType="end"/>
      </w:r>
      <w:r>
        <w:rPr>
          <w:rFonts w:ascii="宋体" w:hAnsi="宋体" w:cs="宋体"/>
          <w:sz w:val="24"/>
          <w:szCs w:val="24"/>
        </w:rPr>
        <w:fldChar w:fldCharType="end"/>
      </w:r>
    </w:p>
    <w:p w14:paraId="3FF30744">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"_Toc19291" </w:instrText>
      </w:r>
      <w:r>
        <w:fldChar w:fldCharType="separate"/>
      </w:r>
      <w:r>
        <w:rPr>
          <w:rFonts w:hint="eastAsia" w:ascii="宋体" w:hAnsi="宋体" w:cs="宋体"/>
          <w:sz w:val="24"/>
          <w:szCs w:val="24"/>
        </w:rPr>
        <w:t>（五）“三公”经费预算安排及支出情况</w:t>
      </w:r>
      <w:r>
        <w:rPr>
          <w:rFonts w:ascii="宋体" w:cs="Tahoma"/>
          <w:sz w:val="24"/>
          <w:szCs w:val="24"/>
        </w:rPr>
        <w:tab/>
      </w:r>
      <w:r>
        <w:rPr>
          <w:rFonts w:ascii="宋体" w:hAnsi="宋体" w:cs="宋体"/>
          <w:sz w:val="24"/>
          <w:szCs w:val="24"/>
        </w:rPr>
        <w:fldChar w:fldCharType="end"/>
      </w:r>
    </w:p>
    <w:p w14:paraId="0C8E252A">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"_Toc20454" </w:instrText>
      </w:r>
      <w:r>
        <w:fldChar w:fldCharType="separate"/>
      </w:r>
      <w:r>
        <w:rPr>
          <w:rFonts w:hint="eastAsia" w:ascii="宋体" w:hAnsi="宋体" w:cs="宋体"/>
          <w:b/>
          <w:bCs/>
          <w:sz w:val="24"/>
          <w:szCs w:val="24"/>
        </w:rPr>
        <w:t>二、部门整体支出绩效评价指标体系设定情况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_Toc20454 </w:instrText>
      </w:r>
      <w:r>
        <w:rPr>
          <w:rFonts w:ascii="宋体" w:hAnsi="宋体" w:cs="宋体"/>
          <w:b/>
          <w:bCs/>
          <w:sz w:val="24"/>
          <w:szCs w:val="24"/>
        </w:rPr>
        <w:fldChar w:fldCharType="separate"/>
      </w:r>
      <w:r>
        <w:rPr>
          <w:rFonts w:ascii="宋体" w:hAnsi="宋体" w:cs="宋体"/>
          <w:b/>
          <w:bCs/>
          <w:sz w:val="24"/>
          <w:szCs w:val="24"/>
        </w:rPr>
        <w:t>10</w:t>
      </w:r>
      <w:r>
        <w:rPr>
          <w:rFonts w:ascii="宋体" w:hAnsi="宋体" w:cs="宋体"/>
          <w:b/>
          <w:bCs/>
          <w:sz w:val="24"/>
          <w:szCs w:val="24"/>
        </w:rPr>
        <w:fldChar w:fldCharType="end"/>
      </w:r>
      <w:r>
        <w:rPr>
          <w:rFonts w:ascii="宋体" w:hAnsi="宋体" w:cs="宋体"/>
          <w:b/>
          <w:bCs/>
          <w:sz w:val="24"/>
          <w:szCs w:val="24"/>
        </w:rPr>
        <w:fldChar w:fldCharType="end"/>
      </w:r>
    </w:p>
    <w:p w14:paraId="7AAB2836">
      <w:pPr>
        <w:pStyle w:val="18"/>
        <w:tabs>
          <w:tab w:val="right" w:leader="dot" w:pos="8312"/>
        </w:tabs>
        <w:spacing w:line="312" w:lineRule="auto"/>
        <w:ind w:left="0" w:leftChars="0" w:firstLine="300" w:firstLineChars="100"/>
        <w:rPr>
          <w:rFonts w:ascii="宋体" w:cs="Tahoma"/>
          <w:sz w:val="24"/>
          <w:szCs w:val="24"/>
        </w:rPr>
      </w:pPr>
      <w:r>
        <w:fldChar w:fldCharType="begin"/>
      </w:r>
      <w:r>
        <w:instrText xml:space="preserve"> HYPERLINK \l "_Toc9569" </w:instrText>
      </w:r>
      <w:r>
        <w:fldChar w:fldCharType="separate"/>
      </w:r>
      <w:r>
        <w:rPr>
          <w:rFonts w:hint="eastAsia" w:ascii="宋体" w:hAnsi="宋体" w:cs="宋体"/>
          <w:sz w:val="24"/>
          <w:szCs w:val="24"/>
        </w:rPr>
        <w:t>（一）投入</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_Toc9569 </w:instrText>
      </w:r>
      <w:r>
        <w:rPr>
          <w:rFonts w:ascii="宋体" w:hAnsi="宋体" w:cs="宋体"/>
          <w:sz w:val="24"/>
          <w:szCs w:val="24"/>
        </w:rPr>
        <w:fldChar w:fldCharType="separate"/>
      </w:r>
      <w:r>
        <w:rPr>
          <w:rFonts w:ascii="宋体" w:hAnsi="宋体" w:cs="宋体"/>
          <w:sz w:val="24"/>
          <w:szCs w:val="24"/>
        </w:rPr>
        <w:t>11</w:t>
      </w:r>
      <w:r>
        <w:rPr>
          <w:rFonts w:ascii="宋体" w:hAnsi="宋体" w:cs="宋体"/>
          <w:sz w:val="24"/>
          <w:szCs w:val="24"/>
        </w:rPr>
        <w:fldChar w:fldCharType="end"/>
      </w:r>
      <w:r>
        <w:rPr>
          <w:rFonts w:ascii="宋体" w:hAnsi="宋体" w:cs="宋体"/>
          <w:sz w:val="24"/>
          <w:szCs w:val="24"/>
        </w:rPr>
        <w:fldChar w:fldCharType="end"/>
      </w:r>
    </w:p>
    <w:p w14:paraId="714712D9">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"_Toc30221" </w:instrText>
      </w:r>
      <w:r>
        <w:fldChar w:fldCharType="separate"/>
      </w:r>
      <w:r>
        <w:rPr>
          <w:rFonts w:hint="eastAsia" w:ascii="宋体" w:hAnsi="宋体" w:cs="宋体"/>
          <w:sz w:val="24"/>
          <w:szCs w:val="24"/>
        </w:rPr>
        <w:t>（二）过程</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_Toc30221 </w:instrText>
      </w:r>
      <w:r>
        <w:rPr>
          <w:rFonts w:ascii="宋体" w:hAnsi="宋体" w:cs="宋体"/>
          <w:sz w:val="24"/>
          <w:szCs w:val="24"/>
        </w:rPr>
        <w:fldChar w:fldCharType="separate"/>
      </w:r>
      <w:r>
        <w:rPr>
          <w:rFonts w:ascii="宋体" w:hAnsi="宋体" w:cs="宋体"/>
          <w:sz w:val="24"/>
          <w:szCs w:val="24"/>
        </w:rPr>
        <w:t>11</w:t>
      </w:r>
      <w:r>
        <w:rPr>
          <w:rFonts w:ascii="宋体" w:hAnsi="宋体" w:cs="宋体"/>
          <w:sz w:val="24"/>
          <w:szCs w:val="24"/>
        </w:rPr>
        <w:fldChar w:fldCharType="end"/>
      </w:r>
      <w:r>
        <w:rPr>
          <w:rFonts w:ascii="宋体" w:hAnsi="宋体" w:cs="宋体"/>
          <w:sz w:val="24"/>
          <w:szCs w:val="24"/>
        </w:rPr>
        <w:fldChar w:fldCharType="end"/>
      </w:r>
    </w:p>
    <w:p w14:paraId="1114D272">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"_Toc24932" </w:instrText>
      </w:r>
      <w:r>
        <w:fldChar w:fldCharType="separate"/>
      </w:r>
      <w:r>
        <w:rPr>
          <w:rFonts w:hint="eastAsia" w:ascii="宋体" w:hAnsi="宋体" w:cs="宋体"/>
          <w:sz w:val="24"/>
          <w:szCs w:val="24"/>
        </w:rPr>
        <w:t>（三）产出</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_Toc24932 </w:instrText>
      </w:r>
      <w:r>
        <w:rPr>
          <w:rFonts w:ascii="宋体" w:hAnsi="宋体" w:cs="宋体"/>
          <w:sz w:val="24"/>
          <w:szCs w:val="24"/>
        </w:rPr>
        <w:fldChar w:fldCharType="separate"/>
      </w:r>
      <w:r>
        <w:rPr>
          <w:rFonts w:ascii="宋体" w:hAnsi="宋体" w:cs="宋体"/>
          <w:sz w:val="24"/>
          <w:szCs w:val="24"/>
        </w:rPr>
        <w:t>11</w:t>
      </w:r>
      <w:r>
        <w:rPr>
          <w:rFonts w:ascii="宋体" w:hAnsi="宋体" w:cs="宋体"/>
          <w:sz w:val="24"/>
          <w:szCs w:val="24"/>
        </w:rPr>
        <w:fldChar w:fldCharType="end"/>
      </w:r>
      <w:r>
        <w:rPr>
          <w:rFonts w:ascii="宋体" w:hAnsi="宋体" w:cs="宋体"/>
          <w:sz w:val="24"/>
          <w:szCs w:val="24"/>
        </w:rPr>
        <w:fldChar w:fldCharType="end"/>
      </w:r>
    </w:p>
    <w:p w14:paraId="4138A32A">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"_Toc21821" </w:instrText>
      </w:r>
      <w:r>
        <w:fldChar w:fldCharType="separate"/>
      </w:r>
      <w:r>
        <w:rPr>
          <w:rFonts w:hint="eastAsia" w:ascii="宋体" w:hAnsi="宋体" w:cs="宋体"/>
          <w:sz w:val="24"/>
          <w:szCs w:val="24"/>
        </w:rPr>
        <w:t>（四）效果</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_Toc21821 </w:instrText>
      </w:r>
      <w:r>
        <w:rPr>
          <w:rFonts w:ascii="宋体" w:hAnsi="宋体" w:cs="宋体"/>
          <w:sz w:val="24"/>
          <w:szCs w:val="24"/>
        </w:rPr>
        <w:fldChar w:fldCharType="separate"/>
      </w:r>
      <w:r>
        <w:rPr>
          <w:rFonts w:ascii="宋体" w:hAnsi="宋体" w:cs="宋体"/>
          <w:sz w:val="24"/>
          <w:szCs w:val="24"/>
        </w:rPr>
        <w:t>12</w:t>
      </w:r>
      <w:r>
        <w:rPr>
          <w:rFonts w:ascii="宋体" w:hAnsi="宋体" w:cs="宋体"/>
          <w:sz w:val="24"/>
          <w:szCs w:val="24"/>
        </w:rPr>
        <w:fldChar w:fldCharType="end"/>
      </w:r>
      <w:r>
        <w:rPr>
          <w:rFonts w:ascii="宋体" w:hAnsi="宋体" w:cs="宋体"/>
          <w:sz w:val="24"/>
          <w:szCs w:val="24"/>
        </w:rPr>
        <w:fldChar w:fldCharType="end"/>
      </w:r>
    </w:p>
    <w:p w14:paraId="56926A25">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"_Toc11842" </w:instrText>
      </w:r>
      <w:r>
        <w:fldChar w:fldCharType="separate"/>
      </w:r>
      <w:r>
        <w:rPr>
          <w:rFonts w:hint="eastAsia" w:ascii="宋体" w:hAnsi="宋体" w:cs="宋体"/>
          <w:b/>
          <w:bCs/>
          <w:sz w:val="24"/>
          <w:szCs w:val="24"/>
        </w:rPr>
        <w:t>三、综合绩效评价工作情况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_Toc11842 </w:instrText>
      </w:r>
      <w:r>
        <w:rPr>
          <w:rFonts w:ascii="宋体" w:hAnsi="宋体" w:cs="宋体"/>
          <w:b/>
          <w:bCs/>
          <w:sz w:val="24"/>
          <w:szCs w:val="24"/>
        </w:rPr>
        <w:fldChar w:fldCharType="separate"/>
      </w:r>
      <w:r>
        <w:rPr>
          <w:rFonts w:ascii="宋体" w:hAnsi="宋体" w:cs="宋体"/>
          <w:b/>
          <w:bCs/>
          <w:sz w:val="24"/>
          <w:szCs w:val="24"/>
        </w:rPr>
        <w:t>12</w:t>
      </w:r>
      <w:r>
        <w:rPr>
          <w:rFonts w:ascii="宋体" w:hAnsi="宋体" w:cs="宋体"/>
          <w:b/>
          <w:bCs/>
          <w:sz w:val="24"/>
          <w:szCs w:val="24"/>
        </w:rPr>
        <w:fldChar w:fldCharType="end"/>
      </w:r>
      <w:r>
        <w:rPr>
          <w:rFonts w:ascii="宋体" w:hAnsi="宋体" w:cs="宋体"/>
          <w:b/>
          <w:bCs/>
          <w:sz w:val="24"/>
          <w:szCs w:val="24"/>
        </w:rPr>
        <w:fldChar w:fldCharType="end"/>
      </w:r>
    </w:p>
    <w:p w14:paraId="00A5907B">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"_Toc17138" </w:instrText>
      </w:r>
      <w:r>
        <w:fldChar w:fldCharType="separate"/>
      </w:r>
      <w:r>
        <w:rPr>
          <w:rFonts w:hint="eastAsia" w:ascii="宋体" w:hAnsi="宋体" w:cs="宋体"/>
          <w:sz w:val="24"/>
          <w:szCs w:val="24"/>
        </w:rPr>
        <w:t>（一）绩效评价目的</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_Toc17138 </w:instrText>
      </w:r>
      <w:r>
        <w:rPr>
          <w:rFonts w:ascii="宋体" w:hAnsi="宋体" w:cs="宋体"/>
          <w:sz w:val="24"/>
          <w:szCs w:val="24"/>
        </w:rPr>
        <w:fldChar w:fldCharType="separate"/>
      </w:r>
      <w:r>
        <w:rPr>
          <w:rFonts w:ascii="宋体" w:hAnsi="宋体" w:cs="宋体"/>
          <w:sz w:val="24"/>
          <w:szCs w:val="24"/>
        </w:rPr>
        <w:t>12</w:t>
      </w:r>
      <w:r>
        <w:rPr>
          <w:rFonts w:ascii="宋体" w:hAnsi="宋体" w:cs="宋体"/>
          <w:sz w:val="24"/>
          <w:szCs w:val="24"/>
        </w:rPr>
        <w:fldChar w:fldCharType="end"/>
      </w:r>
      <w:r>
        <w:rPr>
          <w:rFonts w:ascii="宋体" w:hAnsi="宋体" w:cs="宋体"/>
          <w:sz w:val="24"/>
          <w:szCs w:val="24"/>
        </w:rPr>
        <w:fldChar w:fldCharType="end"/>
      </w:r>
    </w:p>
    <w:p w14:paraId="3962461D">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"_Toc11607" </w:instrText>
      </w:r>
      <w:r>
        <w:fldChar w:fldCharType="separate"/>
      </w:r>
      <w:r>
        <w:rPr>
          <w:rFonts w:hint="eastAsia" w:ascii="宋体" w:hAnsi="宋体" w:cs="宋体"/>
          <w:sz w:val="24"/>
          <w:szCs w:val="24"/>
        </w:rPr>
        <w:t>（二）绩效评价依据</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_Toc11607 </w:instrText>
      </w:r>
      <w:r>
        <w:rPr>
          <w:rFonts w:ascii="宋体" w:hAnsi="宋体" w:cs="宋体"/>
          <w:sz w:val="24"/>
          <w:szCs w:val="24"/>
        </w:rPr>
        <w:fldChar w:fldCharType="separate"/>
      </w:r>
      <w:r>
        <w:rPr>
          <w:rFonts w:ascii="宋体" w:hAnsi="宋体" w:cs="宋体"/>
          <w:sz w:val="24"/>
          <w:szCs w:val="24"/>
        </w:rPr>
        <w:t>12</w:t>
      </w:r>
      <w:r>
        <w:rPr>
          <w:rFonts w:ascii="宋体" w:hAnsi="宋体" w:cs="宋体"/>
          <w:sz w:val="24"/>
          <w:szCs w:val="24"/>
        </w:rPr>
        <w:fldChar w:fldCharType="end"/>
      </w:r>
      <w:r>
        <w:rPr>
          <w:rFonts w:ascii="宋体" w:hAnsi="宋体" w:cs="宋体"/>
          <w:sz w:val="24"/>
          <w:szCs w:val="24"/>
        </w:rPr>
        <w:fldChar w:fldCharType="end"/>
      </w:r>
    </w:p>
    <w:p w14:paraId="17ECA219">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"_Toc7609" </w:instrText>
      </w:r>
      <w:r>
        <w:fldChar w:fldCharType="separate"/>
      </w:r>
      <w:r>
        <w:rPr>
          <w:rFonts w:hint="eastAsia" w:ascii="宋体" w:hAnsi="宋体" w:cs="宋体"/>
          <w:sz w:val="24"/>
          <w:szCs w:val="24"/>
        </w:rPr>
        <w:t>（三）绩效评价内容</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_Toc7609 </w:instrText>
      </w:r>
      <w:r>
        <w:rPr>
          <w:rFonts w:ascii="宋体" w:hAnsi="宋体" w:cs="宋体"/>
          <w:sz w:val="24"/>
          <w:szCs w:val="24"/>
        </w:rPr>
        <w:fldChar w:fldCharType="separate"/>
      </w:r>
      <w:r>
        <w:rPr>
          <w:rFonts w:ascii="宋体" w:hAnsi="宋体" w:cs="宋体"/>
          <w:sz w:val="24"/>
          <w:szCs w:val="24"/>
        </w:rPr>
        <w:t>13</w:t>
      </w:r>
      <w:r>
        <w:rPr>
          <w:rFonts w:ascii="宋体" w:hAnsi="宋体" w:cs="宋体"/>
          <w:sz w:val="24"/>
          <w:szCs w:val="24"/>
        </w:rPr>
        <w:fldChar w:fldCharType="end"/>
      </w:r>
      <w:r>
        <w:rPr>
          <w:rFonts w:ascii="宋体" w:hAnsi="宋体" w:cs="宋体"/>
          <w:sz w:val="24"/>
          <w:szCs w:val="24"/>
        </w:rPr>
        <w:fldChar w:fldCharType="end"/>
      </w:r>
    </w:p>
    <w:p w14:paraId="0FD17DA6">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"_Toc789" </w:instrText>
      </w:r>
      <w:r>
        <w:fldChar w:fldCharType="separate"/>
      </w:r>
      <w:r>
        <w:rPr>
          <w:rFonts w:hint="eastAsia" w:ascii="宋体" w:hAnsi="宋体" w:cs="宋体"/>
          <w:sz w:val="24"/>
          <w:szCs w:val="24"/>
        </w:rPr>
        <w:t>（四）绩效评价原则</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_Toc789 </w:instrText>
      </w:r>
      <w:r>
        <w:rPr>
          <w:rFonts w:ascii="宋体" w:hAnsi="宋体" w:cs="宋体"/>
          <w:sz w:val="24"/>
          <w:szCs w:val="24"/>
        </w:rPr>
        <w:fldChar w:fldCharType="separate"/>
      </w:r>
      <w:r>
        <w:rPr>
          <w:rFonts w:ascii="宋体" w:hAnsi="宋体" w:cs="宋体"/>
          <w:sz w:val="24"/>
          <w:szCs w:val="24"/>
        </w:rPr>
        <w:t>13</w:t>
      </w:r>
      <w:r>
        <w:rPr>
          <w:rFonts w:ascii="宋体" w:hAnsi="宋体" w:cs="宋体"/>
          <w:sz w:val="24"/>
          <w:szCs w:val="24"/>
        </w:rPr>
        <w:fldChar w:fldCharType="end"/>
      </w:r>
      <w:r>
        <w:rPr>
          <w:rFonts w:ascii="宋体" w:hAnsi="宋体" w:cs="宋体"/>
          <w:sz w:val="24"/>
          <w:szCs w:val="24"/>
        </w:rPr>
        <w:fldChar w:fldCharType="end"/>
      </w:r>
    </w:p>
    <w:p w14:paraId="10D7DAA0">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"_Toc8171" </w:instrText>
      </w:r>
      <w:r>
        <w:fldChar w:fldCharType="separate"/>
      </w:r>
      <w:r>
        <w:rPr>
          <w:rFonts w:hint="eastAsia" w:ascii="宋体" w:hAnsi="宋体" w:cs="宋体"/>
          <w:sz w:val="24"/>
          <w:szCs w:val="24"/>
        </w:rPr>
        <w:t>（五）绩效评价方法</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_Toc8171 </w:instrText>
      </w:r>
      <w:r>
        <w:rPr>
          <w:rFonts w:ascii="宋体" w:hAnsi="宋体" w:cs="宋体"/>
          <w:sz w:val="24"/>
          <w:szCs w:val="24"/>
        </w:rPr>
        <w:fldChar w:fldCharType="separate"/>
      </w:r>
      <w:r>
        <w:rPr>
          <w:rFonts w:ascii="宋体" w:hAnsi="宋体" w:cs="宋体"/>
          <w:sz w:val="24"/>
          <w:szCs w:val="24"/>
        </w:rPr>
        <w:t>14</w:t>
      </w:r>
      <w:r>
        <w:rPr>
          <w:rFonts w:ascii="宋体" w:hAnsi="宋体" w:cs="宋体"/>
          <w:sz w:val="24"/>
          <w:szCs w:val="24"/>
        </w:rPr>
        <w:fldChar w:fldCharType="end"/>
      </w:r>
      <w:r>
        <w:rPr>
          <w:rFonts w:ascii="宋体" w:hAnsi="宋体" w:cs="宋体"/>
          <w:sz w:val="24"/>
          <w:szCs w:val="24"/>
        </w:rPr>
        <w:fldChar w:fldCharType="end"/>
      </w:r>
    </w:p>
    <w:p w14:paraId="374EFD2E">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"_Toc20821" </w:instrText>
      </w:r>
      <w:r>
        <w:fldChar w:fldCharType="separate"/>
      </w:r>
      <w:r>
        <w:rPr>
          <w:rFonts w:hint="eastAsia" w:ascii="宋体" w:hAnsi="宋体" w:cs="宋体"/>
          <w:sz w:val="24"/>
          <w:szCs w:val="24"/>
        </w:rPr>
        <w:t>（六）绩效评价工作过程</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_Toc20821 </w:instrText>
      </w:r>
      <w:r>
        <w:rPr>
          <w:rFonts w:ascii="宋体" w:hAnsi="宋体" w:cs="宋体"/>
          <w:sz w:val="24"/>
          <w:szCs w:val="24"/>
        </w:rPr>
        <w:fldChar w:fldCharType="separate"/>
      </w:r>
      <w:r>
        <w:rPr>
          <w:rFonts w:ascii="宋体" w:hAnsi="宋体" w:cs="宋体"/>
          <w:sz w:val="24"/>
          <w:szCs w:val="24"/>
        </w:rPr>
        <w:t>15</w:t>
      </w:r>
      <w:r>
        <w:rPr>
          <w:rFonts w:ascii="宋体" w:hAnsi="宋体" w:cs="宋体"/>
          <w:sz w:val="24"/>
          <w:szCs w:val="24"/>
        </w:rPr>
        <w:fldChar w:fldCharType="end"/>
      </w:r>
      <w:r>
        <w:rPr>
          <w:rFonts w:ascii="宋体" w:hAnsi="宋体" w:cs="宋体"/>
          <w:sz w:val="24"/>
          <w:szCs w:val="24"/>
        </w:rPr>
        <w:fldChar w:fldCharType="end"/>
      </w:r>
    </w:p>
    <w:p w14:paraId="72228A78">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"_Toc6467" </w:instrText>
      </w:r>
      <w:r>
        <w:fldChar w:fldCharType="separate"/>
      </w:r>
      <w:r>
        <w:rPr>
          <w:rFonts w:hint="eastAsia" w:ascii="宋体" w:hAnsi="宋体" w:cs="宋体"/>
          <w:b/>
          <w:bCs/>
          <w:sz w:val="24"/>
          <w:szCs w:val="24"/>
        </w:rPr>
        <w:t>四、绩效评价评分情况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_Toc6467 </w:instrText>
      </w:r>
      <w:r>
        <w:rPr>
          <w:rFonts w:ascii="宋体" w:hAnsi="宋体" w:cs="宋体"/>
          <w:b/>
          <w:bCs/>
          <w:sz w:val="24"/>
          <w:szCs w:val="24"/>
        </w:rPr>
        <w:fldChar w:fldCharType="separate"/>
      </w:r>
      <w:r>
        <w:rPr>
          <w:rFonts w:ascii="宋体" w:hAnsi="宋体" w:cs="宋体"/>
          <w:b/>
          <w:bCs/>
          <w:sz w:val="24"/>
          <w:szCs w:val="24"/>
        </w:rPr>
        <w:t>16</w:t>
      </w:r>
      <w:r>
        <w:rPr>
          <w:rFonts w:ascii="宋体" w:hAnsi="宋体" w:cs="宋体"/>
          <w:b/>
          <w:bCs/>
          <w:sz w:val="24"/>
          <w:szCs w:val="24"/>
        </w:rPr>
        <w:fldChar w:fldCharType="end"/>
      </w:r>
      <w:r>
        <w:rPr>
          <w:rFonts w:ascii="宋体" w:hAnsi="宋体" w:cs="宋体"/>
          <w:b/>
          <w:bCs/>
          <w:sz w:val="24"/>
          <w:szCs w:val="24"/>
        </w:rPr>
        <w:fldChar w:fldCharType="end"/>
      </w:r>
    </w:p>
    <w:p w14:paraId="72B60739">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"_Toc4390" </w:instrText>
      </w:r>
      <w:r>
        <w:fldChar w:fldCharType="separate"/>
      </w:r>
      <w:r>
        <w:rPr>
          <w:rFonts w:hint="eastAsia" w:ascii="宋体" w:hAnsi="宋体" w:cs="宋体"/>
          <w:sz w:val="24"/>
          <w:szCs w:val="24"/>
        </w:rPr>
        <w:t>（一）投入</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_Toc4390 </w:instrText>
      </w:r>
      <w:r>
        <w:rPr>
          <w:rFonts w:ascii="宋体" w:hAnsi="宋体" w:cs="宋体"/>
          <w:sz w:val="24"/>
          <w:szCs w:val="24"/>
        </w:rPr>
        <w:fldChar w:fldCharType="separate"/>
      </w:r>
      <w:r>
        <w:rPr>
          <w:rFonts w:ascii="宋体" w:hAnsi="宋体" w:cs="宋体"/>
          <w:sz w:val="24"/>
          <w:szCs w:val="24"/>
        </w:rPr>
        <w:t>16</w:t>
      </w:r>
      <w:r>
        <w:rPr>
          <w:rFonts w:ascii="宋体" w:hAnsi="宋体" w:cs="宋体"/>
          <w:sz w:val="24"/>
          <w:szCs w:val="24"/>
        </w:rPr>
        <w:fldChar w:fldCharType="end"/>
      </w:r>
      <w:r>
        <w:rPr>
          <w:rFonts w:ascii="宋体" w:hAnsi="宋体" w:cs="宋体"/>
          <w:sz w:val="24"/>
          <w:szCs w:val="24"/>
        </w:rPr>
        <w:fldChar w:fldCharType="end"/>
      </w:r>
    </w:p>
    <w:p w14:paraId="0CC284A3">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"_Toc19940" </w:instrText>
      </w:r>
      <w:r>
        <w:fldChar w:fldCharType="separate"/>
      </w:r>
      <w:r>
        <w:rPr>
          <w:rFonts w:hint="eastAsia" w:ascii="宋体" w:hAnsi="宋体" w:cs="宋体"/>
          <w:sz w:val="24"/>
          <w:szCs w:val="24"/>
        </w:rPr>
        <w:t>（二）过程</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_Toc19940 </w:instrText>
      </w:r>
      <w:r>
        <w:rPr>
          <w:rFonts w:ascii="宋体" w:hAnsi="宋体" w:cs="宋体"/>
          <w:sz w:val="24"/>
          <w:szCs w:val="24"/>
        </w:rPr>
        <w:fldChar w:fldCharType="separate"/>
      </w:r>
      <w:r>
        <w:rPr>
          <w:rFonts w:ascii="宋体" w:hAnsi="宋体" w:cs="宋体"/>
          <w:sz w:val="24"/>
          <w:szCs w:val="24"/>
        </w:rPr>
        <w:t>20</w:t>
      </w:r>
      <w:r>
        <w:rPr>
          <w:rFonts w:ascii="宋体" w:hAnsi="宋体" w:cs="宋体"/>
          <w:sz w:val="24"/>
          <w:szCs w:val="24"/>
        </w:rPr>
        <w:fldChar w:fldCharType="end"/>
      </w:r>
      <w:r>
        <w:rPr>
          <w:rFonts w:ascii="宋体" w:hAnsi="宋体" w:cs="宋体"/>
          <w:sz w:val="24"/>
          <w:szCs w:val="24"/>
        </w:rPr>
        <w:fldChar w:fldCharType="end"/>
      </w:r>
    </w:p>
    <w:p w14:paraId="5CDE2A96">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"_Toc12330" </w:instrText>
      </w:r>
      <w:r>
        <w:fldChar w:fldCharType="separate"/>
      </w:r>
      <w:r>
        <w:rPr>
          <w:rFonts w:hint="eastAsia" w:ascii="宋体" w:hAnsi="宋体" w:cs="宋体"/>
          <w:sz w:val="24"/>
          <w:szCs w:val="24"/>
        </w:rPr>
        <w:t>（三）产出</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_Toc12330 </w:instrText>
      </w:r>
      <w:r>
        <w:rPr>
          <w:rFonts w:ascii="宋体" w:hAnsi="宋体" w:cs="宋体"/>
          <w:sz w:val="24"/>
          <w:szCs w:val="24"/>
        </w:rPr>
        <w:fldChar w:fldCharType="separate"/>
      </w:r>
      <w:r>
        <w:rPr>
          <w:rFonts w:ascii="宋体" w:hAnsi="宋体" w:cs="宋体"/>
          <w:sz w:val="24"/>
          <w:szCs w:val="24"/>
        </w:rPr>
        <w:t>25</w:t>
      </w:r>
      <w:r>
        <w:rPr>
          <w:rFonts w:ascii="宋体" w:hAnsi="宋体" w:cs="宋体"/>
          <w:sz w:val="24"/>
          <w:szCs w:val="24"/>
        </w:rPr>
        <w:fldChar w:fldCharType="end"/>
      </w:r>
      <w:r>
        <w:rPr>
          <w:rFonts w:ascii="宋体" w:hAnsi="宋体" w:cs="宋体"/>
          <w:sz w:val="24"/>
          <w:szCs w:val="24"/>
        </w:rPr>
        <w:fldChar w:fldCharType="end"/>
      </w:r>
    </w:p>
    <w:p w14:paraId="3FDCC749">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"_Toc28363" </w:instrText>
      </w:r>
      <w:r>
        <w:fldChar w:fldCharType="separate"/>
      </w:r>
      <w:r>
        <w:rPr>
          <w:rFonts w:hint="eastAsia" w:ascii="宋体" w:hAnsi="宋体" w:cs="宋体"/>
          <w:sz w:val="24"/>
          <w:szCs w:val="24"/>
        </w:rPr>
        <w:t>（四）效果</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_Toc28363 </w:instrText>
      </w:r>
      <w:r>
        <w:rPr>
          <w:rFonts w:ascii="宋体" w:hAnsi="宋体" w:cs="宋体"/>
          <w:sz w:val="24"/>
          <w:szCs w:val="24"/>
        </w:rPr>
        <w:fldChar w:fldCharType="separate"/>
      </w:r>
      <w:r>
        <w:rPr>
          <w:rFonts w:ascii="宋体" w:hAnsi="宋体" w:cs="宋体"/>
          <w:sz w:val="24"/>
          <w:szCs w:val="24"/>
        </w:rPr>
        <w:t>26</w:t>
      </w:r>
      <w:r>
        <w:rPr>
          <w:rFonts w:ascii="宋体" w:hAnsi="宋体" w:cs="宋体"/>
          <w:sz w:val="24"/>
          <w:szCs w:val="24"/>
        </w:rPr>
        <w:fldChar w:fldCharType="end"/>
      </w:r>
      <w:r>
        <w:rPr>
          <w:rFonts w:ascii="宋体" w:hAnsi="宋体" w:cs="宋体"/>
          <w:sz w:val="24"/>
          <w:szCs w:val="24"/>
        </w:rPr>
        <w:fldChar w:fldCharType="end"/>
      </w:r>
    </w:p>
    <w:p w14:paraId="65B9ABD3">
      <w:pPr>
        <w:pStyle w:val="18"/>
        <w:tabs>
          <w:tab w:val="right" w:leader="dot" w:pos="8312"/>
        </w:tabs>
        <w:spacing w:line="312" w:lineRule="auto"/>
        <w:ind w:left="0" w:leftChars="0"/>
        <w:rPr>
          <w:rFonts w:ascii="宋体" w:cs="Tahoma"/>
          <w:sz w:val="24"/>
          <w:szCs w:val="24"/>
        </w:rPr>
      </w:pPr>
      <w:r>
        <w:fldChar w:fldCharType="begin"/>
      </w:r>
      <w:r>
        <w:instrText xml:space="preserve"> HYPERLINK \l "_Toc13757" </w:instrText>
      </w:r>
      <w:r>
        <w:fldChar w:fldCharType="separate"/>
      </w:r>
      <w:r>
        <w:rPr>
          <w:rFonts w:hint="eastAsia" w:ascii="宋体" w:hAnsi="宋体" w:cs="宋体"/>
          <w:b/>
          <w:bCs/>
          <w:sz w:val="24"/>
          <w:szCs w:val="24"/>
        </w:rPr>
        <w:t>五、绩效评价发现的问题</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_Toc13757 </w:instrText>
      </w:r>
      <w:r>
        <w:rPr>
          <w:rFonts w:ascii="宋体" w:hAnsi="宋体" w:cs="宋体"/>
          <w:b/>
          <w:bCs/>
          <w:sz w:val="24"/>
          <w:szCs w:val="24"/>
        </w:rPr>
        <w:fldChar w:fldCharType="separate"/>
      </w:r>
      <w:r>
        <w:rPr>
          <w:rFonts w:ascii="宋体" w:hAnsi="宋体" w:cs="宋体"/>
          <w:b/>
          <w:bCs/>
          <w:sz w:val="24"/>
          <w:szCs w:val="24"/>
        </w:rPr>
        <w:t>28</w:t>
      </w:r>
      <w:r>
        <w:rPr>
          <w:rFonts w:ascii="宋体" w:hAnsi="宋体" w:cs="宋体"/>
          <w:b/>
          <w:bCs/>
          <w:sz w:val="24"/>
          <w:szCs w:val="24"/>
        </w:rPr>
        <w:fldChar w:fldCharType="end"/>
      </w:r>
      <w:r>
        <w:rPr>
          <w:rFonts w:ascii="宋体" w:hAnsi="宋体" w:cs="宋体"/>
          <w:b/>
          <w:bCs/>
          <w:sz w:val="24"/>
          <w:szCs w:val="24"/>
        </w:rPr>
        <w:fldChar w:fldCharType="end"/>
      </w:r>
    </w:p>
    <w:p w14:paraId="599986FB">
      <w:pPr>
        <w:pStyle w:val="18"/>
        <w:tabs>
          <w:tab w:val="right" w:leader="dot" w:pos="8312"/>
        </w:tabs>
        <w:spacing w:line="312" w:lineRule="auto"/>
        <w:ind w:left="0" w:leftChars="0"/>
        <w:rPr>
          <w:rFonts w:cs="Tahoma"/>
          <w:b/>
          <w:bCs/>
        </w:rPr>
      </w:pPr>
      <w:r>
        <w:fldChar w:fldCharType="begin"/>
      </w:r>
      <w:r>
        <w:instrText xml:space="preserve"> HYPERLINK \l "_Toc20723" </w:instrText>
      </w:r>
      <w:r>
        <w:fldChar w:fldCharType="separate"/>
      </w:r>
      <w:r>
        <w:rPr>
          <w:rFonts w:hint="eastAsia" w:ascii="宋体" w:hAnsi="宋体" w:cs="宋体"/>
          <w:b/>
          <w:bCs/>
          <w:sz w:val="24"/>
          <w:szCs w:val="24"/>
        </w:rPr>
        <w:t>六、绩效评价意见及建议</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_Toc20723 </w:instrText>
      </w:r>
      <w:r>
        <w:rPr>
          <w:rFonts w:ascii="宋体" w:hAnsi="宋体" w:cs="宋体"/>
          <w:b/>
          <w:bCs/>
          <w:sz w:val="24"/>
          <w:szCs w:val="24"/>
        </w:rPr>
        <w:fldChar w:fldCharType="separate"/>
      </w:r>
      <w:r>
        <w:rPr>
          <w:rFonts w:ascii="宋体" w:hAnsi="宋体" w:cs="宋体"/>
          <w:b/>
          <w:bCs/>
          <w:sz w:val="24"/>
          <w:szCs w:val="24"/>
        </w:rPr>
        <w:t>28</w:t>
      </w:r>
      <w:r>
        <w:rPr>
          <w:rFonts w:ascii="宋体" w:hAnsi="宋体" w:cs="宋体"/>
          <w:b/>
          <w:bCs/>
          <w:sz w:val="24"/>
          <w:szCs w:val="24"/>
        </w:rPr>
        <w:fldChar w:fldCharType="end"/>
      </w:r>
      <w:r>
        <w:rPr>
          <w:rFonts w:ascii="宋体" w:hAnsi="宋体" w:cs="宋体"/>
          <w:b/>
          <w:bCs/>
          <w:sz w:val="24"/>
          <w:szCs w:val="24"/>
        </w:rPr>
        <w:fldChar w:fldCharType="end"/>
      </w:r>
    </w:p>
    <w:p w14:paraId="137DDA8E">
      <w:pPr>
        <w:spacing w:line="312" w:lineRule="auto"/>
        <w:ind w:firstLine="480" w:firstLineChars="200"/>
        <w:jc w:val="both"/>
        <w:sectPr>
          <w:footerReference r:id="rId4" w:type="default"/>
          <w:pgSz w:w="11906" w:h="16838"/>
          <w:pgMar w:top="1440" w:right="1797" w:bottom="1191" w:left="1797" w:header="709" w:footer="709" w:gutter="0"/>
          <w:pgNumType w:start="1"/>
          <w:cols w:space="708" w:num="1"/>
          <w:docGrid w:linePitch="360" w:charSpace="0"/>
        </w:sectPr>
      </w:pPr>
      <w:r>
        <w:rPr>
          <w:rFonts w:ascii="宋体" w:hAnsi="宋体" w:cs="宋体"/>
          <w:sz w:val="24"/>
          <w:szCs w:val="24"/>
        </w:rPr>
        <w:fldChar w:fldCharType="end"/>
      </w:r>
    </w:p>
    <w:p w14:paraId="7788400B">
      <w:pPr>
        <w:pStyle w:val="3"/>
        <w:spacing w:line="540" w:lineRule="exact"/>
        <w:jc w:val="center"/>
        <w:rPr>
          <w:rFonts w:ascii="黑体" w:cs="Tahoma"/>
          <w:b w:val="0"/>
          <w:bCs w:val="0"/>
        </w:rPr>
      </w:pPr>
      <w:bookmarkStart w:id="0" w:name="_Toc25184"/>
      <w:r>
        <w:rPr>
          <w:rFonts w:hint="eastAsia" w:ascii="黑体" w:hAnsi="黑体" w:cs="黑体"/>
          <w:b w:val="0"/>
          <w:bCs w:val="0"/>
        </w:rPr>
        <w:t>第一部分</w:t>
      </w:r>
      <w:r>
        <w:rPr>
          <w:rFonts w:ascii="黑体" w:hAnsi="黑体" w:cs="黑体"/>
          <w:b w:val="0"/>
          <w:bCs w:val="0"/>
        </w:rPr>
        <w:t xml:space="preserve">   </w:t>
      </w:r>
      <w:r>
        <w:rPr>
          <w:rFonts w:hint="eastAsia" w:ascii="黑体" w:hAnsi="黑体" w:cs="黑体"/>
          <w:b w:val="0"/>
          <w:bCs w:val="0"/>
        </w:rPr>
        <w:t>摘</w:t>
      </w:r>
      <w:r>
        <w:rPr>
          <w:rFonts w:ascii="黑体" w:hAnsi="黑体" w:cs="黑体"/>
          <w:b w:val="0"/>
          <w:bCs w:val="0"/>
        </w:rPr>
        <w:t xml:space="preserve">  </w:t>
      </w:r>
      <w:r>
        <w:rPr>
          <w:rFonts w:hint="eastAsia" w:ascii="黑体" w:hAnsi="黑体" w:cs="黑体"/>
          <w:b w:val="0"/>
          <w:bCs w:val="0"/>
        </w:rPr>
        <w:t>要</w:t>
      </w:r>
      <w:bookmarkEnd w:id="0"/>
    </w:p>
    <w:p w14:paraId="024B47E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为深入贯彻落实中共中央国务院《关于全面实施预算绩效管理的意见》、中共河北省委河北省人民政府《关于全面实施预算绩效管理的实施意见》、河北省财政厅《全面实施预算绩效管理推进工作方案》的精神，进一步加强和规范预算绩效运行监控工作，确保绩效目标如期保质保量实现，提高预算执行效率和财政资金使用效益，我单位对</w:t>
      </w:r>
      <w:r>
        <w:rPr>
          <w:rFonts w:ascii="仿宋_GB2312" w:eastAsia="仿宋_GB2312" w:cs="仿宋_GB2312"/>
          <w:sz w:val="32"/>
          <w:szCs w:val="32"/>
        </w:rPr>
        <w:t>2021</w:t>
      </w:r>
      <w:r>
        <w:rPr>
          <w:rFonts w:hint="eastAsia" w:ascii="仿宋_GB2312" w:eastAsia="仿宋_GB2312" w:cs="仿宋_GB2312"/>
          <w:sz w:val="32"/>
          <w:szCs w:val="32"/>
        </w:rPr>
        <w:t>年部门整体支出情况开展了绩效自评价工作。</w:t>
      </w:r>
    </w:p>
    <w:p w14:paraId="1A4DA22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保定市徐水区总工会为正科级行政单位，经费保障形式部分为财政拨款，下设</w:t>
      </w:r>
      <w:r>
        <w:rPr>
          <w:rFonts w:ascii="仿宋_GB2312" w:eastAsia="仿宋_GB2312" w:cs="仿宋_GB2312"/>
          <w:sz w:val="32"/>
          <w:szCs w:val="32"/>
        </w:rPr>
        <w:t>1</w:t>
      </w:r>
      <w:r>
        <w:rPr>
          <w:rFonts w:hint="eastAsia" w:ascii="仿宋_GB2312" w:eastAsia="仿宋_GB2312" w:cs="仿宋_GB2312"/>
          <w:sz w:val="32"/>
          <w:szCs w:val="32"/>
        </w:rPr>
        <w:t>个综合股室，主要职责进一步突出和履行维护职工合法权益；指导各级工会组织开展以职工代表大会为基本制度的民主选举、民主决策、民主管理和民主监督等工作。负责全区工会工作。</w:t>
      </w:r>
    </w:p>
    <w:p w14:paraId="78F114C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绩效评价是制定科学合理的评价方法、评价标准和指标体系，对财政资金的使用及产生的效益进行客观、公正的评价。通过部门整体支出绩效评价工作了解部门绩效目标和指标的设置及完成情况；部门整体资金预算情况、实际收支及结转结余情况；部门履职对社会发展所带来的直接或间接影响及服务对象对部门履职效果的满意程度，促使相关部门根据绩效评价过程中发现的问题，及时整改并总结经验，提高部门管理水平，牢固树立预算绩效理念，强化部门支出责任，提高预算执行效率和财政资金使用效益。</w:t>
      </w:r>
    </w:p>
    <w:p w14:paraId="48F5A4D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评价工作经过了前期准备、绩效评价实施方案和指标体系制定、组织实施、绩效评价报告撰写四个阶段。</w:t>
      </w:r>
    </w:p>
    <w:p w14:paraId="035871A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按照中共河北省委河北省人民政府《关于全面实施预算绩效管理的实施意见》的相关规定，以河北省财政厅《全面实施预算绩效管理推进工作方案》、《保定市徐水区部门预算绩效运行监控工作规程》中的相关工作要求作为评价标准，采取定量和定性评价相结合的方法，对资料进行审核、分析，实事求是、客观公正地完成了保定市徐水区总工会</w:t>
      </w:r>
      <w:r>
        <w:rPr>
          <w:rFonts w:ascii="仿宋_GB2312" w:eastAsia="仿宋_GB2312" w:cs="仿宋_GB2312"/>
          <w:sz w:val="32"/>
          <w:szCs w:val="32"/>
        </w:rPr>
        <w:t>2021</w:t>
      </w:r>
      <w:r>
        <w:rPr>
          <w:rFonts w:hint="eastAsia" w:ascii="仿宋_GB2312" w:eastAsia="仿宋_GB2312" w:cs="仿宋_GB2312"/>
          <w:sz w:val="32"/>
          <w:szCs w:val="32"/>
        </w:rPr>
        <w:t>年部门整体支出绩效评价工作。</w:t>
      </w:r>
    </w:p>
    <w:p w14:paraId="599129A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区总工会单位</w:t>
      </w:r>
      <w:r>
        <w:rPr>
          <w:rFonts w:ascii="仿宋_GB2312" w:eastAsia="仿宋_GB2312" w:cs="仿宋_GB2312"/>
          <w:sz w:val="32"/>
          <w:szCs w:val="32"/>
        </w:rPr>
        <w:t>2021</w:t>
      </w:r>
      <w:r>
        <w:rPr>
          <w:rFonts w:hint="eastAsia" w:ascii="仿宋_GB2312" w:eastAsia="仿宋_GB2312" w:cs="仿宋_GB2312"/>
          <w:sz w:val="32"/>
          <w:szCs w:val="32"/>
        </w:rPr>
        <w:t>年部门整体支出绩效评价指标体系共设置</w:t>
      </w:r>
      <w:r>
        <w:rPr>
          <w:rFonts w:ascii="仿宋_GB2312" w:eastAsia="仿宋_GB2312" w:cs="仿宋_GB2312"/>
          <w:sz w:val="32"/>
          <w:szCs w:val="32"/>
        </w:rPr>
        <w:t>4</w:t>
      </w:r>
      <w:r>
        <w:rPr>
          <w:rFonts w:hint="eastAsia" w:ascii="仿宋_GB2312" w:eastAsia="仿宋_GB2312" w:cs="仿宋_GB2312"/>
          <w:sz w:val="32"/>
          <w:szCs w:val="32"/>
        </w:rPr>
        <w:t>个一级指标、</w:t>
      </w:r>
      <w:r>
        <w:rPr>
          <w:rFonts w:ascii="仿宋_GB2312" w:eastAsia="仿宋_GB2312" w:cs="仿宋_GB2312"/>
          <w:sz w:val="32"/>
          <w:szCs w:val="32"/>
        </w:rPr>
        <w:t>7</w:t>
      </w:r>
      <w:r>
        <w:rPr>
          <w:rFonts w:hint="eastAsia" w:ascii="仿宋_GB2312" w:eastAsia="仿宋_GB2312" w:cs="仿宋_GB2312"/>
          <w:sz w:val="32"/>
          <w:szCs w:val="32"/>
        </w:rPr>
        <w:t>个二级指标、</w:t>
      </w:r>
      <w:r>
        <w:rPr>
          <w:rFonts w:ascii="仿宋_GB2312" w:eastAsia="仿宋_GB2312" w:cs="仿宋_GB2312"/>
          <w:sz w:val="32"/>
          <w:szCs w:val="32"/>
        </w:rPr>
        <w:t>27</w:t>
      </w:r>
      <w:r>
        <w:rPr>
          <w:rFonts w:hint="eastAsia" w:ascii="仿宋_GB2312" w:eastAsia="仿宋_GB2312" w:cs="仿宋_GB2312"/>
          <w:sz w:val="32"/>
          <w:szCs w:val="32"/>
        </w:rPr>
        <w:t>个三级指标，从投入、过程、产出、效果四个方面对区总工会单位部门整体支出情况评分定级。指标体系设定满分为</w:t>
      </w:r>
      <w:r>
        <w:rPr>
          <w:rFonts w:ascii="仿宋_GB2312" w:eastAsia="仿宋_GB2312" w:cs="仿宋_GB2312"/>
          <w:sz w:val="32"/>
          <w:szCs w:val="32"/>
        </w:rPr>
        <w:t>100</w:t>
      </w:r>
      <w:r>
        <w:rPr>
          <w:rFonts w:hint="eastAsia" w:ascii="仿宋_GB2312" w:eastAsia="仿宋_GB2312" w:cs="仿宋_GB2312"/>
          <w:sz w:val="32"/>
          <w:szCs w:val="32"/>
        </w:rPr>
        <w:t>分，绩效评价分值≥</w:t>
      </w:r>
      <w:r>
        <w:rPr>
          <w:rFonts w:ascii="仿宋_GB2312" w:eastAsia="仿宋_GB2312" w:cs="仿宋_GB2312"/>
          <w:sz w:val="32"/>
          <w:szCs w:val="32"/>
        </w:rPr>
        <w:t>90</w:t>
      </w:r>
      <w:r>
        <w:rPr>
          <w:rFonts w:hint="eastAsia" w:ascii="仿宋_GB2312" w:eastAsia="仿宋_GB2312" w:cs="仿宋_GB2312"/>
          <w:sz w:val="32"/>
          <w:szCs w:val="32"/>
        </w:rPr>
        <w:t>为“优”；</w:t>
      </w:r>
      <w:r>
        <w:rPr>
          <w:rFonts w:ascii="仿宋_GB2312" w:eastAsia="仿宋_GB2312" w:cs="仿宋_GB2312"/>
          <w:sz w:val="32"/>
          <w:szCs w:val="32"/>
        </w:rPr>
        <w:t>80</w:t>
      </w:r>
      <w:r>
        <w:rPr>
          <w:rFonts w:hint="eastAsia" w:ascii="仿宋_GB2312" w:eastAsia="仿宋_GB2312" w:cs="仿宋_GB2312"/>
          <w:sz w:val="32"/>
          <w:szCs w:val="32"/>
        </w:rPr>
        <w:t>≤分值＜</w:t>
      </w:r>
      <w:r>
        <w:rPr>
          <w:rFonts w:ascii="仿宋_GB2312" w:eastAsia="仿宋_GB2312" w:cs="仿宋_GB2312"/>
          <w:sz w:val="32"/>
          <w:szCs w:val="32"/>
        </w:rPr>
        <w:t>90</w:t>
      </w:r>
      <w:r>
        <w:rPr>
          <w:rFonts w:hint="eastAsia" w:ascii="仿宋_GB2312" w:eastAsia="仿宋_GB2312" w:cs="仿宋_GB2312"/>
          <w:sz w:val="32"/>
          <w:szCs w:val="32"/>
        </w:rPr>
        <w:t>为“良”；</w:t>
      </w:r>
      <w:r>
        <w:rPr>
          <w:rFonts w:ascii="仿宋_GB2312" w:eastAsia="仿宋_GB2312" w:cs="仿宋_GB2312"/>
          <w:sz w:val="32"/>
          <w:szCs w:val="32"/>
        </w:rPr>
        <w:t>60</w:t>
      </w:r>
      <w:r>
        <w:rPr>
          <w:rFonts w:hint="eastAsia" w:ascii="仿宋_GB2312" w:eastAsia="仿宋_GB2312" w:cs="仿宋_GB2312"/>
          <w:sz w:val="32"/>
          <w:szCs w:val="32"/>
        </w:rPr>
        <w:t>≤分值＜</w:t>
      </w:r>
      <w:r>
        <w:rPr>
          <w:rFonts w:ascii="仿宋_GB2312" w:eastAsia="仿宋_GB2312" w:cs="仿宋_GB2312"/>
          <w:sz w:val="32"/>
          <w:szCs w:val="32"/>
        </w:rPr>
        <w:t>80</w:t>
      </w:r>
      <w:r>
        <w:rPr>
          <w:rFonts w:hint="eastAsia" w:ascii="仿宋_GB2312" w:eastAsia="仿宋_GB2312" w:cs="仿宋_GB2312"/>
          <w:sz w:val="32"/>
          <w:szCs w:val="32"/>
        </w:rPr>
        <w:t>为“合格”；</w:t>
      </w:r>
      <w:r>
        <w:rPr>
          <w:rFonts w:ascii="仿宋_GB2312" w:eastAsia="仿宋_GB2312" w:cs="仿宋_GB2312"/>
          <w:sz w:val="32"/>
          <w:szCs w:val="32"/>
        </w:rPr>
        <w:t>60</w:t>
      </w:r>
      <w:r>
        <w:rPr>
          <w:rFonts w:hint="eastAsia" w:ascii="仿宋_GB2312" w:eastAsia="仿宋_GB2312" w:cs="仿宋_GB2312"/>
          <w:sz w:val="32"/>
          <w:szCs w:val="32"/>
        </w:rPr>
        <w:t>分以下为“差”。</w:t>
      </w:r>
    </w:p>
    <w:p w14:paraId="6190A1E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区总工会单位</w:t>
      </w:r>
      <w:r>
        <w:rPr>
          <w:rFonts w:ascii="仿宋_GB2312" w:eastAsia="仿宋_GB2312" w:cs="仿宋_GB2312"/>
          <w:sz w:val="32"/>
          <w:szCs w:val="32"/>
        </w:rPr>
        <w:t>2021</w:t>
      </w:r>
      <w:r>
        <w:rPr>
          <w:rFonts w:hint="eastAsia" w:ascii="仿宋_GB2312" w:eastAsia="仿宋_GB2312" w:cs="仿宋_GB2312"/>
          <w:sz w:val="32"/>
          <w:szCs w:val="32"/>
        </w:rPr>
        <w:t>年部门整体支出综合评价得分为</w:t>
      </w:r>
      <w:r>
        <w:rPr>
          <w:rFonts w:hint="eastAsia" w:ascii="仿宋_GB2312" w:eastAsia="仿宋_GB2312" w:cs="仿宋_GB2312"/>
          <w:sz w:val="32"/>
          <w:szCs w:val="32"/>
          <w:lang w:val="en-US" w:eastAsia="zh-CN"/>
        </w:rPr>
        <w:t>96</w:t>
      </w:r>
      <w:r>
        <w:rPr>
          <w:rFonts w:hint="eastAsia" w:ascii="仿宋_GB2312" w:eastAsia="仿宋_GB2312" w:cs="仿宋_GB2312"/>
          <w:sz w:val="32"/>
          <w:szCs w:val="32"/>
        </w:rPr>
        <w:t>分，评价等级为“优”。</w:t>
      </w:r>
    </w:p>
    <w:p w14:paraId="6F943E8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经评价，区总工会</w:t>
      </w:r>
      <w:r>
        <w:rPr>
          <w:rFonts w:ascii="仿宋_GB2312" w:eastAsia="仿宋_GB2312" w:cs="仿宋_GB2312"/>
          <w:sz w:val="32"/>
          <w:szCs w:val="32"/>
        </w:rPr>
        <w:t>2021</w:t>
      </w:r>
      <w:r>
        <w:rPr>
          <w:rFonts w:hint="eastAsia" w:ascii="仿宋_GB2312" w:eastAsia="仿宋_GB2312" w:cs="仿宋_GB2312"/>
          <w:sz w:val="32"/>
          <w:szCs w:val="32"/>
        </w:rPr>
        <w:t>年部门预算编制完整性、项目预算细化率、在职人员控制率、收入完成率、财政拨款支出完成率、资金使用合规性、决算真实性、管理制度健全性、预决算信息公开、资产管理规范性、绩效自评覆盖率、绩效评价优等率、结转结余率、部门整体效益等指标完成情况较好。</w:t>
      </w:r>
    </w:p>
    <w:p w14:paraId="603D337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通过本次绩效评价工作，发现我单位在以下几个方面存在一些不足之处，具体如下：</w:t>
      </w:r>
    </w:p>
    <w:p w14:paraId="3BA1299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绩效指标方面</w:t>
      </w:r>
      <w:r>
        <w:rPr>
          <w:rFonts w:ascii="仿宋_GB2312" w:eastAsia="仿宋_GB2312" w:cs="仿宋_GB2312"/>
          <w:sz w:val="32"/>
          <w:szCs w:val="32"/>
        </w:rPr>
        <w:t>:</w:t>
      </w:r>
      <w:r>
        <w:rPr>
          <w:rFonts w:hint="eastAsia" w:ascii="仿宋_GB2312" w:eastAsia="仿宋_GB2312" w:cs="仿宋_GB2312"/>
          <w:sz w:val="32"/>
          <w:szCs w:val="32"/>
        </w:rPr>
        <w:t>绩效指标有待细化，时效性有待提高。</w:t>
      </w:r>
    </w:p>
    <w:p w14:paraId="3CE37D87">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预算决算比较：预算决算比较决算小于预算，有待提高执行预算率。</w:t>
      </w:r>
    </w:p>
    <w:p w14:paraId="5990FB2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项目资金使用率：劳模体检率</w:t>
      </w:r>
      <w:r>
        <w:rPr>
          <w:rFonts w:ascii="仿宋_GB2312" w:eastAsia="仿宋_GB2312" w:cs="仿宋_GB2312"/>
          <w:sz w:val="32"/>
          <w:szCs w:val="32"/>
        </w:rPr>
        <w:t>100%</w:t>
      </w:r>
      <w:r>
        <w:rPr>
          <w:rFonts w:hint="eastAsia" w:ascii="仿宋_GB2312" w:eastAsia="仿宋_GB2312" w:cs="仿宋_GB2312"/>
          <w:sz w:val="32"/>
          <w:szCs w:val="32"/>
        </w:rPr>
        <w:t>，由于困难职工脱贫，导致帮扶资金执行没到位，有待提高使用率。</w:t>
      </w:r>
    </w:p>
    <w:p w14:paraId="5D43755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部分基础数据信息方面</w:t>
      </w:r>
    </w:p>
    <w:p w14:paraId="4419E44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针对此次绩效评价过程中发现的问题，我们建议：</w:t>
      </w:r>
    </w:p>
    <w:p w14:paraId="13B328C1">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增强绩效指标设置的明确性</w:t>
      </w:r>
    </w:p>
    <w:p w14:paraId="1013EAE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工作活动、预算项目绩效指标应当清晰、可评价、可衡量。建议在设置职责活动绩效指标时，将绩效目标细化分解为具体的工作任务数，从而使绩效目标可量化，便于对目标实现情况进行考核。</w:t>
      </w:r>
    </w:p>
    <w:p w14:paraId="1D047F2C">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提高预算编制质量</w:t>
      </w:r>
    </w:p>
    <w:p w14:paraId="7CAE07D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部门预算编制工作要全面反映和体现部门职责，根据具体情况及时调整预算的编制，缩小预算与决算差额，减少中期预算追加，提高预算编制质量，发挥预算约束作用。</w:t>
      </w:r>
    </w:p>
    <w:p w14:paraId="762ED524">
      <w:pPr>
        <w:spacing w:after="0" w:line="360" w:lineRule="auto"/>
        <w:ind w:firstLine="640" w:firstLineChars="200"/>
        <w:jc w:val="both"/>
        <w:textAlignment w:val="baseline"/>
        <w:rPr>
          <w:rFonts w:ascii="仿宋_GB2312" w:eastAsia="仿宋_GB2312"/>
          <w:sz w:val="32"/>
          <w:szCs w:val="32"/>
        </w:rPr>
      </w:pPr>
      <w:bookmarkStart w:id="1" w:name="_Toc4346"/>
      <w:r>
        <w:rPr>
          <w:rFonts w:ascii="仿宋_GB2312" w:eastAsia="仿宋_GB2312" w:cs="仿宋_GB2312"/>
          <w:sz w:val="32"/>
          <w:szCs w:val="32"/>
        </w:rPr>
        <w:t>3.</w:t>
      </w:r>
      <w:r>
        <w:rPr>
          <w:rFonts w:hint="eastAsia" w:ascii="仿宋_GB2312" w:eastAsia="仿宋_GB2312" w:cs="仿宋_GB2312"/>
          <w:sz w:val="32"/>
          <w:szCs w:val="32"/>
        </w:rPr>
        <w:t>提高项目资金使用率</w:t>
      </w:r>
    </w:p>
    <w:p w14:paraId="2612AE7B">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建议区总工会对项目资金进行梳理，督促项目进度和资金拨付进度，应拨付的资金及时拨付，不具备条件的资金及时收回</w:t>
      </w:r>
    </w:p>
    <w:p w14:paraId="2F7B4478">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完善基础信息管理。</w:t>
      </w:r>
    </w:p>
    <w:p w14:paraId="72C28F4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建议严格按照档案管理的相关规定对基础数据信息档案资料及时归档保存，保证项目资料的完整性和可查阅性。</w:t>
      </w:r>
    </w:p>
    <w:p w14:paraId="54398FE4">
      <w:pPr>
        <w:pStyle w:val="3"/>
        <w:spacing w:line="540" w:lineRule="exact"/>
        <w:jc w:val="center"/>
        <w:rPr>
          <w:rFonts w:ascii="黑体" w:cs="Tahoma"/>
          <w:b w:val="0"/>
          <w:bCs w:val="0"/>
        </w:rPr>
      </w:pPr>
      <w:r>
        <w:rPr>
          <w:rFonts w:hint="eastAsia" w:ascii="黑体" w:hAnsi="黑体" w:cs="黑体"/>
          <w:b w:val="0"/>
          <w:bCs w:val="0"/>
        </w:rPr>
        <w:t>第二部分</w:t>
      </w:r>
      <w:r>
        <w:rPr>
          <w:rFonts w:ascii="黑体" w:hAnsi="黑体" w:cs="黑体"/>
          <w:b w:val="0"/>
          <w:bCs w:val="0"/>
        </w:rPr>
        <w:t xml:space="preserve">   </w:t>
      </w:r>
      <w:r>
        <w:rPr>
          <w:rFonts w:hint="eastAsia" w:ascii="黑体" w:hAnsi="黑体" w:cs="黑体"/>
          <w:b w:val="0"/>
          <w:bCs w:val="0"/>
        </w:rPr>
        <w:t>绩效评价报告</w:t>
      </w:r>
      <w:bookmarkEnd w:id="1"/>
    </w:p>
    <w:p w14:paraId="67C18870">
      <w:pPr>
        <w:pStyle w:val="3"/>
        <w:spacing w:before="0" w:after="0" w:line="360" w:lineRule="auto"/>
        <w:ind w:firstLine="602" w:firstLineChars="200"/>
        <w:rPr>
          <w:rFonts w:ascii="黑体" w:cs="Tahoma"/>
          <w:sz w:val="30"/>
          <w:szCs w:val="30"/>
        </w:rPr>
      </w:pPr>
      <w:bookmarkStart w:id="2" w:name="_Toc427"/>
      <w:bookmarkStart w:id="3" w:name="_Toc492652763"/>
      <w:r>
        <w:rPr>
          <w:rFonts w:hint="eastAsia" w:ascii="黑体" w:hAnsi="黑体" w:cs="黑体"/>
          <w:sz w:val="30"/>
          <w:szCs w:val="30"/>
        </w:rPr>
        <w:t>一、保定市徐水区总工会单位基本情况</w:t>
      </w:r>
      <w:bookmarkEnd w:id="2"/>
      <w:bookmarkEnd w:id="3"/>
      <w:bookmarkStart w:id="4" w:name="_Toc492652764"/>
    </w:p>
    <w:p w14:paraId="6A4C0014">
      <w:pPr>
        <w:pStyle w:val="4"/>
        <w:spacing w:before="0" w:after="0"/>
        <w:ind w:firstLine="643" w:firstLineChars="200"/>
        <w:jc w:val="both"/>
        <w:rPr>
          <w:rFonts w:ascii="仿宋_GB2312" w:hAnsi="Tahoma" w:cs="Tahoma"/>
          <w:sz w:val="32"/>
          <w:szCs w:val="32"/>
        </w:rPr>
      </w:pPr>
      <w:bookmarkStart w:id="5" w:name="_Toc11473"/>
      <w:r>
        <w:rPr>
          <w:rFonts w:hint="eastAsia" w:ascii="仿宋_GB2312" w:hAnsi="Tahoma" w:cs="仿宋_GB2312"/>
          <w:sz w:val="32"/>
          <w:szCs w:val="32"/>
        </w:rPr>
        <w:t>（一）部门职责和工作活动</w:t>
      </w:r>
      <w:bookmarkEnd w:id="4"/>
      <w:bookmarkEnd w:id="5"/>
    </w:p>
    <w:p w14:paraId="635FA835">
      <w:pPr>
        <w:spacing w:after="0" w:line="360" w:lineRule="auto"/>
        <w:ind w:firstLine="480" w:firstLineChars="200"/>
        <w:jc w:val="both"/>
        <w:textAlignment w:val="baseline"/>
        <w:rPr>
          <w:rFonts w:ascii="仿宋_GB2312" w:eastAsia="仿宋_GB2312"/>
          <w:sz w:val="32"/>
          <w:szCs w:val="32"/>
        </w:rPr>
      </w:pPr>
      <w:r>
        <w:rPr>
          <w:rFonts w:ascii="宋体" w:hAnsi="宋体" w:cs="宋体"/>
          <w:sz w:val="24"/>
          <w:szCs w:val="24"/>
          <w:shd w:val="clear" w:color="auto" w:fill="FFFFFF"/>
        </w:rPr>
        <w:t>1</w:t>
      </w:r>
      <w:r>
        <w:rPr>
          <w:rFonts w:ascii="仿宋_GB2312" w:eastAsia="仿宋_GB2312" w:cs="仿宋_GB2312"/>
          <w:sz w:val="32"/>
          <w:szCs w:val="32"/>
        </w:rPr>
        <w:t>.</w:t>
      </w:r>
      <w:r>
        <w:rPr>
          <w:rFonts w:hint="eastAsia" w:ascii="仿宋_GB2312" w:eastAsia="仿宋_GB2312" w:cs="仿宋_GB2312"/>
          <w:sz w:val="32"/>
          <w:szCs w:val="32"/>
        </w:rPr>
        <w:t>坚持党的领导，坚持党的基本理论、基本路线、基本纲领，坚持党的工运方针，坚定不移走中国特色社会主义工会发展道路，始终保持正确的政治方向，着力增强工会组织和工会工作的政治性、先进性、群众性，引导全区广大职工和工会干部增强“四个意识”</w:t>
      </w:r>
      <w:r>
        <w:rPr>
          <w:rFonts w:hint="eastAsia" w:ascii="仿宋_GB2312" w:eastAsia="仿宋_GB2312" w:cs="仿宋_GB2312"/>
          <w:sz w:val="32"/>
          <w:szCs w:val="32"/>
          <w:lang w:eastAsia="zh-CN"/>
        </w:rPr>
        <w:t>、</w:t>
      </w:r>
      <w:r>
        <w:rPr>
          <w:rFonts w:hint="eastAsia" w:ascii="仿宋_GB2312" w:eastAsia="仿宋_GB2312" w:cs="仿宋_GB2312"/>
          <w:sz w:val="32"/>
          <w:szCs w:val="32"/>
        </w:rPr>
        <w:t>坚定“四个自信”</w:t>
      </w:r>
      <w:r>
        <w:rPr>
          <w:rFonts w:hint="eastAsia" w:ascii="仿宋_GB2312" w:eastAsia="仿宋_GB2312" w:cs="仿宋_GB2312"/>
          <w:sz w:val="32"/>
          <w:szCs w:val="32"/>
          <w:lang w:eastAsia="zh-CN"/>
        </w:rPr>
        <w:t>、</w:t>
      </w:r>
      <w:bookmarkStart w:id="77" w:name="_GoBack"/>
      <w:bookmarkEnd w:id="77"/>
      <w:r>
        <w:rPr>
          <w:rFonts w:hint="eastAsia" w:ascii="仿宋_GB2312" w:eastAsia="仿宋_GB2312" w:cs="仿宋_GB2312"/>
          <w:sz w:val="32"/>
          <w:szCs w:val="32"/>
        </w:rPr>
        <w:t>做到“两个维护”，坚定不移听党话、跟党走。</w:t>
      </w:r>
    </w:p>
    <w:p w14:paraId="3739723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依据《工会法》和《中国工会章程》，认真履行工会参与、维护、建设、教育的基本工作职能，贯彻执行全国、全省和全市工会代表大会及区总工会常委会确定的方针、任务和作出的决议。团结带领全区各级工会为全力推动京津保地区率先联动发展建功立业。</w:t>
      </w:r>
    </w:p>
    <w:p w14:paraId="7395D8F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服务全区工作大局，紧紧围绕区委、区政府中心工作，组织开展劳动和技能竞赛、技术创新活动，选树金牌工人、能工巧匠。开展劳动保护工作。做好市及市以上劳动模范和先进工作者的评选、表彰、培养、管理工作。加强网络宣传和引导，弘扬劳模精神、劳动精神、工匠精神和工人阶级伟大品格。实施职工现代职业素质提升工程，造就一支有理想守信念、懂技术会创新、敢担当讲奉献的产业工人队伍。</w:t>
      </w:r>
    </w:p>
    <w:p w14:paraId="6F3AA9B7">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依法推进全区机关和企事业单位普遍建立工会组织，指导全区基层工会加强规范化建设。切实为工会会员服务，开展对困难职工送温暖、技能培训、医疗救助、创业就业扶持等精准帮扶，加强对农民工的组织引导和维权服务。</w:t>
      </w:r>
    </w:p>
    <w:p w14:paraId="0093C00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依法推进企事业单位普遍建立以职工代表大会为基本形式的民主管理制度，推动建立平等协商和集体合同制度，依法参加企业职工伤亡事故调查，及时了解掌握并向区委、区政府反映职工思想动态、愿望和诉求，参与涉及职工利益有关法律法规的制定、监督和执行，维护职工的经济利益、民主权利和生命健康权益，开展防范抵御等有关工作。</w:t>
      </w:r>
    </w:p>
    <w:p w14:paraId="0C2BEA15">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6.</w:t>
      </w:r>
      <w:r>
        <w:rPr>
          <w:rFonts w:hint="eastAsia" w:ascii="仿宋_GB2312" w:eastAsia="仿宋_GB2312" w:cs="仿宋_GB2312"/>
          <w:sz w:val="32"/>
          <w:szCs w:val="32"/>
        </w:rPr>
        <w:t>研究制定全区工会的组织领导体制，协助区党委管理基层工会领导干部，协助区有关局（办、企业）党委（党组）管理产业工会和直属基层工会的领导干部。研究制定全区工会干部管理制度和培训规划，负责区总机关和直属单位领导班子和干部队伍建设，组织全区工会干部教育培训工作。</w:t>
      </w:r>
    </w:p>
    <w:p w14:paraId="4BC6CE01">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7.</w:t>
      </w:r>
      <w:r>
        <w:rPr>
          <w:rFonts w:hint="eastAsia" w:ascii="仿宋_GB2312" w:eastAsia="仿宋_GB2312" w:cs="仿宋_GB2312"/>
          <w:sz w:val="32"/>
          <w:szCs w:val="32"/>
        </w:rPr>
        <w:t>管理使用工会经费和工会资产，开展审查审计监督。广泛发展本区工会与各工会、产业工会的友好关系。</w:t>
      </w:r>
    </w:p>
    <w:p w14:paraId="3A37865A">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8.</w:t>
      </w:r>
      <w:r>
        <w:rPr>
          <w:rFonts w:hint="eastAsia" w:ascii="仿宋_GB2312" w:eastAsia="仿宋_GB2312" w:cs="仿宋_GB2312"/>
          <w:sz w:val="32"/>
          <w:szCs w:val="32"/>
        </w:rPr>
        <w:t>承担区委、区政府及省、市总工会交办的其他工作。</w:t>
      </w:r>
    </w:p>
    <w:p w14:paraId="6A4B2C9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职责活动负责指导全县基层工会的组织建设，指导基层工会组织开展社会主义劳动竞赛、合理化建设、技术比赛、技术创新等群众性经济技术活动等，共</w:t>
      </w:r>
      <w:r>
        <w:rPr>
          <w:rFonts w:ascii="仿宋_GB2312" w:eastAsia="仿宋_GB2312" w:cs="仿宋_GB2312"/>
          <w:sz w:val="32"/>
          <w:szCs w:val="32"/>
        </w:rPr>
        <w:t>11</w:t>
      </w:r>
      <w:r>
        <w:rPr>
          <w:rFonts w:hint="eastAsia" w:ascii="仿宋_GB2312" w:eastAsia="仿宋_GB2312" w:cs="仿宋_GB2312"/>
          <w:sz w:val="32"/>
          <w:szCs w:val="32"/>
        </w:rPr>
        <w:t>部分。</w:t>
      </w:r>
    </w:p>
    <w:p w14:paraId="335B3FCC">
      <w:pPr>
        <w:spacing w:after="0" w:line="360" w:lineRule="auto"/>
        <w:ind w:firstLine="380" w:firstLineChars="200"/>
        <w:jc w:val="both"/>
        <w:textAlignment w:val="baseline"/>
        <w:rPr>
          <w:rFonts w:ascii="Arial" w:hAnsi="Arial" w:cs="Arial"/>
          <w:sz w:val="19"/>
          <w:szCs w:val="19"/>
        </w:rPr>
      </w:pPr>
    </w:p>
    <w:p w14:paraId="0A00AA8A">
      <w:pPr>
        <w:pStyle w:val="4"/>
        <w:spacing w:before="0" w:after="0"/>
        <w:ind w:firstLine="643" w:firstLineChars="200"/>
        <w:jc w:val="both"/>
        <w:rPr>
          <w:rFonts w:ascii="仿宋_GB2312" w:hAnsi="Tahoma" w:cs="Tahoma"/>
          <w:sz w:val="32"/>
          <w:szCs w:val="32"/>
        </w:rPr>
      </w:pPr>
      <w:bookmarkStart w:id="6" w:name="_Toc465149499"/>
      <w:bookmarkStart w:id="7" w:name="_Toc7075"/>
      <w:bookmarkStart w:id="8" w:name="_Toc492652765"/>
      <w:r>
        <w:rPr>
          <w:rFonts w:hint="eastAsia" w:ascii="仿宋_GB2312" w:hAnsi="Tahoma" w:cs="仿宋_GB2312"/>
          <w:sz w:val="32"/>
          <w:szCs w:val="32"/>
        </w:rPr>
        <w:t>（二）</w:t>
      </w:r>
      <w:bookmarkEnd w:id="6"/>
      <w:r>
        <w:rPr>
          <w:rFonts w:hint="eastAsia" w:ascii="仿宋_GB2312" w:hAnsi="Tahoma" w:cs="仿宋_GB2312"/>
          <w:sz w:val="32"/>
          <w:szCs w:val="32"/>
        </w:rPr>
        <w:t>部门年度发展规划总体目标和职责分类绩效目标</w:t>
      </w:r>
      <w:bookmarkEnd w:id="7"/>
      <w:bookmarkEnd w:id="8"/>
    </w:p>
    <w:p w14:paraId="1CD5164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按照</w:t>
      </w:r>
      <w:r>
        <w:rPr>
          <w:rFonts w:ascii="仿宋_GB2312" w:eastAsia="仿宋_GB2312" w:cs="仿宋_GB2312"/>
          <w:sz w:val="32"/>
          <w:szCs w:val="32"/>
        </w:rPr>
        <w:t>2021</w:t>
      </w:r>
      <w:r>
        <w:rPr>
          <w:rFonts w:hint="eastAsia" w:ascii="仿宋_GB2312" w:eastAsia="仿宋_GB2312" w:cs="仿宋_GB2312"/>
          <w:sz w:val="32"/>
          <w:szCs w:val="32"/>
        </w:rPr>
        <w:t>年绩效预算编制要求，区总工会设置的年度发展规划总体目标为：</w:t>
      </w:r>
    </w:p>
    <w:p w14:paraId="1F8FA19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负责贯彻执行党和国家关于制定</w:t>
      </w:r>
      <w:r>
        <w:rPr>
          <w:rFonts w:ascii="仿宋_GB2312" w:eastAsia="仿宋_GB2312" w:cs="仿宋_GB2312"/>
          <w:sz w:val="32"/>
          <w:szCs w:val="32"/>
        </w:rPr>
        <w:t>2021</w:t>
      </w:r>
      <w:r>
        <w:rPr>
          <w:rFonts w:hint="eastAsia" w:ascii="仿宋_GB2312" w:eastAsia="仿宋_GB2312" w:cs="仿宋_GB2312"/>
          <w:sz w:val="32"/>
          <w:szCs w:val="32"/>
        </w:rPr>
        <w:t>年度工作要点，并监督实施。指导全区工会工作。制定全区工会工作总体规划并组织实施，指导检查全区建会、集体协商签订等工作。负责全区困难职工帮扶工作，负责全区劳动技能大赛女职工权益保护工作等工作。</w:t>
      </w:r>
    </w:p>
    <w:p w14:paraId="51E59D2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职责分类绩效目标为：</w:t>
      </w:r>
    </w:p>
    <w:p w14:paraId="171A630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开展做好职工互助“一日捐”活动工作。</w:t>
      </w:r>
    </w:p>
    <w:p w14:paraId="1205116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开展劳动技能大赛工作。</w:t>
      </w:r>
    </w:p>
    <w:p w14:paraId="62C629C8">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开展困难帮扶工作、劳模体检工作。</w:t>
      </w:r>
      <w:bookmarkStart w:id="9" w:name="_Toc1678"/>
      <w:bookmarkStart w:id="10" w:name="_Toc465149500"/>
      <w:bookmarkStart w:id="11" w:name="_Toc492652766"/>
    </w:p>
    <w:p w14:paraId="2D7FBC70">
      <w:pPr>
        <w:pStyle w:val="4"/>
        <w:spacing w:before="0" w:after="0"/>
        <w:ind w:firstLine="643" w:firstLineChars="200"/>
        <w:jc w:val="both"/>
        <w:rPr>
          <w:rFonts w:ascii="仿宋_GB2312" w:hAnsi="Tahoma" w:cs="Tahoma"/>
          <w:sz w:val="32"/>
          <w:szCs w:val="32"/>
        </w:rPr>
      </w:pPr>
      <w:r>
        <w:rPr>
          <w:rFonts w:hint="eastAsia" w:ascii="仿宋_GB2312" w:hAnsi="Tahoma" w:cs="仿宋_GB2312"/>
          <w:sz w:val="32"/>
          <w:szCs w:val="32"/>
        </w:rPr>
        <w:t>（三）部门预算收入及决算收入</w:t>
      </w:r>
      <w:bookmarkEnd w:id="9"/>
    </w:p>
    <w:p w14:paraId="3837928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2021</w:t>
      </w:r>
      <w:r>
        <w:rPr>
          <w:rFonts w:hint="eastAsia" w:ascii="仿宋_GB2312" w:eastAsia="仿宋_GB2312" w:cs="仿宋_GB2312"/>
          <w:sz w:val="32"/>
          <w:szCs w:val="32"/>
        </w:rPr>
        <w:t>年区总工会单位预算收入</w:t>
      </w:r>
      <w:r>
        <w:rPr>
          <w:rFonts w:ascii="仿宋_GB2312" w:eastAsia="仿宋_GB2312" w:cs="仿宋_GB2312"/>
          <w:sz w:val="32"/>
          <w:szCs w:val="32"/>
        </w:rPr>
        <w:t>90.61</w:t>
      </w:r>
      <w:r>
        <w:rPr>
          <w:rFonts w:hint="eastAsia" w:ascii="仿宋_GB2312" w:eastAsia="仿宋_GB2312" w:cs="仿宋_GB2312"/>
          <w:sz w:val="32"/>
          <w:szCs w:val="32"/>
        </w:rPr>
        <w:t>万元，均为一般公共预算拨款，其中：财政拨款</w:t>
      </w:r>
      <w:r>
        <w:rPr>
          <w:rFonts w:ascii="仿宋_GB2312" w:eastAsia="仿宋_GB2312" w:cs="仿宋_GB2312"/>
          <w:sz w:val="32"/>
          <w:szCs w:val="32"/>
        </w:rPr>
        <w:t>90.61</w:t>
      </w:r>
      <w:r>
        <w:rPr>
          <w:rFonts w:hint="eastAsia" w:ascii="仿宋_GB2312" w:eastAsia="仿宋_GB2312" w:cs="仿宋_GB2312"/>
          <w:sz w:val="32"/>
          <w:szCs w:val="32"/>
        </w:rPr>
        <w:t>万元。预算收入按功能分类包含：一般公共服务支出</w:t>
      </w:r>
      <w:r>
        <w:rPr>
          <w:rFonts w:ascii="仿宋_GB2312" w:eastAsia="仿宋_GB2312" w:cs="仿宋_GB2312"/>
          <w:sz w:val="32"/>
          <w:szCs w:val="32"/>
        </w:rPr>
        <w:t>69.19</w:t>
      </w:r>
      <w:r>
        <w:rPr>
          <w:rFonts w:hint="eastAsia" w:ascii="仿宋_GB2312" w:eastAsia="仿宋_GB2312" w:cs="仿宋_GB2312"/>
          <w:sz w:val="32"/>
          <w:szCs w:val="32"/>
        </w:rPr>
        <w:t>万元，社会保障和就业支出</w:t>
      </w:r>
      <w:r>
        <w:rPr>
          <w:rFonts w:ascii="仿宋_GB2312" w:eastAsia="仿宋_GB2312" w:cs="仿宋_GB2312"/>
          <w:sz w:val="32"/>
          <w:szCs w:val="32"/>
        </w:rPr>
        <w:t>14.82</w:t>
      </w:r>
      <w:r>
        <w:rPr>
          <w:rFonts w:hint="eastAsia" w:ascii="仿宋_GB2312" w:eastAsia="仿宋_GB2312" w:cs="仿宋_GB2312"/>
          <w:sz w:val="32"/>
          <w:szCs w:val="32"/>
        </w:rPr>
        <w:t>万元，医疗卫生与计划生育支出</w:t>
      </w:r>
      <w:r>
        <w:rPr>
          <w:rFonts w:ascii="仿宋_GB2312" w:eastAsia="仿宋_GB2312" w:cs="仿宋_GB2312"/>
          <w:sz w:val="32"/>
          <w:szCs w:val="32"/>
        </w:rPr>
        <w:t>5.21</w:t>
      </w:r>
      <w:r>
        <w:rPr>
          <w:rFonts w:hint="eastAsia" w:ascii="仿宋_GB2312" w:eastAsia="仿宋_GB2312" w:cs="仿宋_GB2312"/>
          <w:sz w:val="32"/>
          <w:szCs w:val="32"/>
        </w:rPr>
        <w:t>万元，住房保障支出</w:t>
      </w:r>
      <w:r>
        <w:rPr>
          <w:rFonts w:ascii="仿宋_GB2312" w:eastAsia="仿宋_GB2312" w:cs="仿宋_GB2312"/>
          <w:sz w:val="32"/>
          <w:szCs w:val="32"/>
        </w:rPr>
        <w:t>1.39</w:t>
      </w:r>
      <w:r>
        <w:rPr>
          <w:rFonts w:hint="eastAsia" w:ascii="仿宋_GB2312" w:eastAsia="仿宋_GB2312" w:cs="仿宋_GB2312"/>
          <w:sz w:val="32"/>
          <w:szCs w:val="32"/>
        </w:rPr>
        <w:t>万元。具体预算收入详见附件</w:t>
      </w:r>
      <w:r>
        <w:rPr>
          <w:rFonts w:ascii="仿宋_GB2312" w:eastAsia="仿宋_GB2312" w:cs="仿宋_GB2312"/>
          <w:sz w:val="32"/>
          <w:szCs w:val="32"/>
        </w:rPr>
        <w:t>2</w:t>
      </w:r>
      <w:r>
        <w:rPr>
          <w:rFonts w:hint="eastAsia" w:ascii="仿宋_GB2312" w:eastAsia="仿宋_GB2312" w:cs="仿宋_GB2312"/>
          <w:sz w:val="32"/>
          <w:szCs w:val="32"/>
        </w:rPr>
        <w:t>。</w:t>
      </w:r>
    </w:p>
    <w:p w14:paraId="132A7B1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2021</w:t>
      </w:r>
      <w:r>
        <w:rPr>
          <w:rFonts w:hint="eastAsia" w:ascii="仿宋_GB2312" w:eastAsia="仿宋_GB2312" w:cs="仿宋_GB2312"/>
          <w:sz w:val="32"/>
          <w:szCs w:val="32"/>
        </w:rPr>
        <w:t>年区总工会决算收入</w:t>
      </w:r>
      <w:r>
        <w:rPr>
          <w:rFonts w:ascii="仿宋_GB2312" w:eastAsia="仿宋_GB2312" w:cs="仿宋_GB2312"/>
          <w:sz w:val="32"/>
          <w:szCs w:val="32"/>
        </w:rPr>
        <w:t>54.57</w:t>
      </w:r>
      <w:r>
        <w:rPr>
          <w:rFonts w:hint="eastAsia" w:ascii="仿宋_GB2312" w:eastAsia="仿宋_GB2312" w:cs="仿宋_GB2312"/>
          <w:sz w:val="32"/>
          <w:szCs w:val="32"/>
        </w:rPr>
        <w:t>万元，全部为财政拨款收入。决算收入按功能分类包含：一般公共服务支出</w:t>
      </w:r>
      <w:r>
        <w:rPr>
          <w:rFonts w:ascii="仿宋_GB2312" w:eastAsia="仿宋_GB2312" w:cs="仿宋_GB2312"/>
          <w:sz w:val="32"/>
          <w:szCs w:val="32"/>
        </w:rPr>
        <w:t>20.61</w:t>
      </w:r>
      <w:r>
        <w:rPr>
          <w:rFonts w:hint="eastAsia" w:ascii="仿宋_GB2312" w:eastAsia="仿宋_GB2312" w:cs="仿宋_GB2312"/>
          <w:sz w:val="32"/>
          <w:szCs w:val="32"/>
        </w:rPr>
        <w:t>万元，占比</w:t>
      </w:r>
      <w:r>
        <w:rPr>
          <w:rFonts w:ascii="仿宋_GB2312" w:eastAsia="仿宋_GB2312" w:cs="仿宋_GB2312"/>
          <w:sz w:val="32"/>
          <w:szCs w:val="32"/>
        </w:rPr>
        <w:t>37.77%</w:t>
      </w:r>
      <w:r>
        <w:rPr>
          <w:rFonts w:hint="eastAsia" w:ascii="仿宋_GB2312" w:eastAsia="仿宋_GB2312" w:cs="仿宋_GB2312"/>
          <w:sz w:val="32"/>
          <w:szCs w:val="32"/>
        </w:rPr>
        <w:t>；社会保障和就业支出</w:t>
      </w:r>
      <w:r>
        <w:rPr>
          <w:rFonts w:ascii="仿宋_GB2312" w:eastAsia="仿宋_GB2312" w:cs="仿宋_GB2312"/>
          <w:sz w:val="32"/>
          <w:szCs w:val="32"/>
        </w:rPr>
        <w:t>27.36</w:t>
      </w:r>
      <w:r>
        <w:rPr>
          <w:rFonts w:hint="eastAsia" w:ascii="仿宋_GB2312" w:eastAsia="仿宋_GB2312" w:cs="仿宋_GB2312"/>
          <w:sz w:val="32"/>
          <w:szCs w:val="32"/>
        </w:rPr>
        <w:t>万元，占比</w:t>
      </w:r>
      <w:r>
        <w:rPr>
          <w:rFonts w:ascii="仿宋_GB2312" w:eastAsia="仿宋_GB2312" w:cs="仿宋_GB2312"/>
          <w:sz w:val="32"/>
          <w:szCs w:val="32"/>
        </w:rPr>
        <w:t>50.14%</w:t>
      </w:r>
      <w:r>
        <w:rPr>
          <w:rFonts w:hint="eastAsia" w:ascii="仿宋_GB2312" w:eastAsia="仿宋_GB2312" w:cs="仿宋_GB2312"/>
          <w:sz w:val="32"/>
          <w:szCs w:val="32"/>
        </w:rPr>
        <w:t>；医疗卫生与计划生育支出</w:t>
      </w:r>
      <w:r>
        <w:rPr>
          <w:rFonts w:ascii="仿宋_GB2312" w:eastAsia="仿宋_GB2312" w:cs="仿宋_GB2312"/>
          <w:sz w:val="32"/>
          <w:szCs w:val="32"/>
        </w:rPr>
        <w:t>5.21</w:t>
      </w:r>
      <w:r>
        <w:rPr>
          <w:rFonts w:hint="eastAsia" w:ascii="仿宋_GB2312" w:eastAsia="仿宋_GB2312" w:cs="仿宋_GB2312"/>
          <w:sz w:val="32"/>
          <w:szCs w:val="32"/>
        </w:rPr>
        <w:t>万元，占</w:t>
      </w:r>
      <w:r>
        <w:rPr>
          <w:rFonts w:ascii="仿宋_GB2312" w:eastAsia="仿宋_GB2312" w:cs="仿宋_GB2312"/>
          <w:sz w:val="32"/>
          <w:szCs w:val="32"/>
        </w:rPr>
        <w:t>9.55%</w:t>
      </w:r>
      <w:r>
        <w:rPr>
          <w:rFonts w:hint="eastAsia" w:ascii="仿宋_GB2312" w:eastAsia="仿宋_GB2312" w:cs="仿宋_GB2312"/>
          <w:sz w:val="32"/>
          <w:szCs w:val="32"/>
        </w:rPr>
        <w:t>；住房保障支出</w:t>
      </w:r>
      <w:r>
        <w:rPr>
          <w:rFonts w:ascii="仿宋_GB2312" w:eastAsia="仿宋_GB2312" w:cs="仿宋_GB2312"/>
          <w:sz w:val="32"/>
          <w:szCs w:val="32"/>
        </w:rPr>
        <w:t>1.39</w:t>
      </w:r>
      <w:r>
        <w:rPr>
          <w:rFonts w:hint="eastAsia" w:ascii="仿宋_GB2312" w:eastAsia="仿宋_GB2312" w:cs="仿宋_GB2312"/>
          <w:sz w:val="32"/>
          <w:szCs w:val="32"/>
        </w:rPr>
        <w:t>万元，占比</w:t>
      </w:r>
      <w:r>
        <w:rPr>
          <w:rFonts w:ascii="仿宋_GB2312" w:eastAsia="仿宋_GB2312" w:cs="仿宋_GB2312"/>
          <w:sz w:val="32"/>
          <w:szCs w:val="32"/>
        </w:rPr>
        <w:t>2.54%</w:t>
      </w:r>
      <w:r>
        <w:rPr>
          <w:rFonts w:hint="eastAsia" w:ascii="仿宋_GB2312" w:eastAsia="仿宋_GB2312" w:cs="仿宋_GB2312"/>
          <w:sz w:val="32"/>
          <w:szCs w:val="32"/>
        </w:rPr>
        <w:t>。具体决算收入详见附件</w:t>
      </w:r>
    </w:p>
    <w:p w14:paraId="1E9528AC">
      <w:pPr>
        <w:spacing w:after="0" w:line="360" w:lineRule="auto"/>
        <w:ind w:firstLine="640" w:firstLineChars="200"/>
        <w:jc w:val="both"/>
        <w:textAlignment w:val="baseline"/>
        <w:rPr>
          <w:rFonts w:ascii="仿宋_GB2312" w:eastAsia="仿宋_GB2312"/>
          <w:color w:val="auto"/>
          <w:sz w:val="32"/>
          <w:szCs w:val="32"/>
        </w:rPr>
      </w:pPr>
      <w:r>
        <w:rPr>
          <w:rFonts w:ascii="仿宋_GB2312" w:eastAsia="仿宋_GB2312" w:cs="仿宋_GB2312"/>
          <w:color w:val="auto"/>
          <w:sz w:val="32"/>
          <w:szCs w:val="32"/>
        </w:rPr>
        <w:t>2</w:t>
      </w:r>
      <w:r>
        <w:rPr>
          <w:rFonts w:hint="eastAsia" w:ascii="仿宋_GB2312" w:eastAsia="仿宋_GB2312" w:cs="仿宋_GB2312"/>
          <w:color w:val="auto"/>
          <w:sz w:val="32"/>
          <w:szCs w:val="32"/>
          <w:lang w:val="en-US" w:eastAsia="zh-CN"/>
        </w:rPr>
        <w:t>.</w:t>
      </w:r>
      <w:r>
        <w:rPr>
          <w:rFonts w:hint="eastAsia" w:ascii="仿宋_GB2312" w:eastAsia="仿宋_GB2312" w:cs="仿宋_GB2312"/>
          <w:color w:val="auto"/>
          <w:sz w:val="32"/>
          <w:szCs w:val="32"/>
        </w:rPr>
        <w:t>决算收入结构如图</w:t>
      </w:r>
      <w:r>
        <w:rPr>
          <w:rFonts w:ascii="仿宋_GB2312" w:eastAsia="仿宋_GB2312" w:cs="仿宋_GB2312"/>
          <w:color w:val="auto"/>
          <w:sz w:val="32"/>
          <w:szCs w:val="32"/>
        </w:rPr>
        <w:t>1</w:t>
      </w:r>
      <w:r>
        <w:rPr>
          <w:rFonts w:hint="eastAsia" w:ascii="仿宋_GB2312" w:eastAsia="仿宋_GB2312" w:cs="仿宋_GB2312"/>
          <w:color w:val="auto"/>
          <w:sz w:val="32"/>
          <w:szCs w:val="32"/>
        </w:rPr>
        <w:t>。</w:t>
      </w:r>
    </w:p>
    <w:p w14:paraId="262F13CF">
      <w:pPr>
        <w:spacing w:after="0" w:line="360" w:lineRule="auto"/>
        <w:ind w:firstLine="964" w:firstLineChars="300"/>
        <w:jc w:val="both"/>
        <w:textAlignment w:val="baseline"/>
        <w:rPr>
          <w:rFonts w:ascii="宋体" w:hAnsi="宋体" w:eastAsia="宋体"/>
          <w:b/>
          <w:bCs/>
          <w:sz w:val="32"/>
          <w:szCs w:val="32"/>
        </w:rPr>
      </w:pPr>
      <w:r>
        <w:rPr>
          <w:rFonts w:hint="eastAsia" w:ascii="宋体" w:hAnsi="宋体" w:eastAsia="宋体" w:cs="宋体"/>
          <w:b/>
          <w:bCs/>
          <w:sz w:val="32"/>
          <w:szCs w:val="32"/>
        </w:rPr>
        <w:t>图</w:t>
      </w:r>
      <w:r>
        <w:rPr>
          <w:rFonts w:ascii="宋体" w:hAnsi="宋体" w:eastAsia="宋体" w:cs="宋体"/>
          <w:b/>
          <w:bCs/>
          <w:sz w:val="32"/>
          <w:szCs w:val="32"/>
        </w:rPr>
        <w:t>1  2021</w:t>
      </w:r>
      <w:r>
        <w:rPr>
          <w:rFonts w:hint="eastAsia" w:ascii="宋体" w:hAnsi="宋体" w:eastAsia="宋体" w:cs="宋体"/>
          <w:b/>
          <w:bCs/>
          <w:sz w:val="32"/>
          <w:szCs w:val="32"/>
        </w:rPr>
        <w:t>年度区总工会单位决算收入结构图</w:t>
      </w:r>
    </w:p>
    <w:p w14:paraId="70B76DFA">
      <w:pPr>
        <w:spacing w:after="0" w:line="360" w:lineRule="auto"/>
        <w:jc w:val="both"/>
        <w:textAlignment w:val="baseline"/>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095875" cy="3153410"/>
            <wp:effectExtent l="0" t="0" r="9525" b="8890"/>
            <wp:docPr id="10" name="图片 10" descr="2021年度决算收入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1年度决算收入结构图"/>
                    <pic:cNvPicPr>
                      <a:picLocks noChangeAspect="1"/>
                    </pic:cNvPicPr>
                  </pic:nvPicPr>
                  <pic:blipFill>
                    <a:blip r:embed="rId7"/>
                    <a:stretch>
                      <a:fillRect/>
                    </a:stretch>
                  </pic:blipFill>
                  <pic:spPr>
                    <a:xfrm>
                      <a:off x="0" y="0"/>
                      <a:ext cx="5095875" cy="3153410"/>
                    </a:xfrm>
                    <a:prstGeom prst="rect">
                      <a:avLst/>
                    </a:prstGeom>
                  </pic:spPr>
                </pic:pic>
              </a:graphicData>
            </a:graphic>
          </wp:inline>
        </w:drawing>
      </w:r>
    </w:p>
    <w:p w14:paraId="41BFBCCD">
      <w:pPr>
        <w:spacing w:after="0" w:line="540" w:lineRule="exact"/>
        <w:jc w:val="both"/>
        <w:rPr>
          <w:rFonts w:ascii="仿宋_GB2312" w:hAnsi="宋体" w:eastAsia="仿宋_GB2312"/>
          <w:sz w:val="32"/>
          <w:szCs w:val="32"/>
          <w:u w:color="000000"/>
        </w:rPr>
      </w:pPr>
    </w:p>
    <w:p w14:paraId="3EA69110">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区总工会单位一般公共预算财政拨款决算收入比年初预算减少</w:t>
      </w:r>
      <w:r>
        <w:rPr>
          <w:rFonts w:ascii="仿宋_GB2312" w:eastAsia="仿宋_GB2312" w:cs="仿宋_GB2312"/>
          <w:sz w:val="32"/>
          <w:szCs w:val="32"/>
        </w:rPr>
        <w:t>54.57</w:t>
      </w:r>
      <w:r>
        <w:rPr>
          <w:rFonts w:hint="eastAsia" w:ascii="仿宋_GB2312" w:eastAsia="仿宋_GB2312" w:cs="仿宋_GB2312"/>
          <w:sz w:val="32"/>
          <w:szCs w:val="32"/>
        </w:rPr>
        <w:t>万元，完成年初预算的</w:t>
      </w:r>
      <w:r>
        <w:rPr>
          <w:rFonts w:ascii="仿宋_GB2312" w:eastAsia="仿宋_GB2312" w:cs="仿宋_GB2312"/>
          <w:sz w:val="32"/>
          <w:szCs w:val="32"/>
        </w:rPr>
        <w:t>60.23%</w:t>
      </w:r>
      <w:r>
        <w:rPr>
          <w:rFonts w:hint="eastAsia" w:ascii="仿宋_GB2312" w:eastAsia="仿宋_GB2312" w:cs="仿宋_GB2312"/>
          <w:sz w:val="32"/>
          <w:szCs w:val="32"/>
        </w:rPr>
        <w:t>。预算收入</w:t>
      </w:r>
      <w:r>
        <w:rPr>
          <w:rFonts w:hint="eastAsia" w:ascii="仿宋_GB2312" w:eastAsia="仿宋_GB2312" w:cs="仿宋_GB2312"/>
          <w:color w:val="auto"/>
          <w:sz w:val="32"/>
          <w:szCs w:val="32"/>
        </w:rPr>
        <w:t>与决算收入对比情况见图</w:t>
      </w:r>
      <w:r>
        <w:rPr>
          <w:rFonts w:ascii="仿宋_GB2312" w:eastAsia="仿宋_GB2312" w:cs="仿宋_GB2312"/>
          <w:color w:val="auto"/>
          <w:sz w:val="32"/>
          <w:szCs w:val="32"/>
        </w:rPr>
        <w:t>2</w:t>
      </w:r>
      <w:r>
        <w:rPr>
          <w:rFonts w:hint="eastAsia" w:ascii="仿宋_GB2312" w:eastAsia="仿宋_GB2312" w:cs="仿宋_GB2312"/>
          <w:color w:val="auto"/>
          <w:sz w:val="32"/>
          <w:szCs w:val="32"/>
        </w:rPr>
        <w:t>。</w:t>
      </w:r>
    </w:p>
    <w:p w14:paraId="38E6EA7B">
      <w:pPr>
        <w:spacing w:after="0" w:line="360" w:lineRule="auto"/>
        <w:jc w:val="center"/>
        <w:rPr>
          <w:rFonts w:ascii="宋体" w:hAnsi="宋体" w:eastAsia="宋体"/>
          <w:b/>
          <w:bCs/>
          <w:sz w:val="32"/>
          <w:szCs w:val="32"/>
          <w:u w:color="000000"/>
        </w:rPr>
      </w:pPr>
      <w:r>
        <w:rPr>
          <w:rFonts w:hint="eastAsia" w:ascii="宋体" w:hAnsi="宋体" w:eastAsia="宋体" w:cs="宋体"/>
          <w:b/>
          <w:bCs/>
          <w:sz w:val="32"/>
          <w:szCs w:val="32"/>
          <w:u w:color="000000"/>
        </w:rPr>
        <w:t>图</w:t>
      </w:r>
      <w:r>
        <w:rPr>
          <w:rFonts w:ascii="宋体" w:hAnsi="宋体" w:eastAsia="宋体" w:cs="宋体"/>
          <w:b/>
          <w:bCs/>
          <w:sz w:val="32"/>
          <w:szCs w:val="32"/>
          <w:u w:color="000000"/>
        </w:rPr>
        <w:t>2  2021</w:t>
      </w:r>
      <w:r>
        <w:rPr>
          <w:rFonts w:hint="eastAsia" w:ascii="宋体" w:hAnsi="宋体" w:eastAsia="宋体" w:cs="宋体"/>
          <w:b/>
          <w:bCs/>
          <w:sz w:val="32"/>
          <w:szCs w:val="32"/>
          <w:u w:color="000000"/>
        </w:rPr>
        <w:t>年度区</w:t>
      </w:r>
      <w:r>
        <w:rPr>
          <w:rFonts w:hint="eastAsia" w:cs="仿宋_GB2312" w:asciiTheme="majorEastAsia" w:hAnsiTheme="majorEastAsia" w:eastAsiaTheme="majorEastAsia"/>
          <w:b/>
          <w:sz w:val="32"/>
          <w:szCs w:val="32"/>
        </w:rPr>
        <w:t>总工会单位</w:t>
      </w:r>
      <w:r>
        <w:rPr>
          <w:rFonts w:hint="eastAsia" w:ascii="宋体" w:hAnsi="宋体" w:eastAsia="宋体" w:cs="宋体"/>
          <w:b/>
          <w:bCs/>
          <w:sz w:val="32"/>
          <w:szCs w:val="32"/>
          <w:u w:color="000000"/>
        </w:rPr>
        <w:t>预算收入与决算收入对比图</w:t>
      </w:r>
    </w:p>
    <w:p w14:paraId="64BAB5E7">
      <w:pPr>
        <w:spacing w:after="0" w:line="360" w:lineRule="auto"/>
        <w:jc w:val="center"/>
        <w:rPr>
          <w:rFonts w:ascii="宋体" w:hAnsi="宋体" w:eastAsia="宋体"/>
          <w:b/>
          <w:bCs/>
          <w:sz w:val="32"/>
          <w:szCs w:val="32"/>
          <w:u w:color="000000"/>
        </w:rPr>
      </w:pPr>
      <w:r>
        <mc:AlternateContent>
          <mc:Choice Requires="wps">
            <w:drawing>
              <wp:anchor distT="0" distB="0" distL="114300" distR="114300" simplePos="0" relativeHeight="251659264" behindDoc="0" locked="0" layoutInCell="1" allowOverlap="1">
                <wp:simplePos x="0" y="0"/>
                <wp:positionH relativeFrom="column">
                  <wp:posOffset>4327525</wp:posOffset>
                </wp:positionH>
                <wp:positionV relativeFrom="paragraph">
                  <wp:posOffset>133350</wp:posOffset>
                </wp:positionV>
                <wp:extent cx="827405" cy="343535"/>
                <wp:effectExtent l="12065" t="11430" r="8255" b="698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27405" cy="343535"/>
                        </a:xfrm>
                        <a:prstGeom prst="rect">
                          <a:avLst/>
                        </a:prstGeom>
                        <a:solidFill>
                          <a:srgbClr val="FFFFFF"/>
                        </a:solidFill>
                        <a:ln w="6350">
                          <a:solidFill>
                            <a:srgbClr val="FFFFFF"/>
                          </a:solidFill>
                          <a:round/>
                        </a:ln>
                      </wps:spPr>
                      <wps:txbx>
                        <w:txbxContent>
                          <w:p w14:paraId="1E8B95F9">
                            <w:pPr>
                              <w:rPr>
                                <w:rFonts w:eastAsia="宋体"/>
                              </w:rPr>
                            </w:pPr>
                            <w:r>
                              <w:rPr>
                                <w:rFonts w:hint="eastAsia" w:cs="微软雅黑"/>
                                <w:sz w:val="18"/>
                                <w:szCs w:val="18"/>
                              </w:rPr>
                              <w:t>单位：万元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0.75pt;margin-top:10.5pt;height:27.05pt;width:65.15pt;z-index:251659264;mso-width-relative:page;mso-height-relative:page;" fillcolor="#FFFFFF" filled="t" stroked="t" coordsize="21600,21600" o:gfxdata="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8v+V1wAAAAkBAAAPAAAAAAAAAAEAIAAAACIAAABkcnMvZG93bnJl&#10;di54bWxQSwECFAAUAAAACACHTuJAEVUt1TcCAAB5BAAADgAAAAAAAAABACAAAAAmAQAAZHJzL2Uy&#10;b0RvYy54bWxQSwUGAAAAAAYABgBZAQAAzwUAAAAA&#10;">
                <v:fill on="t" focussize="0,0"/>
                <v:stroke weight="0.5pt" color="#FFFFFF" joinstyle="round"/>
                <v:imagedata o:title=""/>
                <o:lock v:ext="edit" aspectratio="f"/>
                <v:textbox>
                  <w:txbxContent>
                    <w:p w14:paraId="1E8B95F9">
                      <w:pPr>
                        <w:rPr>
                          <w:rFonts w:eastAsia="宋体"/>
                        </w:rPr>
                      </w:pPr>
                      <w:r>
                        <w:rPr>
                          <w:rFonts w:hint="eastAsia" w:cs="微软雅黑"/>
                          <w:sz w:val="18"/>
                          <w:szCs w:val="18"/>
                        </w:rPr>
                        <w:t>单位：万元</w:t>
                      </w:r>
                    </w:p>
                  </w:txbxContent>
                </v:textbox>
              </v:shape>
            </w:pict>
          </mc:Fallback>
        </mc:AlternateContent>
      </w:r>
      <w:r>
        <w:drawing>
          <wp:inline distT="0" distB="0" distL="114300" distR="114300">
            <wp:extent cx="5095875" cy="3819525"/>
            <wp:effectExtent l="0" t="0" r="9525" b="9525"/>
            <wp:docPr id="11" name="图片 11" descr="2021年度预算收入与决算收入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1年度预算收入与决算收入对比图"/>
                    <pic:cNvPicPr>
                      <a:picLocks noChangeAspect="1"/>
                    </pic:cNvPicPr>
                  </pic:nvPicPr>
                  <pic:blipFill>
                    <a:blip r:embed="rId8"/>
                    <a:stretch>
                      <a:fillRect/>
                    </a:stretch>
                  </pic:blipFill>
                  <pic:spPr>
                    <a:xfrm>
                      <a:off x="0" y="0"/>
                      <a:ext cx="5095875" cy="3819525"/>
                    </a:xfrm>
                    <a:prstGeom prst="rect">
                      <a:avLst/>
                    </a:prstGeom>
                  </pic:spPr>
                </pic:pic>
              </a:graphicData>
            </a:graphic>
          </wp:inline>
        </w:drawing>
      </w:r>
    </w:p>
    <w:p w14:paraId="7A8728E0">
      <w:pPr>
        <w:pStyle w:val="4"/>
        <w:spacing w:before="0" w:after="0"/>
        <w:ind w:firstLine="643" w:firstLineChars="200"/>
        <w:jc w:val="both"/>
        <w:rPr>
          <w:rFonts w:ascii="仿宋_GB2312" w:hAnsi="宋体" w:cs="Tahoma"/>
          <w:sz w:val="32"/>
          <w:szCs w:val="32"/>
        </w:rPr>
      </w:pPr>
      <w:bookmarkStart w:id="12" w:name="_Toc18197"/>
      <w:r>
        <w:rPr>
          <w:rFonts w:hint="eastAsia" w:ascii="仿宋_GB2312" w:hAnsi="宋体" w:cs="仿宋_GB2312"/>
          <w:sz w:val="32"/>
          <w:szCs w:val="32"/>
        </w:rPr>
        <w:t>（四）预算支出及决算</w:t>
      </w:r>
      <w:bookmarkEnd w:id="10"/>
      <w:bookmarkEnd w:id="11"/>
      <w:r>
        <w:rPr>
          <w:rFonts w:hint="eastAsia" w:ascii="仿宋_GB2312" w:hAnsi="宋体" w:cs="仿宋_GB2312"/>
          <w:sz w:val="32"/>
          <w:szCs w:val="32"/>
        </w:rPr>
        <w:t>支出</w:t>
      </w:r>
      <w:bookmarkEnd w:id="12"/>
    </w:p>
    <w:p w14:paraId="2C63E71B">
      <w:pPr>
        <w:spacing w:after="0" w:line="360" w:lineRule="auto"/>
        <w:ind w:firstLine="640" w:firstLineChars="200"/>
        <w:jc w:val="both"/>
        <w:rPr>
          <w:rFonts w:ascii="仿宋_GB2312" w:hAnsi="宋体" w:eastAsia="仿宋_GB2312"/>
          <w:sz w:val="32"/>
          <w:szCs w:val="32"/>
          <w:u w:color="000000"/>
        </w:rPr>
      </w:pPr>
      <w:r>
        <w:rPr>
          <w:rFonts w:ascii="仿宋_GB2312" w:eastAsia="仿宋_GB2312" w:cs="仿宋_GB2312"/>
          <w:sz w:val="32"/>
          <w:szCs w:val="32"/>
        </w:rPr>
        <w:t>2021</w:t>
      </w:r>
      <w:r>
        <w:rPr>
          <w:rFonts w:hint="eastAsia" w:ascii="仿宋_GB2312" w:eastAsia="仿宋_GB2312" w:cs="仿宋_GB2312"/>
          <w:sz w:val="32"/>
          <w:szCs w:val="32"/>
        </w:rPr>
        <w:t>年度区总工会</w:t>
      </w:r>
      <w:r>
        <w:rPr>
          <w:rFonts w:hint="eastAsia" w:ascii="仿宋_GB2312" w:hAnsi="宋体" w:eastAsia="仿宋_GB2312" w:cs="仿宋_GB2312"/>
          <w:sz w:val="32"/>
          <w:szCs w:val="32"/>
          <w:u w:color="000000"/>
        </w:rPr>
        <w:t>预算支出安排</w:t>
      </w:r>
      <w:r>
        <w:rPr>
          <w:rFonts w:ascii="仿宋_GB2312" w:eastAsia="仿宋_GB2312" w:cs="仿宋_GB2312"/>
          <w:sz w:val="32"/>
          <w:szCs w:val="32"/>
        </w:rPr>
        <w:t>90.61</w:t>
      </w:r>
      <w:r>
        <w:rPr>
          <w:rFonts w:hint="eastAsia" w:ascii="仿宋_GB2312" w:hAnsi="宋体" w:eastAsia="仿宋_GB2312" w:cs="仿宋_GB2312"/>
          <w:sz w:val="32"/>
          <w:szCs w:val="32"/>
          <w:u w:color="000000"/>
        </w:rPr>
        <w:t>万元，其中：基本支出</w:t>
      </w:r>
      <w:r>
        <w:rPr>
          <w:rFonts w:ascii="仿宋_GB2312" w:hAnsi="宋体" w:eastAsia="仿宋_GB2312" w:cs="仿宋_GB2312"/>
          <w:sz w:val="32"/>
          <w:szCs w:val="32"/>
          <w:u w:color="000000"/>
        </w:rPr>
        <w:t>52.57</w:t>
      </w:r>
      <w:r>
        <w:rPr>
          <w:rFonts w:hint="eastAsia" w:ascii="仿宋_GB2312" w:hAnsi="宋体" w:eastAsia="仿宋_GB2312" w:cs="仿宋_GB2312"/>
          <w:sz w:val="32"/>
          <w:szCs w:val="32"/>
          <w:u w:color="000000"/>
        </w:rPr>
        <w:t>万元，项目支出</w:t>
      </w:r>
      <w:r>
        <w:rPr>
          <w:rFonts w:ascii="仿宋_GB2312" w:hAnsi="宋体" w:eastAsia="仿宋_GB2312" w:cs="仿宋_GB2312"/>
          <w:sz w:val="32"/>
          <w:szCs w:val="32"/>
          <w:u w:color="000000"/>
        </w:rPr>
        <w:t>2.3</w:t>
      </w:r>
      <w:r>
        <w:rPr>
          <w:rFonts w:hint="eastAsia" w:ascii="仿宋_GB2312" w:hAnsi="宋体" w:eastAsia="仿宋_GB2312" w:cs="仿宋_GB2312"/>
          <w:sz w:val="32"/>
          <w:szCs w:val="32"/>
          <w:u w:color="000000"/>
        </w:rPr>
        <w:t>万元。预算支出按功能分类包含：</w:t>
      </w:r>
      <w:r>
        <w:rPr>
          <w:rFonts w:hint="eastAsia" w:ascii="仿宋_GB2312" w:eastAsia="仿宋_GB2312" w:cs="仿宋_GB2312"/>
          <w:sz w:val="32"/>
          <w:szCs w:val="32"/>
        </w:rPr>
        <w:t>一般公共服务支出69.19万元</w:t>
      </w:r>
      <w:r>
        <w:rPr>
          <w:rFonts w:hint="eastAsia" w:ascii="仿宋_GB2312" w:hAnsi="宋体" w:eastAsia="仿宋_GB2312" w:cs="仿宋_GB2312"/>
          <w:sz w:val="32"/>
          <w:szCs w:val="32"/>
          <w:u w:color="000000"/>
        </w:rPr>
        <w:t>，社会保障和就业支出</w:t>
      </w:r>
      <w:r>
        <w:rPr>
          <w:rFonts w:ascii="仿宋_GB2312" w:eastAsia="仿宋_GB2312" w:cs="仿宋_GB2312"/>
          <w:sz w:val="32"/>
          <w:szCs w:val="32"/>
        </w:rPr>
        <w:t>14.82</w:t>
      </w:r>
      <w:r>
        <w:rPr>
          <w:rFonts w:hint="eastAsia" w:ascii="仿宋_GB2312" w:hAnsi="宋体" w:eastAsia="仿宋_GB2312" w:cs="仿宋_GB2312"/>
          <w:sz w:val="32"/>
          <w:szCs w:val="32"/>
          <w:u w:color="000000"/>
        </w:rPr>
        <w:t>万元，医疗卫生与计划教育支出</w:t>
      </w:r>
      <w:r>
        <w:rPr>
          <w:rFonts w:ascii="仿宋_GB2312" w:eastAsia="仿宋_GB2312" w:cs="仿宋_GB2312"/>
          <w:sz w:val="32"/>
          <w:szCs w:val="32"/>
        </w:rPr>
        <w:t>5.21</w:t>
      </w:r>
      <w:r>
        <w:rPr>
          <w:rFonts w:hint="eastAsia" w:ascii="仿宋_GB2312" w:hAnsi="宋体" w:eastAsia="仿宋_GB2312" w:cs="仿宋_GB2312"/>
          <w:sz w:val="32"/>
          <w:szCs w:val="32"/>
          <w:u w:color="000000"/>
        </w:rPr>
        <w:t>万元，住房保障支出</w:t>
      </w:r>
      <w:r>
        <w:rPr>
          <w:rFonts w:ascii="仿宋_GB2312" w:eastAsia="仿宋_GB2312" w:cs="仿宋_GB2312"/>
          <w:sz w:val="32"/>
          <w:szCs w:val="32"/>
        </w:rPr>
        <w:t>1.39</w:t>
      </w:r>
      <w:r>
        <w:rPr>
          <w:rFonts w:hint="eastAsia" w:ascii="仿宋_GB2312" w:hAnsi="宋体" w:eastAsia="仿宋_GB2312" w:cs="仿宋_GB2312"/>
          <w:sz w:val="32"/>
          <w:szCs w:val="32"/>
          <w:u w:color="000000"/>
        </w:rPr>
        <w:t>万元。具体预算支出详见附件</w:t>
      </w:r>
      <w:r>
        <w:rPr>
          <w:rFonts w:ascii="仿宋_GB2312" w:hAnsi="宋体" w:eastAsia="仿宋_GB2312" w:cs="仿宋_GB2312"/>
          <w:sz w:val="32"/>
          <w:szCs w:val="32"/>
          <w:u w:color="000000"/>
        </w:rPr>
        <w:t>2</w:t>
      </w:r>
      <w:r>
        <w:rPr>
          <w:rFonts w:hint="eastAsia" w:ascii="仿宋_GB2312" w:hAnsi="宋体" w:eastAsia="仿宋_GB2312" w:cs="仿宋_GB2312"/>
          <w:sz w:val="32"/>
          <w:szCs w:val="32"/>
          <w:u w:color="000000"/>
        </w:rPr>
        <w:t>。</w:t>
      </w:r>
    </w:p>
    <w:p w14:paraId="1A103CAB">
      <w:pPr>
        <w:spacing w:after="0" w:line="360" w:lineRule="auto"/>
        <w:ind w:firstLine="640" w:firstLineChars="200"/>
        <w:jc w:val="both"/>
        <w:rPr>
          <w:rFonts w:ascii="仿宋_GB2312" w:hAnsi="宋体" w:eastAsia="仿宋_GB2312"/>
          <w:color w:val="FF0000"/>
          <w:sz w:val="32"/>
          <w:szCs w:val="32"/>
          <w:u w:color="000000"/>
        </w:rPr>
      </w:pPr>
      <w:r>
        <w:rPr>
          <w:rFonts w:ascii="仿宋_GB2312" w:eastAsia="仿宋_GB2312" w:cs="仿宋_GB2312"/>
          <w:sz w:val="32"/>
          <w:szCs w:val="32"/>
        </w:rPr>
        <w:t>2021</w:t>
      </w:r>
      <w:r>
        <w:rPr>
          <w:rFonts w:hint="eastAsia" w:ascii="仿宋_GB2312" w:eastAsia="仿宋_GB2312" w:cs="仿宋_GB2312"/>
          <w:sz w:val="32"/>
          <w:szCs w:val="32"/>
        </w:rPr>
        <w:t>年度区总工会单位</w:t>
      </w:r>
      <w:r>
        <w:rPr>
          <w:rFonts w:hint="eastAsia" w:ascii="仿宋_GB2312" w:hAnsi="宋体" w:eastAsia="仿宋_GB2312" w:cs="仿宋_GB2312"/>
          <w:sz w:val="32"/>
          <w:szCs w:val="32"/>
          <w:u w:color="000000"/>
        </w:rPr>
        <w:t>决算支出为</w:t>
      </w:r>
      <w:r>
        <w:rPr>
          <w:rFonts w:ascii="仿宋_GB2312" w:eastAsia="仿宋_GB2312" w:cs="仿宋_GB2312"/>
          <w:sz w:val="32"/>
          <w:szCs w:val="32"/>
        </w:rPr>
        <w:t>54.57</w:t>
      </w:r>
      <w:r>
        <w:rPr>
          <w:rFonts w:hint="eastAsia" w:ascii="仿宋_GB2312" w:hAnsi="宋体" w:eastAsia="仿宋_GB2312" w:cs="仿宋_GB2312"/>
          <w:sz w:val="32"/>
          <w:szCs w:val="32"/>
          <w:u w:color="000000"/>
        </w:rPr>
        <w:t>万元，其中：基本支出</w:t>
      </w:r>
      <w:r>
        <w:rPr>
          <w:rFonts w:ascii="仿宋_GB2312" w:eastAsia="仿宋_GB2312" w:cs="仿宋_GB2312"/>
          <w:sz w:val="32"/>
          <w:szCs w:val="32"/>
        </w:rPr>
        <w:t>52.27</w:t>
      </w:r>
      <w:r>
        <w:rPr>
          <w:rFonts w:hint="eastAsia" w:ascii="仿宋_GB2312" w:hAnsi="宋体" w:eastAsia="仿宋_GB2312" w:cs="仿宋_GB2312"/>
          <w:sz w:val="32"/>
          <w:szCs w:val="32"/>
          <w:u w:color="000000"/>
        </w:rPr>
        <w:t>万元，项目支出</w:t>
      </w:r>
      <w:r>
        <w:rPr>
          <w:rFonts w:ascii="仿宋_GB2312" w:hAnsi="宋体" w:eastAsia="仿宋_GB2312" w:cs="仿宋_GB2312"/>
          <w:sz w:val="32"/>
          <w:szCs w:val="32"/>
          <w:u w:color="000000"/>
        </w:rPr>
        <w:t>2.3</w:t>
      </w:r>
      <w:r>
        <w:rPr>
          <w:rFonts w:hint="eastAsia" w:ascii="仿宋_GB2312" w:hAnsi="宋体" w:eastAsia="仿宋_GB2312" w:cs="仿宋_GB2312"/>
          <w:sz w:val="32"/>
          <w:szCs w:val="32"/>
          <w:u w:color="000000"/>
        </w:rPr>
        <w:t>万元。决算支出按功能分类包含：</w:t>
      </w:r>
      <w:r>
        <w:rPr>
          <w:rFonts w:hint="eastAsia" w:ascii="仿宋_GB2312" w:eastAsia="仿宋_GB2312" w:cs="仿宋_GB2312"/>
          <w:sz w:val="32"/>
          <w:szCs w:val="32"/>
        </w:rPr>
        <w:t>一般公共服务支出</w:t>
      </w:r>
      <w:r>
        <w:rPr>
          <w:rFonts w:ascii="仿宋_GB2312" w:eastAsia="仿宋_GB2312" w:cs="仿宋_GB2312"/>
          <w:sz w:val="32"/>
          <w:szCs w:val="32"/>
        </w:rPr>
        <w:t>20.61</w:t>
      </w:r>
      <w:r>
        <w:rPr>
          <w:rFonts w:hint="eastAsia" w:ascii="仿宋_GB2312" w:hAnsi="宋体" w:eastAsia="仿宋_GB2312" w:cs="仿宋_GB2312"/>
          <w:sz w:val="32"/>
          <w:szCs w:val="32"/>
          <w:u w:color="000000"/>
        </w:rPr>
        <w:t>万元，占比</w:t>
      </w:r>
      <w:r>
        <w:rPr>
          <w:rFonts w:ascii="仿宋_GB2312" w:hAnsi="宋体" w:eastAsia="仿宋_GB2312" w:cs="仿宋_GB2312"/>
          <w:sz w:val="32"/>
          <w:szCs w:val="32"/>
          <w:u w:color="000000"/>
        </w:rPr>
        <w:t>22.75%</w:t>
      </w:r>
      <w:r>
        <w:rPr>
          <w:rFonts w:hint="eastAsia" w:ascii="仿宋_GB2312" w:hAnsi="宋体" w:eastAsia="仿宋_GB2312" w:cs="仿宋_GB2312"/>
          <w:sz w:val="32"/>
          <w:szCs w:val="32"/>
          <w:u w:color="000000"/>
        </w:rPr>
        <w:t>；社会保障和就业支出</w:t>
      </w:r>
      <w:r>
        <w:rPr>
          <w:rFonts w:ascii="仿宋_GB2312" w:eastAsia="仿宋_GB2312" w:cs="仿宋_GB2312"/>
          <w:sz w:val="32"/>
          <w:szCs w:val="32"/>
        </w:rPr>
        <w:t>27.36</w:t>
      </w:r>
      <w:r>
        <w:rPr>
          <w:rFonts w:hint="eastAsia" w:ascii="仿宋_GB2312" w:hAnsi="宋体" w:eastAsia="仿宋_GB2312" w:cs="仿宋_GB2312"/>
          <w:sz w:val="32"/>
          <w:szCs w:val="32"/>
          <w:u w:color="000000"/>
        </w:rPr>
        <w:t>万元，占比30.2</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；医疗卫生与计划教育支出</w:t>
      </w:r>
      <w:r>
        <w:rPr>
          <w:rFonts w:ascii="仿宋_GB2312" w:hAnsi="宋体" w:eastAsia="仿宋_GB2312" w:cs="仿宋_GB2312"/>
          <w:sz w:val="32"/>
          <w:szCs w:val="32"/>
          <w:u w:color="000000"/>
        </w:rPr>
        <w:t>5.21</w:t>
      </w:r>
      <w:r>
        <w:rPr>
          <w:rFonts w:hint="eastAsia" w:ascii="仿宋_GB2312" w:hAnsi="宋体" w:eastAsia="仿宋_GB2312" w:cs="仿宋_GB2312"/>
          <w:sz w:val="32"/>
          <w:szCs w:val="32"/>
          <w:u w:color="000000"/>
        </w:rPr>
        <w:t>万元，占比</w:t>
      </w:r>
      <w:r>
        <w:rPr>
          <w:rFonts w:ascii="仿宋_GB2312" w:hAnsi="宋体" w:eastAsia="仿宋_GB2312" w:cs="仿宋_GB2312"/>
          <w:sz w:val="32"/>
          <w:szCs w:val="32"/>
          <w:u w:color="000000"/>
        </w:rPr>
        <w:t>5.75%</w:t>
      </w:r>
      <w:r>
        <w:rPr>
          <w:rFonts w:hint="eastAsia" w:ascii="仿宋_GB2312" w:hAnsi="宋体" w:eastAsia="仿宋_GB2312" w:cs="仿宋_GB2312"/>
          <w:sz w:val="32"/>
          <w:szCs w:val="32"/>
          <w:u w:color="000000"/>
        </w:rPr>
        <w:t>；住房保障支出</w:t>
      </w:r>
      <w:r>
        <w:rPr>
          <w:rFonts w:ascii="仿宋_GB2312" w:eastAsia="仿宋_GB2312" w:cs="仿宋_GB2312"/>
          <w:sz w:val="32"/>
          <w:szCs w:val="32"/>
        </w:rPr>
        <w:t>1.39</w:t>
      </w:r>
      <w:r>
        <w:rPr>
          <w:rFonts w:hint="eastAsia" w:ascii="仿宋_GB2312" w:hAnsi="宋体" w:eastAsia="仿宋_GB2312" w:cs="仿宋_GB2312"/>
          <w:sz w:val="32"/>
          <w:szCs w:val="32"/>
          <w:u w:color="000000"/>
        </w:rPr>
        <w:t>万元，占比</w:t>
      </w:r>
      <w:r>
        <w:rPr>
          <w:rFonts w:ascii="仿宋_GB2312" w:hAnsi="宋体" w:eastAsia="仿宋_GB2312" w:cs="仿宋_GB2312"/>
          <w:sz w:val="32"/>
          <w:szCs w:val="32"/>
          <w:u w:color="000000"/>
        </w:rPr>
        <w:t>1.53%</w:t>
      </w:r>
      <w:r>
        <w:rPr>
          <w:rFonts w:hint="eastAsia" w:ascii="仿宋_GB2312" w:hAnsi="宋体" w:eastAsia="仿宋_GB2312" w:cs="仿宋_GB2312"/>
          <w:sz w:val="32"/>
          <w:szCs w:val="32"/>
          <w:u w:color="000000"/>
        </w:rPr>
        <w:t>。具</w:t>
      </w:r>
      <w:r>
        <w:rPr>
          <w:rFonts w:hint="eastAsia" w:ascii="仿宋_GB2312" w:hAnsi="宋体" w:eastAsia="仿宋_GB2312" w:cs="仿宋_GB2312"/>
          <w:color w:val="auto"/>
          <w:sz w:val="32"/>
          <w:szCs w:val="32"/>
          <w:u w:color="000000"/>
        </w:rPr>
        <w:t>体决算支出详见附件</w:t>
      </w:r>
      <w:r>
        <w:rPr>
          <w:rFonts w:ascii="仿宋_GB2312" w:hAnsi="宋体" w:eastAsia="仿宋_GB2312" w:cs="仿宋_GB2312"/>
          <w:color w:val="auto"/>
          <w:sz w:val="32"/>
          <w:szCs w:val="32"/>
          <w:u w:color="000000"/>
        </w:rPr>
        <w:t>2</w:t>
      </w:r>
      <w:r>
        <w:rPr>
          <w:rFonts w:hint="eastAsia" w:ascii="仿宋_GB2312" w:hAnsi="宋体" w:eastAsia="仿宋_GB2312" w:cs="仿宋_GB2312"/>
          <w:color w:val="auto"/>
          <w:sz w:val="32"/>
          <w:szCs w:val="32"/>
          <w:u w:color="000000"/>
        </w:rPr>
        <w:t>。</w:t>
      </w:r>
    </w:p>
    <w:p w14:paraId="6F982307">
      <w:pPr>
        <w:spacing w:after="0" w:line="360" w:lineRule="auto"/>
        <w:ind w:firstLine="640" w:firstLineChars="200"/>
        <w:jc w:val="both"/>
        <w:rPr>
          <w:rFonts w:ascii="仿宋_GB2312" w:hAnsi="宋体" w:eastAsia="仿宋_GB2312"/>
          <w:color w:val="FF0000"/>
          <w:sz w:val="32"/>
          <w:szCs w:val="32"/>
          <w:u w:color="000000"/>
        </w:rPr>
      </w:pPr>
      <w:r>
        <w:rPr>
          <w:rFonts w:hint="eastAsia" w:ascii="仿宋_GB2312" w:hAnsi="宋体" w:eastAsia="仿宋_GB2312" w:cs="仿宋_GB2312"/>
          <w:color w:val="FF0000"/>
          <w:sz w:val="32"/>
          <w:szCs w:val="32"/>
          <w:u w:color="000000"/>
        </w:rPr>
        <w:t xml:space="preserve"> </w:t>
      </w:r>
      <w:r>
        <w:rPr>
          <w:rFonts w:ascii="仿宋_GB2312" w:hAnsi="宋体" w:eastAsia="仿宋_GB2312" w:cs="仿宋_GB2312"/>
          <w:color w:val="FF0000"/>
          <w:sz w:val="32"/>
          <w:szCs w:val="32"/>
          <w:u w:color="000000"/>
        </w:rPr>
        <w:t xml:space="preserve">                                                                                                                                                                                                                                 </w:t>
      </w:r>
    </w:p>
    <w:p w14:paraId="3A93FA17">
      <w:pPr>
        <w:spacing w:after="0" w:line="360" w:lineRule="auto"/>
        <w:ind w:firstLine="643" w:firstLineChars="200"/>
        <w:jc w:val="both"/>
        <w:rPr>
          <w:rFonts w:ascii="仿宋_GB2312" w:hAnsi="宋体" w:eastAsia="仿宋_GB2312"/>
          <w:sz w:val="32"/>
          <w:szCs w:val="32"/>
          <w:u w:color="000000"/>
        </w:rPr>
      </w:pPr>
      <w:r>
        <w:rPr>
          <w:rFonts w:hint="eastAsia" w:ascii="宋体" w:hAnsi="宋体" w:eastAsia="宋体" w:cs="宋体"/>
          <w:b/>
          <w:bCs/>
          <w:sz w:val="32"/>
          <w:szCs w:val="32"/>
          <w:u w:color="000000"/>
        </w:rPr>
        <w:t>图</w:t>
      </w:r>
      <w:r>
        <w:rPr>
          <w:rFonts w:ascii="宋体" w:hAnsi="宋体" w:eastAsia="宋体" w:cs="宋体"/>
          <w:b/>
          <w:bCs/>
          <w:sz w:val="32"/>
          <w:szCs w:val="32"/>
          <w:u w:color="000000"/>
        </w:rPr>
        <w:t xml:space="preserve">3  </w:t>
      </w:r>
      <w:r>
        <w:rPr>
          <w:rFonts w:cs="仿宋_GB2312" w:asciiTheme="minorEastAsia" w:hAnsiTheme="minorEastAsia" w:eastAsiaTheme="minorEastAsia"/>
          <w:b/>
          <w:sz w:val="32"/>
          <w:szCs w:val="32"/>
        </w:rPr>
        <w:t>2021</w:t>
      </w:r>
      <w:r>
        <w:rPr>
          <w:rFonts w:hint="eastAsia" w:cs="仿宋_GB2312" w:asciiTheme="minorEastAsia" w:hAnsiTheme="minorEastAsia" w:eastAsiaTheme="minorEastAsia"/>
          <w:b/>
          <w:sz w:val="32"/>
          <w:szCs w:val="32"/>
        </w:rPr>
        <w:t>年度区总工会单位</w:t>
      </w:r>
      <w:r>
        <w:rPr>
          <w:rFonts w:hint="eastAsia" w:ascii="宋体" w:hAnsi="宋体" w:eastAsia="宋体" w:cs="宋体"/>
          <w:b/>
          <w:bCs/>
          <w:sz w:val="32"/>
          <w:szCs w:val="32"/>
          <w:u w:color="000000"/>
        </w:rPr>
        <w:t>决算支出结构图</w:t>
      </w:r>
    </w:p>
    <w:p w14:paraId="62EAD9E9">
      <w:pPr>
        <w:spacing w:after="0" w:line="360" w:lineRule="auto"/>
        <w:jc w:val="both"/>
        <w:rPr>
          <w:rFonts w:ascii="宋体" w:hAnsi="宋体" w:eastAsia="宋体"/>
          <w:b/>
          <w:bCs/>
          <w:sz w:val="32"/>
          <w:szCs w:val="32"/>
          <w:u w:color="000000"/>
        </w:rPr>
      </w:pPr>
      <w:r>
        <w:rPr>
          <w:sz w:val="22"/>
        </w:rPr>
        <mc:AlternateContent>
          <mc:Choice Requires="wps">
            <w:drawing>
              <wp:anchor distT="0" distB="0" distL="114300" distR="114300" simplePos="0" relativeHeight="251662336" behindDoc="0" locked="0" layoutInCell="1" allowOverlap="1">
                <wp:simplePos x="0" y="0"/>
                <wp:positionH relativeFrom="column">
                  <wp:posOffset>3950970</wp:posOffset>
                </wp:positionH>
                <wp:positionV relativeFrom="paragraph">
                  <wp:posOffset>518160</wp:posOffset>
                </wp:positionV>
                <wp:extent cx="995680" cy="381000"/>
                <wp:effectExtent l="0" t="0" r="13970" b="0"/>
                <wp:wrapNone/>
                <wp:docPr id="13" name="文本框 13"/>
                <wp:cNvGraphicFramePr/>
                <a:graphic xmlns:a="http://schemas.openxmlformats.org/drawingml/2006/main">
                  <a:graphicData uri="http://schemas.microsoft.com/office/word/2010/wordprocessingShape">
                    <wps:wsp>
                      <wps:cNvSpPr txBox="1"/>
                      <wps:spPr>
                        <a:xfrm>
                          <a:off x="5092065" y="4594860"/>
                          <a:ext cx="99568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C35DEF9">
                            <w:pPr>
                              <w:rPr>
                                <w:rFonts w:hint="default" w:eastAsia="微软雅黑"/>
                                <w:lang w:val="en-US" w:eastAsia="zh-CN"/>
                              </w:rPr>
                            </w:pPr>
                            <w:r>
                              <w:rPr>
                                <w:rFonts w:hint="eastAsia"/>
                                <w:lang w:val="en-US" w:eastAsia="zh-CN"/>
                              </w:rPr>
                              <w:t>单位：万元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1pt;margin-top:40.8pt;height:30pt;width:78.4pt;z-index:251662336;mso-width-relative:page;mso-height-relative:page;" fillcolor="#FFFFFF [3201]" filled="t" stroked="f" coordsize="21600,21600" o:gfxdata="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EIQbv&#10;1QAAAAoBAAAPAAAAAAAAAAEAIAAAACIAAABkcnMvZG93bnJldi54bWxQSwECFAAUAAAACACHTuJA&#10;Q+yop10CAACcBAAADgAAAAAAAAABACAAAAAkAQAAZHJzL2Uyb0RvYy54bWxQSwUGAAAAAAYABgBZ&#10;AQAA8wUAAAAA&#10;">
                <v:fill on="t" focussize="0,0"/>
                <v:stroke on="f" weight="0.5pt"/>
                <v:imagedata o:title=""/>
                <o:lock v:ext="edit" aspectratio="f"/>
                <v:textbox>
                  <w:txbxContent>
                    <w:p w14:paraId="6C35DEF9">
                      <w:pPr>
                        <w:rPr>
                          <w:rFonts w:hint="default" w:eastAsia="微软雅黑"/>
                          <w:lang w:val="en-US" w:eastAsia="zh-CN"/>
                        </w:rPr>
                      </w:pPr>
                      <w:r>
                        <w:rPr>
                          <w:rFonts w:hint="eastAsia"/>
                          <w:lang w:val="en-US" w:eastAsia="zh-CN"/>
                        </w:rPr>
                        <w:t>单位：万元</w:t>
                      </w:r>
                    </w:p>
                  </w:txbxContent>
                </v:textbox>
              </v:shape>
            </w:pict>
          </mc:Fallback>
        </mc:AlternateContent>
      </w:r>
      <w:r>
        <w:drawing>
          <wp:inline distT="0" distB="0" distL="114300" distR="114300">
            <wp:extent cx="5095875" cy="3819525"/>
            <wp:effectExtent l="0" t="0" r="9525" b="9525"/>
            <wp:docPr id="12" name="图片 12" descr="2021年度决算支出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年度决算支出结构图"/>
                    <pic:cNvPicPr>
                      <a:picLocks noChangeAspect="1"/>
                    </pic:cNvPicPr>
                  </pic:nvPicPr>
                  <pic:blipFill>
                    <a:blip r:embed="rId9"/>
                    <a:stretch>
                      <a:fillRect/>
                    </a:stretch>
                  </pic:blipFill>
                  <pic:spPr>
                    <a:xfrm>
                      <a:off x="0" y="0"/>
                      <a:ext cx="5095875" cy="3819525"/>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3851910</wp:posOffset>
                </wp:positionH>
                <wp:positionV relativeFrom="paragraph">
                  <wp:posOffset>-3511550</wp:posOffset>
                </wp:positionV>
                <wp:extent cx="885190" cy="295275"/>
                <wp:effectExtent l="11430" t="12700" r="8255" b="6350"/>
                <wp:wrapNone/>
                <wp:docPr id="3" name="Text Box 6"/>
                <wp:cNvGraphicFramePr/>
                <a:graphic xmlns:a="http://schemas.openxmlformats.org/drawingml/2006/main">
                  <a:graphicData uri="http://schemas.microsoft.com/office/word/2010/wordprocessingShape">
                    <wps:wsp>
                      <wps:cNvSpPr txBox="1">
                        <a:spLocks noChangeArrowheads="1"/>
                      </wps:cNvSpPr>
                      <wps:spPr bwMode="auto">
                        <a:xfrm>
                          <a:off x="0" y="0"/>
                          <a:ext cx="885190" cy="295275"/>
                        </a:xfrm>
                        <a:prstGeom prst="rect">
                          <a:avLst/>
                        </a:prstGeom>
                        <a:solidFill>
                          <a:srgbClr val="FFFFFF"/>
                        </a:solidFill>
                        <a:ln w="6350">
                          <a:solidFill>
                            <a:srgbClr val="FFFFFF"/>
                          </a:solidFill>
                          <a:round/>
                        </a:ln>
                      </wps:spPr>
                      <wps:txbx>
                        <w:txbxContent>
                          <w:p w14:paraId="39300969">
                            <w:pPr>
                              <w:rPr>
                                <w:rFonts w:eastAsia="宋体"/>
                              </w:rPr>
                            </w:pPr>
                            <w:r>
                              <w:rPr>
                                <w:rFonts w:hint="eastAsia" w:cs="微软雅黑"/>
                                <w:sz w:val="18"/>
                                <w:szCs w:val="18"/>
                              </w:rPr>
                              <w:t>单位：万元</w:t>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303.3pt;margin-top:-276.5pt;height:23.25pt;width:69.7pt;z-index:251660288;mso-width-relative:page;mso-height-relative:page;" fillcolor="#FFFFFF" filled="t" stroked="t" coordsize="21600,21600" o:gfxdata="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sV2OtoAAAANAQAADwAAAAAAAAABACAAAAAiAAAAZHJzL2Rvd25yZXYueG1sUEsBAhQAFAAA&#10;AAgAh07iQNntyqomAgAAeAQAAA4AAAAAAAAAAQAgAAAAKQEAAGRycy9lMm9Eb2MueG1sUEsFBgAA&#10;AAAGAAYAWQEAAMEFAAAAAA==&#10;">
                <v:fill on="t" focussize="0,0"/>
                <v:stroke weight="0.5pt" color="#FFFFFF" joinstyle="round"/>
                <v:imagedata o:title=""/>
                <o:lock v:ext="edit" aspectratio="f"/>
                <v:textbox>
                  <w:txbxContent>
                    <w:p w14:paraId="39300969">
                      <w:pPr>
                        <w:rPr>
                          <w:rFonts w:eastAsia="宋体"/>
                        </w:rPr>
                      </w:pPr>
                      <w:r>
                        <w:rPr>
                          <w:rFonts w:hint="eastAsia" w:cs="微软雅黑"/>
                          <w:sz w:val="18"/>
                          <w:szCs w:val="18"/>
                        </w:rPr>
                        <w:t>单位：万元</w:t>
                      </w:r>
                    </w:p>
                  </w:txbxContent>
                </v:textbox>
              </v:shape>
            </w:pict>
          </mc:Fallback>
        </mc:AlternateContent>
      </w:r>
    </w:p>
    <w:p w14:paraId="1897878C">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财政拨款决算支出比年初预算减少</w:t>
      </w:r>
      <w:r>
        <w:rPr>
          <w:rFonts w:ascii="仿宋_GB2312" w:eastAsia="仿宋_GB2312" w:cs="仿宋_GB2312"/>
          <w:sz w:val="32"/>
          <w:szCs w:val="32"/>
        </w:rPr>
        <w:t>36.04</w:t>
      </w:r>
      <w:r>
        <w:rPr>
          <w:rFonts w:hint="eastAsia" w:ascii="仿宋_GB2312" w:eastAsia="仿宋_GB2312" w:cs="仿宋_GB2312"/>
          <w:sz w:val="32"/>
          <w:szCs w:val="32"/>
        </w:rPr>
        <w:t>万元。</w:t>
      </w:r>
    </w:p>
    <w:p w14:paraId="3E1E8594">
      <w:pPr>
        <w:spacing w:after="0" w:line="360" w:lineRule="auto"/>
        <w:ind w:firstLine="640" w:firstLineChars="200"/>
        <w:jc w:val="both"/>
        <w:rPr>
          <w:rFonts w:ascii="仿宋_GB2312" w:eastAsia="仿宋_GB2312"/>
          <w:color w:val="auto"/>
          <w:sz w:val="32"/>
          <w:szCs w:val="32"/>
        </w:rPr>
      </w:pPr>
      <w:r>
        <w:rPr>
          <w:rFonts w:hint="eastAsia" w:ascii="仿宋_GB2312" w:eastAsia="仿宋_GB2312" w:cs="仿宋_GB2312"/>
          <w:color w:val="auto"/>
          <w:sz w:val="32"/>
          <w:szCs w:val="32"/>
        </w:rPr>
        <w:t>预算支出与决算支出对比情况如图</w:t>
      </w:r>
      <w:r>
        <w:rPr>
          <w:rFonts w:ascii="仿宋_GB2312" w:eastAsia="仿宋_GB2312" w:cs="仿宋_GB2312"/>
          <w:color w:val="auto"/>
          <w:sz w:val="32"/>
          <w:szCs w:val="32"/>
        </w:rPr>
        <w:t>4</w:t>
      </w:r>
      <w:r>
        <w:rPr>
          <w:rFonts w:hint="eastAsia" w:ascii="仿宋_GB2312" w:eastAsia="仿宋_GB2312" w:cs="仿宋_GB2312"/>
          <w:color w:val="auto"/>
          <w:sz w:val="32"/>
          <w:szCs w:val="32"/>
        </w:rPr>
        <w:t>。</w:t>
      </w:r>
    </w:p>
    <w:p w14:paraId="54AB8327">
      <w:pPr>
        <w:spacing w:after="0" w:line="360" w:lineRule="auto"/>
        <w:jc w:val="center"/>
        <w:rPr>
          <w:rFonts w:ascii="宋体" w:hAnsi="宋体" w:eastAsia="宋体" w:cs="宋体"/>
          <w:b/>
          <w:bCs/>
          <w:sz w:val="32"/>
          <w:szCs w:val="32"/>
        </w:rPr>
      </w:pPr>
    </w:p>
    <w:p w14:paraId="78EF1B42">
      <w:pPr>
        <w:spacing w:after="0" w:line="360" w:lineRule="auto"/>
        <w:jc w:val="center"/>
        <w:rPr>
          <w:rFonts w:ascii="宋体" w:hAnsi="宋体" w:eastAsia="宋体" w:cs="宋体"/>
          <w:b/>
          <w:bCs/>
          <w:sz w:val="32"/>
          <w:szCs w:val="32"/>
        </w:rPr>
      </w:pPr>
    </w:p>
    <w:p w14:paraId="3E107A89">
      <w:pPr>
        <w:spacing w:after="0" w:line="360" w:lineRule="auto"/>
        <w:jc w:val="center"/>
        <w:rPr>
          <w:rFonts w:ascii="宋体" w:hAnsi="宋体" w:eastAsia="宋体" w:cs="宋体"/>
          <w:b/>
          <w:bCs/>
          <w:sz w:val="32"/>
          <w:szCs w:val="32"/>
        </w:rPr>
      </w:pPr>
    </w:p>
    <w:p w14:paraId="301F2A5C">
      <w:pPr>
        <w:spacing w:after="0" w:line="360" w:lineRule="auto"/>
        <w:jc w:val="center"/>
        <w:rPr>
          <w:rFonts w:ascii="宋体" w:hAnsi="宋体" w:eastAsia="宋体"/>
          <w:b/>
          <w:bCs/>
          <w:sz w:val="32"/>
          <w:szCs w:val="32"/>
        </w:rPr>
      </w:pPr>
      <w:r>
        <w:rPr>
          <w:rFonts w:hint="eastAsia" w:ascii="宋体" w:hAnsi="宋体" w:eastAsia="宋体" w:cs="宋体"/>
          <w:b/>
          <w:bCs/>
          <w:sz w:val="32"/>
          <w:szCs w:val="32"/>
        </w:rPr>
        <w:t>图</w:t>
      </w:r>
      <w:r>
        <w:rPr>
          <w:rFonts w:ascii="宋体" w:hAnsi="宋体" w:eastAsia="宋体" w:cs="宋体"/>
          <w:b/>
          <w:bCs/>
          <w:sz w:val="32"/>
          <w:szCs w:val="32"/>
        </w:rPr>
        <w:t xml:space="preserve">4  </w:t>
      </w:r>
      <w:r>
        <w:rPr>
          <w:rFonts w:cs="仿宋_GB2312" w:asciiTheme="majorEastAsia" w:hAnsiTheme="majorEastAsia" w:eastAsiaTheme="majorEastAsia"/>
          <w:b/>
          <w:sz w:val="32"/>
          <w:szCs w:val="32"/>
        </w:rPr>
        <w:t>2021</w:t>
      </w:r>
      <w:r>
        <w:rPr>
          <w:rFonts w:hint="eastAsia" w:cs="仿宋_GB2312" w:asciiTheme="majorEastAsia" w:hAnsiTheme="majorEastAsia" w:eastAsiaTheme="majorEastAsia"/>
          <w:b/>
          <w:sz w:val="32"/>
          <w:szCs w:val="32"/>
        </w:rPr>
        <w:t>年度区总工会单位</w:t>
      </w:r>
      <w:r>
        <w:rPr>
          <w:rFonts w:hint="eastAsia" w:ascii="宋体" w:hAnsi="宋体" w:eastAsia="宋体" w:cs="宋体"/>
          <w:b/>
          <w:bCs/>
          <w:sz w:val="32"/>
          <w:szCs w:val="32"/>
        </w:rPr>
        <w:t>预算支出与决算支出对比图</w:t>
      </w:r>
    </w:p>
    <w:p w14:paraId="7BF1C90D">
      <w:pPr>
        <w:spacing w:after="0" w:line="360" w:lineRule="auto"/>
        <w:jc w:val="center"/>
        <w:rPr>
          <w:rFonts w:ascii="宋体" w:hAnsi="宋体" w:eastAsia="宋体"/>
          <w:b/>
          <w:bCs/>
          <w:sz w:val="32"/>
          <w:szCs w:val="32"/>
        </w:rPr>
      </w:pPr>
      <w:r>
        <w:rPr>
          <w:sz w:val="22"/>
        </w:rPr>
        <mc:AlternateContent>
          <mc:Choice Requires="wps">
            <w:drawing>
              <wp:anchor distT="0" distB="0" distL="114300" distR="114300" simplePos="0" relativeHeight="251663360" behindDoc="0" locked="0" layoutInCell="1" allowOverlap="1">
                <wp:simplePos x="0" y="0"/>
                <wp:positionH relativeFrom="column">
                  <wp:posOffset>4236720</wp:posOffset>
                </wp:positionH>
                <wp:positionV relativeFrom="paragraph">
                  <wp:posOffset>91440</wp:posOffset>
                </wp:positionV>
                <wp:extent cx="978535" cy="339090"/>
                <wp:effectExtent l="0" t="0" r="12065" b="3810"/>
                <wp:wrapNone/>
                <wp:docPr id="15" name="文本框 15"/>
                <wp:cNvGraphicFramePr/>
                <a:graphic xmlns:a="http://schemas.openxmlformats.org/drawingml/2006/main">
                  <a:graphicData uri="http://schemas.microsoft.com/office/word/2010/wordprocessingShape">
                    <wps:wsp>
                      <wps:cNvSpPr txBox="1"/>
                      <wps:spPr>
                        <a:xfrm>
                          <a:off x="5455920" y="1857375"/>
                          <a:ext cx="978535" cy="339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D4BFBC">
                            <w:pPr>
                              <w:rPr>
                                <w:rFonts w:hint="default" w:eastAsia="微软雅黑"/>
                                <w:lang w:val="en-US" w:eastAsia="zh-CN"/>
                              </w:rPr>
                            </w:pPr>
                            <w:r>
                              <w:rPr>
                                <w:rFonts w:hint="eastAsia"/>
                                <w:lang w:val="en-US" w:eastAsia="zh-CN"/>
                              </w:rPr>
                              <w:t>单位：万元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6pt;margin-top:7.2pt;height:26.7pt;width:77.05pt;z-index:251663360;mso-width-relative:page;mso-height-relative:page;" fillcolor="#FFFFFF [3201]" filled="t" stroked="f" coordsize="21600,21600" o:gfxdata="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0+iNr&#10;1AAAAAkBAAAPAAAAAAAAAAEAIAAAACIAAABkcnMvZG93bnJldi54bWxQSwECFAAUAAAACACHTuJA&#10;4axxrF4CAACcBAAADgAAAAAAAAABACAAAAAjAQAAZHJzL2Uyb0RvYy54bWxQSwUGAAAAAAYABgBZ&#10;AQAA8wUAAAAA&#10;">
                <v:fill on="t" focussize="0,0"/>
                <v:stroke on="f" weight="0.5pt"/>
                <v:imagedata o:title=""/>
                <o:lock v:ext="edit" aspectratio="f"/>
                <v:textbox>
                  <w:txbxContent>
                    <w:p w14:paraId="24D4BFBC">
                      <w:pPr>
                        <w:rPr>
                          <w:rFonts w:hint="default" w:eastAsia="微软雅黑"/>
                          <w:lang w:val="en-US" w:eastAsia="zh-CN"/>
                        </w:rPr>
                      </w:pPr>
                      <w:r>
                        <w:rPr>
                          <w:rFonts w:hint="eastAsia"/>
                          <w:lang w:val="en-US" w:eastAsia="zh-CN"/>
                        </w:rPr>
                        <w:t>单位：万元</w:t>
                      </w:r>
                    </w:p>
                  </w:txbxContent>
                </v:textbox>
              </v:shape>
            </w:pict>
          </mc:Fallback>
        </mc:AlternateContent>
      </w:r>
      <w:r>
        <w:drawing>
          <wp:inline distT="0" distB="0" distL="114300" distR="114300">
            <wp:extent cx="5373370" cy="3602990"/>
            <wp:effectExtent l="0" t="0" r="17780" b="16510"/>
            <wp:docPr id="14" name="图片 14" descr="2021年度预算支出决算支出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1年度预算支出决算支出对比图"/>
                    <pic:cNvPicPr>
                      <a:picLocks noChangeAspect="1"/>
                    </pic:cNvPicPr>
                  </pic:nvPicPr>
                  <pic:blipFill>
                    <a:blip r:embed="rId10"/>
                    <a:stretch>
                      <a:fillRect/>
                    </a:stretch>
                  </pic:blipFill>
                  <pic:spPr>
                    <a:xfrm>
                      <a:off x="0" y="0"/>
                      <a:ext cx="5373370" cy="3602990"/>
                    </a:xfrm>
                    <a:prstGeom prst="rect">
                      <a:avLst/>
                    </a:prstGeom>
                  </pic:spPr>
                </pic:pic>
              </a:graphicData>
            </a:graphic>
          </wp:inline>
        </w:drawing>
      </w:r>
      <w:r>
        <mc:AlternateContent>
          <mc:Choice Requires="wps">
            <w:drawing>
              <wp:anchor distT="0" distB="0" distL="114300" distR="114300" simplePos="0" relativeHeight="251661312" behindDoc="0" locked="0" layoutInCell="1" allowOverlap="1">
                <wp:simplePos x="0" y="0"/>
                <wp:positionH relativeFrom="column">
                  <wp:posOffset>3737610</wp:posOffset>
                </wp:positionH>
                <wp:positionV relativeFrom="paragraph">
                  <wp:posOffset>-1192530</wp:posOffset>
                </wp:positionV>
                <wp:extent cx="885190" cy="295275"/>
                <wp:effectExtent l="11430" t="7620" r="8255" b="11430"/>
                <wp:wrapNone/>
                <wp:docPr id="1" name="Text Box 8"/>
                <wp:cNvGraphicFramePr/>
                <a:graphic xmlns:a="http://schemas.openxmlformats.org/drawingml/2006/main">
                  <a:graphicData uri="http://schemas.microsoft.com/office/word/2010/wordprocessingShape">
                    <wps:wsp>
                      <wps:cNvSpPr txBox="1">
                        <a:spLocks noChangeArrowheads="1"/>
                      </wps:cNvSpPr>
                      <wps:spPr bwMode="auto">
                        <a:xfrm>
                          <a:off x="0" y="0"/>
                          <a:ext cx="885190" cy="295275"/>
                        </a:xfrm>
                        <a:prstGeom prst="rect">
                          <a:avLst/>
                        </a:prstGeom>
                        <a:solidFill>
                          <a:srgbClr val="FFFFFF"/>
                        </a:solidFill>
                        <a:ln w="6350">
                          <a:solidFill>
                            <a:srgbClr val="FFFFFF"/>
                          </a:solidFill>
                          <a:round/>
                        </a:ln>
                      </wps:spPr>
                      <wps:txbx>
                        <w:txbxContent>
                          <w:p w14:paraId="1CB028D8">
                            <w:pPr>
                              <w:rPr>
                                <w:rFonts w:eastAsia="宋体"/>
                              </w:rPr>
                            </w:pP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294.3pt;margin-top:-93.9pt;height:23.25pt;width:69.7pt;z-index:251661312;mso-width-relative:page;mso-height-relative:page;" fillcolor="#FFFFFF" filled="t" stroked="t" coordsize="21600,21600" o:gfxdata="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F6lkdoAAAANAQAADwAAAAAAAAABACAAAAAiAAAAZHJzL2Rvd25yZXYueG1sUEsBAhQAFAAA&#10;AAgAh07iQIn7JJMmAgAAeAQAAA4AAAAAAAAAAQAgAAAAKQEAAGRycy9lMm9Eb2MueG1sUEsFBgAA&#10;AAAGAAYAWQEAAMEFAAAAAA==&#10;">
                <v:fill on="t" focussize="0,0"/>
                <v:stroke weight="0.5pt" color="#FFFFFF" joinstyle="round"/>
                <v:imagedata o:title=""/>
                <o:lock v:ext="edit" aspectratio="f"/>
                <v:textbox>
                  <w:txbxContent>
                    <w:p w14:paraId="1CB028D8">
                      <w:pPr>
                        <w:rPr>
                          <w:rFonts w:eastAsia="宋体"/>
                        </w:rPr>
                      </w:pPr>
                    </w:p>
                  </w:txbxContent>
                </v:textbox>
              </v:shape>
            </w:pict>
          </mc:Fallback>
        </mc:AlternateContent>
      </w:r>
    </w:p>
    <w:p w14:paraId="409B3A0B">
      <w:pPr>
        <w:pStyle w:val="3"/>
        <w:spacing w:before="0" w:after="0" w:line="360" w:lineRule="auto"/>
        <w:ind w:firstLine="643" w:firstLineChars="200"/>
        <w:rPr>
          <w:rFonts w:ascii="黑体" w:hAnsi="宋体" w:cs="Tahoma"/>
          <w:u w:color="000000"/>
        </w:rPr>
      </w:pPr>
      <w:bookmarkStart w:id="13" w:name="_Toc20454"/>
      <w:bookmarkStart w:id="14" w:name="_Toc492652770"/>
      <w:bookmarkStart w:id="15" w:name="_Toc465149504"/>
      <w:r>
        <w:rPr>
          <w:rFonts w:hint="eastAsia" w:ascii="黑体" w:cs="黑体"/>
        </w:rPr>
        <w:t>二、部门整体支出绩效评价指标体系设定情况</w:t>
      </w:r>
      <w:bookmarkEnd w:id="13"/>
      <w:bookmarkEnd w:id="14"/>
    </w:p>
    <w:p w14:paraId="50BC914C">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根据绩效预算管理改革的有关政策和文件规定，并与区总工会沟通，绩效评价工作组以绩效预算架构为指导，以部门预算文本及相关资料为基础，制定了部门整体支出绩效评价指标体系。</w:t>
      </w:r>
    </w:p>
    <w:p w14:paraId="0E091E4B">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部门整体支出绩效评价指标体系设置一级指标</w:t>
      </w:r>
      <w:r>
        <w:rPr>
          <w:rFonts w:ascii="仿宋_GB2312" w:eastAsia="仿宋_GB2312" w:cs="仿宋_GB2312"/>
          <w:sz w:val="32"/>
          <w:szCs w:val="32"/>
        </w:rPr>
        <w:t>4</w:t>
      </w:r>
      <w:r>
        <w:rPr>
          <w:rFonts w:hint="eastAsia" w:ascii="仿宋_GB2312" w:eastAsia="仿宋_GB2312" w:cs="仿宋_GB2312"/>
          <w:sz w:val="32"/>
          <w:szCs w:val="32"/>
        </w:rPr>
        <w:t>个，二级指标</w:t>
      </w:r>
      <w:r>
        <w:rPr>
          <w:rFonts w:ascii="仿宋_GB2312" w:eastAsia="仿宋_GB2312" w:cs="仿宋_GB2312"/>
          <w:sz w:val="32"/>
          <w:szCs w:val="32"/>
        </w:rPr>
        <w:t>7</w:t>
      </w:r>
      <w:r>
        <w:rPr>
          <w:rFonts w:hint="eastAsia" w:ascii="仿宋_GB2312" w:eastAsia="仿宋_GB2312" w:cs="仿宋_GB2312"/>
          <w:sz w:val="32"/>
          <w:szCs w:val="32"/>
        </w:rPr>
        <w:t>个，三级指标</w:t>
      </w:r>
      <w:r>
        <w:rPr>
          <w:rFonts w:ascii="仿宋_GB2312" w:eastAsia="仿宋_GB2312" w:cs="仿宋_GB2312"/>
          <w:sz w:val="32"/>
          <w:szCs w:val="32"/>
        </w:rPr>
        <w:t>27</w:t>
      </w:r>
      <w:r>
        <w:rPr>
          <w:rFonts w:hint="eastAsia" w:ascii="仿宋_GB2312" w:eastAsia="仿宋_GB2312" w:cs="仿宋_GB2312"/>
          <w:sz w:val="32"/>
          <w:szCs w:val="32"/>
        </w:rPr>
        <w:t>个（详见附件</w:t>
      </w:r>
      <w:r>
        <w:rPr>
          <w:rFonts w:ascii="仿宋_GB2312" w:eastAsia="仿宋_GB2312" w:cs="仿宋_GB2312"/>
          <w:sz w:val="32"/>
          <w:szCs w:val="32"/>
        </w:rPr>
        <w:t>3</w:t>
      </w:r>
      <w:r>
        <w:rPr>
          <w:rFonts w:hint="eastAsia" w:ascii="仿宋_GB2312" w:eastAsia="仿宋_GB2312" w:cs="仿宋_GB2312"/>
          <w:sz w:val="32"/>
          <w:szCs w:val="32"/>
        </w:rPr>
        <w:t>）。指标体系设定满分</w:t>
      </w:r>
      <w:r>
        <w:rPr>
          <w:rFonts w:ascii="仿宋_GB2312" w:eastAsia="仿宋_GB2312" w:cs="仿宋_GB2312"/>
          <w:sz w:val="32"/>
          <w:szCs w:val="32"/>
        </w:rPr>
        <w:t>100</w:t>
      </w:r>
      <w:r>
        <w:rPr>
          <w:rFonts w:hint="eastAsia" w:ascii="仿宋_GB2312" w:eastAsia="仿宋_GB2312" w:cs="仿宋_GB2312"/>
          <w:sz w:val="32"/>
          <w:szCs w:val="32"/>
        </w:rPr>
        <w:t>分，绩效评价分值≥</w:t>
      </w:r>
      <w:r>
        <w:rPr>
          <w:rFonts w:ascii="仿宋_GB2312" w:eastAsia="仿宋_GB2312" w:cs="仿宋_GB2312"/>
          <w:sz w:val="32"/>
          <w:szCs w:val="32"/>
        </w:rPr>
        <w:t>90</w:t>
      </w:r>
      <w:r>
        <w:rPr>
          <w:rFonts w:hint="eastAsia" w:ascii="仿宋_GB2312" w:eastAsia="仿宋_GB2312" w:cs="仿宋_GB2312"/>
          <w:sz w:val="32"/>
          <w:szCs w:val="32"/>
        </w:rPr>
        <w:t>为“优”；</w:t>
      </w:r>
      <w:r>
        <w:rPr>
          <w:rFonts w:ascii="仿宋_GB2312" w:eastAsia="仿宋_GB2312" w:cs="仿宋_GB2312"/>
          <w:sz w:val="32"/>
          <w:szCs w:val="32"/>
        </w:rPr>
        <w:t>80</w:t>
      </w:r>
      <w:r>
        <w:rPr>
          <w:rFonts w:hint="eastAsia" w:ascii="仿宋_GB2312" w:eastAsia="仿宋_GB2312" w:cs="仿宋_GB2312"/>
          <w:sz w:val="32"/>
          <w:szCs w:val="32"/>
        </w:rPr>
        <w:t>≤分值＜</w:t>
      </w:r>
      <w:r>
        <w:rPr>
          <w:rFonts w:ascii="仿宋_GB2312" w:eastAsia="仿宋_GB2312" w:cs="仿宋_GB2312"/>
          <w:sz w:val="32"/>
          <w:szCs w:val="32"/>
        </w:rPr>
        <w:t>90</w:t>
      </w:r>
      <w:r>
        <w:rPr>
          <w:rFonts w:hint="eastAsia" w:ascii="仿宋_GB2312" w:eastAsia="仿宋_GB2312" w:cs="仿宋_GB2312"/>
          <w:sz w:val="32"/>
          <w:szCs w:val="32"/>
        </w:rPr>
        <w:t>为“良”；</w:t>
      </w:r>
      <w:r>
        <w:rPr>
          <w:rFonts w:ascii="仿宋_GB2312" w:eastAsia="仿宋_GB2312" w:cs="仿宋_GB2312"/>
          <w:sz w:val="32"/>
          <w:szCs w:val="32"/>
        </w:rPr>
        <w:t>60</w:t>
      </w:r>
      <w:r>
        <w:rPr>
          <w:rFonts w:hint="eastAsia" w:ascii="仿宋_GB2312" w:eastAsia="仿宋_GB2312" w:cs="仿宋_GB2312"/>
          <w:sz w:val="32"/>
          <w:szCs w:val="32"/>
        </w:rPr>
        <w:t>≤分值＜</w:t>
      </w:r>
      <w:r>
        <w:rPr>
          <w:rFonts w:ascii="仿宋_GB2312" w:eastAsia="仿宋_GB2312" w:cs="仿宋_GB2312"/>
          <w:sz w:val="32"/>
          <w:szCs w:val="32"/>
        </w:rPr>
        <w:t>80</w:t>
      </w:r>
      <w:r>
        <w:rPr>
          <w:rFonts w:hint="eastAsia" w:ascii="仿宋_GB2312" w:eastAsia="仿宋_GB2312" w:cs="仿宋_GB2312"/>
          <w:sz w:val="32"/>
          <w:szCs w:val="32"/>
        </w:rPr>
        <w:t>为“中”；</w:t>
      </w:r>
      <w:r>
        <w:rPr>
          <w:rFonts w:ascii="仿宋_GB2312" w:eastAsia="仿宋_GB2312" w:cs="仿宋_GB2312"/>
          <w:sz w:val="32"/>
          <w:szCs w:val="32"/>
        </w:rPr>
        <w:t>60</w:t>
      </w:r>
      <w:r>
        <w:rPr>
          <w:rFonts w:hint="eastAsia" w:ascii="仿宋_GB2312" w:eastAsia="仿宋_GB2312" w:cs="仿宋_GB2312"/>
          <w:sz w:val="32"/>
          <w:szCs w:val="32"/>
        </w:rPr>
        <w:t>分以下为“差”。评价指标体系具体构成如下：</w:t>
      </w:r>
      <w:bookmarkStart w:id="16" w:name="_Toc9569"/>
      <w:bookmarkStart w:id="17" w:name="_Toc492652771"/>
    </w:p>
    <w:p w14:paraId="3B9B2753">
      <w:pPr>
        <w:spacing w:after="0" w:line="360" w:lineRule="auto"/>
        <w:ind w:firstLine="643" w:firstLineChars="200"/>
        <w:jc w:val="both"/>
        <w:rPr>
          <w:rFonts w:ascii="楷体_GB2312" w:hAnsi="宋体" w:eastAsia="楷体_GB2312"/>
          <w:b/>
          <w:bCs/>
          <w:kern w:val="2"/>
          <w:sz w:val="32"/>
          <w:szCs w:val="32"/>
          <w:u w:color="000000"/>
        </w:rPr>
      </w:pPr>
    </w:p>
    <w:p w14:paraId="7A39D7A2">
      <w:pPr>
        <w:spacing w:after="0" w:line="360" w:lineRule="auto"/>
        <w:ind w:firstLine="643" w:firstLineChars="200"/>
        <w:jc w:val="both"/>
        <w:rPr>
          <w:rFonts w:ascii="楷体_GB2312" w:hAnsi="宋体" w:eastAsia="楷体_GB2312"/>
          <w:b/>
          <w:bCs/>
          <w:kern w:val="2"/>
          <w:sz w:val="32"/>
          <w:szCs w:val="32"/>
          <w:u w:color="000000"/>
        </w:rPr>
      </w:pPr>
    </w:p>
    <w:p w14:paraId="32F27DCA">
      <w:pPr>
        <w:spacing w:after="0" w:line="360" w:lineRule="auto"/>
        <w:ind w:firstLine="643" w:firstLineChars="200"/>
        <w:jc w:val="both"/>
        <w:rPr>
          <w:rFonts w:ascii="楷体_GB2312" w:hAnsi="宋体" w:eastAsia="楷体_GB2312"/>
          <w:b/>
          <w:bCs/>
          <w:kern w:val="2"/>
          <w:sz w:val="32"/>
          <w:szCs w:val="32"/>
          <w:u w:color="000000"/>
        </w:rPr>
      </w:pPr>
      <w:r>
        <w:rPr>
          <w:rFonts w:hint="eastAsia" w:ascii="楷体_GB2312" w:hAnsi="宋体" w:eastAsia="楷体_GB2312" w:cs="楷体_GB2312"/>
          <w:b/>
          <w:bCs/>
          <w:kern w:val="2"/>
          <w:sz w:val="32"/>
          <w:szCs w:val="32"/>
          <w:u w:color="000000"/>
        </w:rPr>
        <w:t>（一）投入（</w:t>
      </w:r>
      <w:r>
        <w:rPr>
          <w:rFonts w:ascii="楷体_GB2312" w:hAnsi="宋体" w:eastAsia="楷体_GB2312" w:cs="楷体_GB2312"/>
          <w:b/>
          <w:bCs/>
          <w:kern w:val="2"/>
          <w:sz w:val="32"/>
          <w:szCs w:val="32"/>
          <w:u w:color="000000"/>
        </w:rPr>
        <w:t>12</w:t>
      </w:r>
      <w:r>
        <w:rPr>
          <w:rFonts w:hint="eastAsia" w:ascii="楷体_GB2312" w:hAnsi="宋体" w:eastAsia="楷体_GB2312" w:cs="楷体_GB2312"/>
          <w:b/>
          <w:bCs/>
          <w:kern w:val="2"/>
          <w:sz w:val="32"/>
          <w:szCs w:val="32"/>
          <w:u w:color="000000"/>
        </w:rPr>
        <w:t>分）</w:t>
      </w:r>
      <w:bookmarkEnd w:id="16"/>
      <w:bookmarkEnd w:id="17"/>
    </w:p>
    <w:p w14:paraId="24AC8395">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主要反映绩效目标设定是否合理、科学，绩效指标的制定是否清晰、可衡量，预算编制是否完整，项目预算是否细化及在职人员控制情况。</w:t>
      </w:r>
    </w:p>
    <w:p w14:paraId="10113A12">
      <w:pPr>
        <w:keepNext/>
        <w:widowControl w:val="0"/>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投入指标指标分值为</w:t>
      </w:r>
      <w:r>
        <w:rPr>
          <w:rFonts w:ascii="仿宋_GB2312" w:eastAsia="仿宋_GB2312" w:cs="仿宋_GB2312"/>
          <w:sz w:val="32"/>
          <w:szCs w:val="32"/>
        </w:rPr>
        <w:t>12</w:t>
      </w:r>
      <w:r>
        <w:rPr>
          <w:rFonts w:hint="eastAsia" w:ascii="仿宋_GB2312" w:eastAsia="仿宋_GB2312" w:cs="仿宋_GB2312"/>
          <w:sz w:val="32"/>
          <w:szCs w:val="32"/>
        </w:rPr>
        <w:t>分，下设</w:t>
      </w:r>
      <w:r>
        <w:rPr>
          <w:rFonts w:ascii="仿宋_GB2312" w:eastAsia="仿宋_GB2312" w:cs="仿宋_GB2312"/>
          <w:sz w:val="32"/>
          <w:szCs w:val="32"/>
        </w:rPr>
        <w:t>2</w:t>
      </w:r>
      <w:r>
        <w:rPr>
          <w:rFonts w:hint="eastAsia" w:ascii="仿宋_GB2312" w:eastAsia="仿宋_GB2312" w:cs="仿宋_GB2312"/>
          <w:sz w:val="32"/>
          <w:szCs w:val="32"/>
        </w:rPr>
        <w:t>个二级指标：绩效目标设定和预算配置，</w:t>
      </w:r>
      <w:r>
        <w:rPr>
          <w:rFonts w:ascii="仿宋_GB2312" w:eastAsia="仿宋_GB2312" w:cs="仿宋_GB2312"/>
          <w:sz w:val="32"/>
          <w:szCs w:val="32"/>
        </w:rPr>
        <w:t>6</w:t>
      </w:r>
      <w:r>
        <w:rPr>
          <w:rFonts w:hint="eastAsia" w:ascii="仿宋_GB2312" w:eastAsia="仿宋_GB2312" w:cs="仿宋_GB2312"/>
          <w:sz w:val="32"/>
          <w:szCs w:val="32"/>
        </w:rPr>
        <w:t>个三级指标：绩效目标合理性、绩效目标科学性、绩效指标明确性、预算编制完整性、项目预算细化率、在职人员控制率。</w:t>
      </w:r>
    </w:p>
    <w:p w14:paraId="158F7F30">
      <w:pPr>
        <w:pStyle w:val="4"/>
        <w:spacing w:before="0" w:after="0"/>
        <w:ind w:firstLine="643" w:firstLineChars="200"/>
        <w:jc w:val="both"/>
        <w:rPr>
          <w:rFonts w:ascii="楷体" w:hAnsi="楷体" w:eastAsia="楷体" w:cs="Tahoma"/>
          <w:sz w:val="32"/>
          <w:szCs w:val="32"/>
        </w:rPr>
      </w:pPr>
      <w:bookmarkStart w:id="18" w:name="_Toc492652772"/>
      <w:bookmarkStart w:id="19" w:name="_Toc30221"/>
      <w:r>
        <w:rPr>
          <w:rFonts w:hint="eastAsia" w:ascii="楷体" w:hAnsi="楷体" w:eastAsia="楷体" w:cs="楷体"/>
          <w:kern w:val="2"/>
          <w:sz w:val="32"/>
          <w:szCs w:val="32"/>
        </w:rPr>
        <w:t>（二）过程（</w:t>
      </w:r>
      <w:r>
        <w:rPr>
          <w:rFonts w:ascii="楷体" w:hAnsi="楷体" w:eastAsia="楷体" w:cs="楷体"/>
          <w:kern w:val="2"/>
          <w:sz w:val="32"/>
          <w:szCs w:val="32"/>
        </w:rPr>
        <w:t>48</w:t>
      </w:r>
      <w:r>
        <w:rPr>
          <w:rFonts w:hint="eastAsia" w:ascii="楷体" w:hAnsi="楷体" w:eastAsia="楷体" w:cs="楷体"/>
          <w:kern w:val="2"/>
          <w:sz w:val="32"/>
          <w:szCs w:val="32"/>
        </w:rPr>
        <w:t>分）</w:t>
      </w:r>
      <w:bookmarkEnd w:id="18"/>
      <w:bookmarkEnd w:id="19"/>
    </w:p>
    <w:p w14:paraId="5396F6A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主要反映预算调整、收入及支出完成情况，“三公”经费、政府采购执行情况，财务管理是否规范、资金使用是否合规，决算真实性。</w:t>
      </w:r>
    </w:p>
    <w:p w14:paraId="7B96315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过程指标指标分值为</w:t>
      </w:r>
      <w:r>
        <w:rPr>
          <w:rFonts w:ascii="仿宋_GB2312" w:eastAsia="仿宋_GB2312" w:cs="仿宋_GB2312"/>
          <w:sz w:val="32"/>
          <w:szCs w:val="32"/>
        </w:rPr>
        <w:t>48</w:t>
      </w:r>
      <w:r>
        <w:rPr>
          <w:rFonts w:hint="eastAsia" w:ascii="仿宋_GB2312" w:eastAsia="仿宋_GB2312" w:cs="仿宋_GB2312"/>
          <w:sz w:val="32"/>
          <w:szCs w:val="32"/>
        </w:rPr>
        <w:t>分，下设</w:t>
      </w:r>
      <w:r>
        <w:rPr>
          <w:rFonts w:ascii="仿宋_GB2312" w:eastAsia="仿宋_GB2312" w:cs="仿宋_GB2312"/>
          <w:sz w:val="32"/>
          <w:szCs w:val="32"/>
        </w:rPr>
        <w:t>3</w:t>
      </w:r>
      <w:r>
        <w:rPr>
          <w:rFonts w:hint="eastAsia" w:ascii="仿宋_GB2312" w:eastAsia="仿宋_GB2312" w:cs="仿宋_GB2312"/>
          <w:sz w:val="32"/>
          <w:szCs w:val="32"/>
        </w:rPr>
        <w:t>个二级指标：预算执行、预算管理和绩效评价，</w:t>
      </w:r>
      <w:r>
        <w:rPr>
          <w:rFonts w:ascii="仿宋_GB2312" w:eastAsia="仿宋_GB2312" w:cs="仿宋_GB2312"/>
          <w:sz w:val="32"/>
          <w:szCs w:val="32"/>
        </w:rPr>
        <w:t>14</w:t>
      </w:r>
      <w:r>
        <w:rPr>
          <w:rFonts w:hint="eastAsia" w:ascii="仿宋_GB2312" w:eastAsia="仿宋_GB2312" w:cs="仿宋_GB2312"/>
          <w:sz w:val="32"/>
          <w:szCs w:val="32"/>
        </w:rPr>
        <w:t>个三级指标：预算收入调整率、收入完成率、预算支出调整率、财政拨款支出完成率、“三公”经费控制率、政府采购执行率、资金使用合规性、决算真实性、管理制度健全性、预决算信息公开性、基础信息完整性、资产管理规范性、绩效自评覆盖率、绩效评价优等率。</w:t>
      </w:r>
    </w:p>
    <w:p w14:paraId="6AE2253A">
      <w:pPr>
        <w:pStyle w:val="4"/>
        <w:spacing w:before="0" w:after="0"/>
        <w:ind w:firstLine="643" w:firstLineChars="200"/>
        <w:jc w:val="both"/>
        <w:rPr>
          <w:rFonts w:ascii="楷体" w:hAnsi="楷体" w:eastAsia="楷体" w:cs="Tahoma"/>
          <w:kern w:val="2"/>
          <w:sz w:val="32"/>
          <w:szCs w:val="32"/>
        </w:rPr>
      </w:pPr>
      <w:bookmarkStart w:id="20" w:name="_Toc24932"/>
      <w:bookmarkStart w:id="21" w:name="_Toc492652773"/>
      <w:r>
        <w:rPr>
          <w:rFonts w:hint="eastAsia" w:ascii="楷体" w:hAnsi="楷体" w:eastAsia="楷体" w:cs="楷体"/>
          <w:kern w:val="2"/>
          <w:sz w:val="32"/>
          <w:szCs w:val="32"/>
        </w:rPr>
        <w:t>（三）产出（</w:t>
      </w:r>
      <w:r>
        <w:rPr>
          <w:rFonts w:ascii="楷体" w:hAnsi="楷体" w:eastAsia="楷体" w:cs="楷体"/>
          <w:kern w:val="2"/>
          <w:sz w:val="32"/>
          <w:szCs w:val="32"/>
        </w:rPr>
        <w:t>25</w:t>
      </w:r>
      <w:r>
        <w:rPr>
          <w:rFonts w:hint="eastAsia" w:ascii="楷体" w:hAnsi="楷体" w:eastAsia="楷体" w:cs="楷体"/>
          <w:kern w:val="2"/>
          <w:sz w:val="32"/>
          <w:szCs w:val="32"/>
        </w:rPr>
        <w:t>分）</w:t>
      </w:r>
      <w:bookmarkEnd w:id="20"/>
      <w:bookmarkEnd w:id="21"/>
    </w:p>
    <w:p w14:paraId="6634420F">
      <w:pPr>
        <w:spacing w:after="0" w:line="360" w:lineRule="auto"/>
        <w:ind w:firstLine="640" w:firstLineChars="200"/>
        <w:jc w:val="both"/>
        <w:textAlignment w:val="baseline"/>
        <w:rPr>
          <w:rFonts w:ascii="仿宋_GB2312" w:eastAsia="仿宋_GB2312"/>
          <w:sz w:val="32"/>
          <w:szCs w:val="32"/>
        </w:rPr>
      </w:pPr>
      <w:bookmarkStart w:id="22" w:name="_Toc492652774"/>
      <w:r>
        <w:rPr>
          <w:rFonts w:hint="eastAsia" w:ascii="仿宋_GB2312" w:eastAsia="仿宋_GB2312" w:cs="仿宋_GB2312"/>
          <w:sz w:val="32"/>
          <w:szCs w:val="32"/>
        </w:rPr>
        <w:t>主要反映结转结余率，项目资金使用率，。</w:t>
      </w:r>
    </w:p>
    <w:p w14:paraId="62CA4AF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产出指标指标分值为</w:t>
      </w:r>
      <w:r>
        <w:rPr>
          <w:rFonts w:ascii="仿宋_GB2312" w:eastAsia="仿宋_GB2312" w:cs="仿宋_GB2312"/>
          <w:sz w:val="32"/>
          <w:szCs w:val="32"/>
        </w:rPr>
        <w:t>25</w:t>
      </w:r>
      <w:r>
        <w:rPr>
          <w:rFonts w:hint="eastAsia" w:ascii="仿宋_GB2312" w:eastAsia="仿宋_GB2312" w:cs="仿宋_GB2312"/>
          <w:sz w:val="32"/>
          <w:szCs w:val="32"/>
        </w:rPr>
        <w:t>分，下设</w:t>
      </w:r>
      <w:r>
        <w:rPr>
          <w:rFonts w:ascii="仿宋_GB2312" w:eastAsia="仿宋_GB2312" w:cs="仿宋_GB2312"/>
          <w:sz w:val="32"/>
          <w:szCs w:val="32"/>
        </w:rPr>
        <w:t>1</w:t>
      </w:r>
      <w:r>
        <w:rPr>
          <w:rFonts w:hint="eastAsia" w:ascii="仿宋_GB2312" w:eastAsia="仿宋_GB2312" w:cs="仿宋_GB2312"/>
          <w:sz w:val="32"/>
          <w:szCs w:val="32"/>
        </w:rPr>
        <w:t>个二级指标：责任履行，</w:t>
      </w:r>
      <w:r>
        <w:rPr>
          <w:rFonts w:ascii="仿宋_GB2312" w:eastAsia="仿宋_GB2312" w:cs="仿宋_GB2312"/>
          <w:sz w:val="32"/>
          <w:szCs w:val="32"/>
        </w:rPr>
        <w:t>5</w:t>
      </w:r>
      <w:r>
        <w:rPr>
          <w:rFonts w:hint="eastAsia" w:ascii="仿宋_GB2312" w:eastAsia="仿宋_GB2312" w:cs="仿宋_GB2312"/>
          <w:sz w:val="32"/>
          <w:szCs w:val="32"/>
        </w:rPr>
        <w:t>个三级指标：结转结余率、项目资金使用率。劳模体检率，困难帮扶率，法律援助案件结案率。</w:t>
      </w:r>
    </w:p>
    <w:p w14:paraId="53509D91">
      <w:pPr>
        <w:pStyle w:val="4"/>
        <w:spacing w:before="0" w:after="0"/>
        <w:ind w:firstLine="643" w:firstLineChars="200"/>
        <w:jc w:val="both"/>
        <w:rPr>
          <w:rFonts w:ascii="楷体_GB2312" w:hAnsi="宋体" w:eastAsia="楷体_GB2312" w:cs="Tahoma"/>
          <w:sz w:val="32"/>
          <w:szCs w:val="32"/>
        </w:rPr>
      </w:pPr>
      <w:bookmarkStart w:id="23" w:name="_Toc21821"/>
      <w:r>
        <w:rPr>
          <w:rFonts w:hint="eastAsia" w:ascii="楷体_GB2312" w:hAnsi="宋体" w:eastAsia="楷体_GB2312" w:cs="楷体_GB2312"/>
          <w:kern w:val="2"/>
          <w:sz w:val="32"/>
          <w:szCs w:val="32"/>
        </w:rPr>
        <w:t>（四）效果（</w:t>
      </w:r>
      <w:r>
        <w:rPr>
          <w:rFonts w:ascii="楷体_GB2312" w:hAnsi="宋体" w:eastAsia="楷体_GB2312" w:cs="楷体_GB2312"/>
          <w:kern w:val="2"/>
          <w:sz w:val="32"/>
          <w:szCs w:val="32"/>
        </w:rPr>
        <w:t>15</w:t>
      </w:r>
      <w:r>
        <w:rPr>
          <w:rFonts w:hint="eastAsia" w:ascii="楷体_GB2312" w:hAnsi="宋体" w:eastAsia="楷体_GB2312" w:cs="楷体_GB2312"/>
          <w:kern w:val="2"/>
          <w:sz w:val="32"/>
          <w:szCs w:val="32"/>
        </w:rPr>
        <w:t>分）</w:t>
      </w:r>
      <w:bookmarkEnd w:id="22"/>
      <w:bookmarkEnd w:id="23"/>
    </w:p>
    <w:p w14:paraId="674D65BE">
      <w:pPr>
        <w:spacing w:after="0" w:line="360" w:lineRule="auto"/>
        <w:ind w:firstLine="640" w:firstLineChars="200"/>
        <w:jc w:val="both"/>
        <w:textAlignment w:val="baseline"/>
        <w:rPr>
          <w:rFonts w:ascii="仿宋_GB2312" w:eastAsia="仿宋_GB2312"/>
          <w:sz w:val="32"/>
          <w:szCs w:val="32"/>
        </w:rPr>
      </w:pPr>
      <w:bookmarkStart w:id="24" w:name="_Toc492652775"/>
      <w:r>
        <w:rPr>
          <w:rFonts w:hint="eastAsia" w:ascii="仿宋_GB2312" w:eastAsia="仿宋_GB2312" w:cs="仿宋_GB2312"/>
          <w:sz w:val="32"/>
          <w:szCs w:val="32"/>
        </w:rPr>
        <w:t>主要反映部门履行职责对社会发展所带来的直接或间接效益及社会公众或部门的服务对象对部门履职效果的满意程度。</w:t>
      </w:r>
    </w:p>
    <w:p w14:paraId="55B1E3C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效果指标指标分值</w:t>
      </w:r>
      <w:r>
        <w:rPr>
          <w:rFonts w:ascii="仿宋_GB2312" w:eastAsia="仿宋_GB2312" w:cs="仿宋_GB2312"/>
          <w:sz w:val="32"/>
          <w:szCs w:val="32"/>
        </w:rPr>
        <w:t>15</w:t>
      </w:r>
      <w:r>
        <w:rPr>
          <w:rFonts w:hint="eastAsia" w:ascii="仿宋_GB2312" w:eastAsia="仿宋_GB2312" w:cs="仿宋_GB2312"/>
          <w:sz w:val="32"/>
          <w:szCs w:val="32"/>
        </w:rPr>
        <w:t>分，下设</w:t>
      </w:r>
      <w:r>
        <w:rPr>
          <w:rFonts w:ascii="仿宋_GB2312" w:eastAsia="仿宋_GB2312" w:cs="仿宋_GB2312"/>
          <w:sz w:val="32"/>
          <w:szCs w:val="32"/>
        </w:rPr>
        <w:t>1</w:t>
      </w:r>
      <w:r>
        <w:rPr>
          <w:rFonts w:hint="eastAsia" w:ascii="仿宋_GB2312" w:eastAsia="仿宋_GB2312" w:cs="仿宋_GB2312"/>
          <w:sz w:val="32"/>
          <w:szCs w:val="32"/>
        </w:rPr>
        <w:t>个二级指标：履职效率，</w:t>
      </w:r>
      <w:r>
        <w:rPr>
          <w:rFonts w:ascii="仿宋_GB2312" w:eastAsia="仿宋_GB2312" w:cs="仿宋_GB2312"/>
          <w:sz w:val="32"/>
          <w:szCs w:val="32"/>
        </w:rPr>
        <w:t>2</w:t>
      </w:r>
      <w:r>
        <w:rPr>
          <w:rFonts w:hint="eastAsia" w:ascii="仿宋_GB2312" w:eastAsia="仿宋_GB2312" w:cs="仿宋_GB2312"/>
          <w:sz w:val="32"/>
          <w:szCs w:val="32"/>
        </w:rPr>
        <w:t>个三级指标：部门整体效益和考核满意度。</w:t>
      </w:r>
    </w:p>
    <w:p w14:paraId="001C7CF0">
      <w:pPr>
        <w:pStyle w:val="3"/>
        <w:spacing w:before="0" w:after="0" w:line="360" w:lineRule="auto"/>
        <w:ind w:firstLine="643" w:firstLineChars="200"/>
        <w:rPr>
          <w:rFonts w:ascii="黑体" w:cs="Tahoma"/>
        </w:rPr>
      </w:pPr>
      <w:bookmarkStart w:id="25" w:name="_Toc11842"/>
      <w:r>
        <w:rPr>
          <w:rFonts w:hint="eastAsia" w:ascii="黑体" w:cs="黑体"/>
        </w:rPr>
        <w:t>三、综合绩效评价工作情况</w:t>
      </w:r>
      <w:bookmarkEnd w:id="15"/>
      <w:bookmarkEnd w:id="24"/>
      <w:bookmarkEnd w:id="25"/>
      <w:bookmarkStart w:id="26" w:name="_Toc492652776"/>
      <w:bookmarkStart w:id="27" w:name="_Toc465149505"/>
    </w:p>
    <w:p w14:paraId="4A11D5BD">
      <w:pPr>
        <w:pStyle w:val="4"/>
        <w:spacing w:before="0" w:after="0"/>
        <w:ind w:firstLine="643" w:firstLineChars="200"/>
        <w:jc w:val="both"/>
        <w:rPr>
          <w:rFonts w:ascii="楷体_GB2312" w:hAnsi="宋体" w:eastAsia="楷体_GB2312" w:cs="Tahoma"/>
          <w:sz w:val="32"/>
          <w:szCs w:val="32"/>
        </w:rPr>
      </w:pPr>
      <w:bookmarkStart w:id="28" w:name="_Toc17138"/>
      <w:r>
        <w:rPr>
          <w:rFonts w:hint="eastAsia" w:ascii="楷体_GB2312" w:hAnsi="宋体" w:eastAsia="楷体_GB2312" w:cs="楷体_GB2312"/>
          <w:kern w:val="2"/>
          <w:sz w:val="32"/>
          <w:szCs w:val="32"/>
        </w:rPr>
        <w:t>（一）绩效评价目的</w:t>
      </w:r>
      <w:bookmarkEnd w:id="26"/>
      <w:bookmarkEnd w:id="27"/>
      <w:bookmarkEnd w:id="28"/>
    </w:p>
    <w:p w14:paraId="6D93299B">
      <w:pPr>
        <w:spacing w:after="0" w:line="360" w:lineRule="auto"/>
        <w:ind w:firstLine="640" w:firstLineChars="200"/>
        <w:jc w:val="both"/>
        <w:textAlignment w:val="baseline"/>
        <w:rPr>
          <w:rFonts w:ascii="仿宋_GB2312" w:eastAsia="仿宋_GB2312"/>
          <w:sz w:val="32"/>
          <w:szCs w:val="32"/>
        </w:rPr>
      </w:pPr>
      <w:bookmarkStart w:id="29" w:name="_Toc492652777"/>
      <w:bookmarkStart w:id="30" w:name="_Toc465149506"/>
      <w:r>
        <w:rPr>
          <w:rFonts w:hint="eastAsia" w:ascii="仿宋_GB2312" w:eastAsia="仿宋_GB2312" w:cs="仿宋_GB2312"/>
          <w:sz w:val="32"/>
          <w:szCs w:val="32"/>
        </w:rPr>
        <w:t>通过对区区总工会</w:t>
      </w:r>
      <w:r>
        <w:rPr>
          <w:rFonts w:ascii="仿宋_GB2312" w:eastAsia="仿宋_GB2312" w:cs="仿宋_GB2312"/>
          <w:sz w:val="32"/>
          <w:szCs w:val="32"/>
        </w:rPr>
        <w:t>2021</w:t>
      </w:r>
      <w:r>
        <w:rPr>
          <w:rFonts w:hint="eastAsia" w:ascii="仿宋_GB2312" w:eastAsia="仿宋_GB2312" w:cs="仿宋_GB2312"/>
          <w:sz w:val="32"/>
          <w:szCs w:val="32"/>
        </w:rPr>
        <w:t>年部门整体支出绩效评价，了解部门整体资金预算情况、实际收支情况及结转结余情况；绩效目标和指标的设置及完成情况；部门履职对社会发展所带来的直接或间接影响及服务对象对部门履职效果的满意程度。</w:t>
      </w:r>
    </w:p>
    <w:p w14:paraId="164A878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部门整体支出绩效评价工作促使相关部门根据绩效评价过程中发现的问题，及时整改并总结经验，提高部门管理水平，牢固树立预算绩效理念，强化部门支出责任，提高预算执行效率和财政资金使用效益。</w:t>
      </w:r>
    </w:p>
    <w:p w14:paraId="10B00A71">
      <w:pPr>
        <w:pStyle w:val="4"/>
        <w:spacing w:before="0" w:after="0"/>
        <w:ind w:firstLine="643" w:firstLineChars="200"/>
        <w:jc w:val="both"/>
        <w:rPr>
          <w:rFonts w:ascii="楷体_GB2312" w:hAnsi="宋体" w:eastAsia="楷体_GB2312" w:cs="Tahoma"/>
          <w:kern w:val="2"/>
          <w:sz w:val="32"/>
          <w:szCs w:val="32"/>
        </w:rPr>
      </w:pPr>
      <w:bookmarkStart w:id="31" w:name="_Toc11607"/>
      <w:r>
        <w:rPr>
          <w:rFonts w:hint="eastAsia" w:ascii="楷体_GB2312" w:hAnsi="宋体" w:eastAsia="楷体_GB2312" w:cs="楷体_GB2312"/>
          <w:kern w:val="2"/>
          <w:sz w:val="32"/>
          <w:szCs w:val="32"/>
        </w:rPr>
        <w:t>（二）绩效评价依据</w:t>
      </w:r>
      <w:bookmarkEnd w:id="29"/>
      <w:bookmarkEnd w:id="30"/>
      <w:bookmarkEnd w:id="31"/>
    </w:p>
    <w:p w14:paraId="7240ACDA">
      <w:pPr>
        <w:spacing w:after="0" w:line="360" w:lineRule="auto"/>
        <w:ind w:firstLine="640" w:firstLineChars="200"/>
        <w:jc w:val="both"/>
        <w:textAlignment w:val="baseline"/>
        <w:rPr>
          <w:rFonts w:ascii="仿宋_GB2312" w:eastAsia="仿宋_GB2312"/>
          <w:sz w:val="32"/>
          <w:szCs w:val="32"/>
        </w:rPr>
      </w:pPr>
      <w:bookmarkStart w:id="32" w:name="_Toc465149507"/>
      <w:r>
        <w:rPr>
          <w:rFonts w:ascii="仿宋_GB2312" w:eastAsia="仿宋_GB2312" w:cs="仿宋_GB2312"/>
          <w:sz w:val="32"/>
          <w:szCs w:val="32"/>
        </w:rPr>
        <w:t>1.</w:t>
      </w:r>
      <w:r>
        <w:rPr>
          <w:rFonts w:hint="eastAsia" w:ascii="仿宋_GB2312" w:eastAsia="仿宋_GB2312" w:cs="仿宋_GB2312"/>
          <w:sz w:val="32"/>
          <w:szCs w:val="32"/>
        </w:rPr>
        <w:t>《中华人民共和国预算法》；</w:t>
      </w:r>
    </w:p>
    <w:p w14:paraId="0B2647EA">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中共中央国务院《关于全面实施预算绩效管理的意见》（中发〔</w:t>
      </w:r>
      <w:r>
        <w:rPr>
          <w:rFonts w:ascii="仿宋_GB2312" w:eastAsia="仿宋_GB2312" w:cs="仿宋_GB2312"/>
          <w:sz w:val="32"/>
          <w:szCs w:val="32"/>
        </w:rPr>
        <w:t>2018</w:t>
      </w:r>
      <w:r>
        <w:rPr>
          <w:rFonts w:hint="eastAsia" w:ascii="仿宋_GB2312" w:eastAsia="仿宋_GB2312" w:cs="仿宋_GB2312"/>
          <w:sz w:val="32"/>
          <w:szCs w:val="32"/>
        </w:rPr>
        <w:t>〕</w:t>
      </w:r>
      <w:r>
        <w:rPr>
          <w:rFonts w:ascii="仿宋_GB2312" w:eastAsia="仿宋_GB2312" w:cs="仿宋_GB2312"/>
          <w:sz w:val="32"/>
          <w:szCs w:val="32"/>
        </w:rPr>
        <w:t>34</w:t>
      </w:r>
      <w:r>
        <w:rPr>
          <w:rFonts w:hint="eastAsia" w:ascii="仿宋_GB2312" w:eastAsia="仿宋_GB2312" w:cs="仿宋_GB2312"/>
          <w:sz w:val="32"/>
          <w:szCs w:val="32"/>
        </w:rPr>
        <w:t>号）；</w:t>
      </w:r>
    </w:p>
    <w:p w14:paraId="7EB8CF2F">
      <w:pPr>
        <w:spacing w:after="0" w:line="360" w:lineRule="auto"/>
        <w:ind w:firstLine="640" w:firstLineChars="200"/>
        <w:jc w:val="both"/>
        <w:textAlignment w:val="baseline"/>
        <w:rPr>
          <w:rFonts w:ascii="仿宋_GB2312" w:eastAsia="仿宋_GB2312" w:cs="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《河北省财政支出绩效评价管理办法》（冀财预〔</w:t>
      </w:r>
      <w:r>
        <w:rPr>
          <w:rFonts w:ascii="仿宋_GB2312" w:eastAsia="仿宋_GB2312" w:cs="仿宋_GB2312"/>
          <w:sz w:val="32"/>
          <w:szCs w:val="32"/>
        </w:rPr>
        <w:t>2011</w:t>
      </w:r>
      <w:r>
        <w:rPr>
          <w:rFonts w:hint="eastAsia" w:ascii="仿宋_GB2312" w:eastAsia="仿宋_GB2312" w:cs="仿宋_GB2312"/>
          <w:sz w:val="32"/>
          <w:szCs w:val="32"/>
        </w:rPr>
        <w:t>〕</w:t>
      </w:r>
      <w:r>
        <w:rPr>
          <w:rFonts w:ascii="仿宋_GB2312" w:eastAsia="仿宋_GB2312" w:cs="仿宋_GB2312"/>
          <w:sz w:val="32"/>
          <w:szCs w:val="32"/>
        </w:rPr>
        <w:t>68</w:t>
      </w:r>
      <w:r>
        <w:rPr>
          <w:rFonts w:hint="eastAsia" w:ascii="仿宋_GB2312" w:eastAsia="仿宋_GB2312" w:cs="仿宋_GB2312"/>
          <w:sz w:val="32"/>
          <w:szCs w:val="32"/>
        </w:rPr>
        <w:t>号）；</w:t>
      </w:r>
      <w:r>
        <w:rPr>
          <w:rFonts w:ascii="仿宋_GB2312" w:eastAsia="仿宋_GB2312" w:cs="仿宋_GB2312"/>
          <w:sz w:val="32"/>
          <w:szCs w:val="32"/>
        </w:rPr>
        <w:t xml:space="preserve"> </w:t>
      </w:r>
    </w:p>
    <w:p w14:paraId="2FBFE5A8">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中共河北省委河北省人民政府《关于全面实施预算绩效管理的实施意见》（冀发〔</w:t>
      </w:r>
      <w:r>
        <w:rPr>
          <w:rFonts w:ascii="仿宋_GB2312" w:eastAsia="仿宋_GB2312" w:cs="仿宋_GB2312"/>
          <w:sz w:val="32"/>
          <w:szCs w:val="32"/>
        </w:rPr>
        <w:t>2018</w:t>
      </w:r>
      <w:r>
        <w:rPr>
          <w:rFonts w:hint="eastAsia" w:ascii="仿宋_GB2312" w:eastAsia="仿宋_GB2312" w:cs="仿宋_GB2312"/>
          <w:sz w:val="32"/>
          <w:szCs w:val="32"/>
        </w:rPr>
        <w:t>〕</w:t>
      </w:r>
      <w:r>
        <w:rPr>
          <w:rFonts w:ascii="仿宋_GB2312" w:eastAsia="仿宋_GB2312" w:cs="仿宋_GB2312"/>
          <w:sz w:val="32"/>
          <w:szCs w:val="32"/>
        </w:rPr>
        <w:t>54</w:t>
      </w:r>
      <w:r>
        <w:rPr>
          <w:rFonts w:hint="eastAsia" w:ascii="仿宋_GB2312" w:eastAsia="仿宋_GB2312" w:cs="仿宋_GB2312"/>
          <w:sz w:val="32"/>
          <w:szCs w:val="32"/>
        </w:rPr>
        <w:t>号）；</w:t>
      </w:r>
    </w:p>
    <w:p w14:paraId="37F041F2">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保定市徐水区财政局《关于印发绩效评价工作规划（</w:t>
      </w:r>
      <w:r>
        <w:rPr>
          <w:rFonts w:ascii="仿宋_GB2312" w:eastAsia="仿宋_GB2312" w:cs="仿宋_GB2312"/>
          <w:sz w:val="32"/>
          <w:szCs w:val="32"/>
        </w:rPr>
        <w:t>2016-2021</w:t>
      </w:r>
      <w:r>
        <w:rPr>
          <w:rFonts w:hint="eastAsia" w:ascii="仿宋_GB2312" w:eastAsia="仿宋_GB2312" w:cs="仿宋_GB2312"/>
          <w:sz w:val="32"/>
          <w:szCs w:val="32"/>
        </w:rPr>
        <w:t>年）的通知》（徐政财字〔</w:t>
      </w:r>
      <w:r>
        <w:rPr>
          <w:rFonts w:ascii="仿宋_GB2312" w:eastAsia="仿宋_GB2312" w:cs="仿宋_GB2312"/>
          <w:sz w:val="32"/>
          <w:szCs w:val="32"/>
        </w:rPr>
        <w:t>2016</w:t>
      </w:r>
      <w:r>
        <w:rPr>
          <w:rFonts w:hint="eastAsia" w:ascii="仿宋_GB2312" w:eastAsia="仿宋_GB2312" w:cs="仿宋_GB2312"/>
          <w:sz w:val="32"/>
          <w:szCs w:val="32"/>
        </w:rPr>
        <w:t>〕</w:t>
      </w:r>
      <w:r>
        <w:rPr>
          <w:rFonts w:ascii="仿宋_GB2312" w:eastAsia="仿宋_GB2312" w:cs="仿宋_GB2312"/>
          <w:sz w:val="32"/>
          <w:szCs w:val="32"/>
        </w:rPr>
        <w:t>45</w:t>
      </w:r>
      <w:r>
        <w:rPr>
          <w:rFonts w:hint="eastAsia" w:ascii="仿宋_GB2312" w:eastAsia="仿宋_GB2312" w:cs="仿宋_GB2312"/>
          <w:sz w:val="32"/>
          <w:szCs w:val="32"/>
        </w:rPr>
        <w:t>号）；</w:t>
      </w:r>
    </w:p>
    <w:p w14:paraId="572D8E16">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6.</w:t>
      </w:r>
      <w:r>
        <w:rPr>
          <w:rFonts w:hint="eastAsia" w:ascii="仿宋_GB2312" w:eastAsia="仿宋_GB2312" w:cs="仿宋_GB2312"/>
          <w:sz w:val="32"/>
          <w:szCs w:val="32"/>
        </w:rPr>
        <w:t>保定市徐水区财政局《关于印发</w:t>
      </w:r>
      <w:r>
        <w:rPr>
          <w:rFonts w:ascii="仿宋_GB2312" w:eastAsia="仿宋_GB2312" w:cs="仿宋_GB2312"/>
          <w:sz w:val="32"/>
          <w:szCs w:val="32"/>
        </w:rPr>
        <w:t>&lt;</w:t>
      </w:r>
      <w:r>
        <w:rPr>
          <w:rFonts w:hint="eastAsia" w:ascii="仿宋_GB2312" w:eastAsia="仿宋_GB2312" w:cs="仿宋_GB2312"/>
          <w:sz w:val="32"/>
          <w:szCs w:val="32"/>
        </w:rPr>
        <w:t>全面实施预算绩效管理推进工作方案</w:t>
      </w:r>
      <w:r>
        <w:rPr>
          <w:rFonts w:ascii="仿宋_GB2312" w:eastAsia="仿宋_GB2312" w:cs="仿宋_GB2312"/>
          <w:sz w:val="32"/>
          <w:szCs w:val="32"/>
        </w:rPr>
        <w:t>&gt;</w:t>
      </w:r>
      <w:r>
        <w:rPr>
          <w:rFonts w:hint="eastAsia" w:ascii="仿宋_GB2312" w:eastAsia="仿宋_GB2312" w:cs="仿宋_GB2312"/>
          <w:sz w:val="32"/>
          <w:szCs w:val="32"/>
        </w:rPr>
        <w:t>的通知》（徐政财字〔</w:t>
      </w:r>
      <w:r>
        <w:rPr>
          <w:rFonts w:ascii="仿宋_GB2312" w:eastAsia="仿宋_GB2312" w:cs="仿宋_GB2312"/>
          <w:sz w:val="32"/>
          <w:szCs w:val="32"/>
        </w:rPr>
        <w:t>2021</w:t>
      </w:r>
      <w:r>
        <w:rPr>
          <w:rFonts w:hint="eastAsia" w:ascii="仿宋_GB2312" w:eastAsia="仿宋_GB2312" w:cs="仿宋_GB2312"/>
          <w:sz w:val="32"/>
          <w:szCs w:val="32"/>
        </w:rPr>
        <w:t>〕</w:t>
      </w:r>
      <w:r>
        <w:rPr>
          <w:rFonts w:ascii="仿宋_GB2312" w:eastAsia="仿宋_GB2312" w:cs="仿宋_GB2312"/>
          <w:sz w:val="32"/>
          <w:szCs w:val="32"/>
        </w:rPr>
        <w:t>32</w:t>
      </w:r>
      <w:r>
        <w:rPr>
          <w:rFonts w:hint="eastAsia" w:ascii="仿宋_GB2312" w:eastAsia="仿宋_GB2312" w:cs="仿宋_GB2312"/>
          <w:sz w:val="32"/>
          <w:szCs w:val="32"/>
        </w:rPr>
        <w:t>号）；</w:t>
      </w:r>
    </w:p>
    <w:p w14:paraId="6908B019">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7.</w:t>
      </w:r>
      <w:r>
        <w:rPr>
          <w:rFonts w:hint="eastAsia" w:ascii="仿宋_GB2312" w:eastAsia="仿宋_GB2312" w:cs="仿宋_GB2312"/>
          <w:sz w:val="32"/>
          <w:szCs w:val="32"/>
        </w:rPr>
        <w:t>其他与部门绩效评价工作相关的文件。</w:t>
      </w:r>
      <w:bookmarkStart w:id="33" w:name="_Toc492652778"/>
    </w:p>
    <w:p w14:paraId="22824DF0">
      <w:pPr>
        <w:pStyle w:val="4"/>
        <w:spacing w:before="0" w:after="0"/>
        <w:ind w:firstLine="643" w:firstLineChars="200"/>
        <w:jc w:val="both"/>
        <w:rPr>
          <w:rFonts w:ascii="楷体_GB2312" w:hAnsi="宋体" w:eastAsia="楷体_GB2312" w:cs="Tahoma"/>
          <w:kern w:val="2"/>
          <w:sz w:val="32"/>
          <w:szCs w:val="32"/>
        </w:rPr>
      </w:pPr>
      <w:bookmarkStart w:id="34" w:name="_Toc7609"/>
      <w:r>
        <w:rPr>
          <w:rFonts w:hint="eastAsia" w:ascii="楷体_GB2312" w:hAnsi="宋体" w:eastAsia="楷体_GB2312" w:cs="楷体_GB2312"/>
          <w:kern w:val="2"/>
          <w:sz w:val="32"/>
          <w:szCs w:val="32"/>
        </w:rPr>
        <w:t>（三）绩效评价</w:t>
      </w:r>
      <w:bookmarkEnd w:id="33"/>
      <w:r>
        <w:rPr>
          <w:rFonts w:hint="eastAsia" w:ascii="楷体_GB2312" w:hAnsi="宋体" w:eastAsia="楷体_GB2312" w:cs="楷体_GB2312"/>
          <w:kern w:val="2"/>
          <w:sz w:val="32"/>
          <w:szCs w:val="32"/>
        </w:rPr>
        <w:t>内容</w:t>
      </w:r>
      <w:bookmarkEnd w:id="34"/>
    </w:p>
    <w:bookmarkEnd w:id="32"/>
    <w:p w14:paraId="05D24ED6">
      <w:pPr>
        <w:spacing w:after="0" w:line="360" w:lineRule="auto"/>
        <w:ind w:firstLine="640" w:firstLineChars="200"/>
        <w:jc w:val="both"/>
        <w:textAlignment w:val="baseline"/>
        <w:rPr>
          <w:rFonts w:ascii="仿宋_GB2312" w:eastAsia="仿宋_GB2312"/>
          <w:sz w:val="32"/>
          <w:szCs w:val="32"/>
        </w:rPr>
      </w:pPr>
      <w:bookmarkStart w:id="35" w:name="_Toc465149508"/>
      <w:bookmarkStart w:id="36" w:name="_Toc492652779"/>
      <w:r>
        <w:rPr>
          <w:rFonts w:hint="eastAsia" w:ascii="仿宋_GB2312" w:eastAsia="仿宋_GB2312" w:cs="仿宋_GB2312"/>
          <w:sz w:val="32"/>
          <w:szCs w:val="32"/>
        </w:rPr>
        <w:t>区总工会</w:t>
      </w:r>
      <w:r>
        <w:rPr>
          <w:rFonts w:ascii="仿宋_GB2312" w:eastAsia="仿宋_GB2312" w:cs="仿宋_GB2312"/>
          <w:sz w:val="32"/>
          <w:szCs w:val="32"/>
        </w:rPr>
        <w:t>2021</w:t>
      </w:r>
      <w:r>
        <w:rPr>
          <w:rFonts w:hint="eastAsia" w:ascii="仿宋_GB2312" w:eastAsia="仿宋_GB2312" w:cs="仿宋_GB2312"/>
          <w:sz w:val="32"/>
          <w:szCs w:val="32"/>
        </w:rPr>
        <w:t>年部门整体支出绩效目标和指标的设置及完成情况；资金预算情况、实际收支情况及结转结余情况；部门履职对社会发展所带来的直接或间接影响及服务对象对部门履职效果的满意程度。</w:t>
      </w:r>
    </w:p>
    <w:p w14:paraId="146C14CB">
      <w:pPr>
        <w:pStyle w:val="4"/>
        <w:spacing w:before="0" w:after="0"/>
        <w:ind w:firstLine="643" w:firstLineChars="200"/>
        <w:jc w:val="both"/>
        <w:rPr>
          <w:rFonts w:ascii="楷体_GB2312" w:hAnsi="宋体" w:eastAsia="楷体_GB2312" w:cs="Tahoma"/>
          <w:kern w:val="2"/>
          <w:sz w:val="32"/>
          <w:szCs w:val="32"/>
        </w:rPr>
      </w:pPr>
      <w:bookmarkStart w:id="37" w:name="_Toc789"/>
      <w:r>
        <w:rPr>
          <w:rFonts w:hint="eastAsia" w:ascii="楷体_GB2312" w:hAnsi="宋体" w:eastAsia="楷体_GB2312" w:cs="楷体_GB2312"/>
          <w:kern w:val="2"/>
          <w:sz w:val="32"/>
          <w:szCs w:val="32"/>
        </w:rPr>
        <w:t>（四）绩效评价原则</w:t>
      </w:r>
      <w:bookmarkEnd w:id="37"/>
    </w:p>
    <w:p w14:paraId="243FC82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价值导向原则：财政支出绩效评价体系应能够反映财政支出的经济性、效益性、有效性原则，体现财政部门和项目主管部门的价值导向。</w:t>
      </w:r>
    </w:p>
    <w:p w14:paraId="6D2C4D4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重要性原则：根据指标在整个指标体系中的地位和作用进行筛选，选择最具代表性、最能反映评价要求的指标。</w:t>
      </w:r>
    </w:p>
    <w:p w14:paraId="732A9A0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综合性原则：将定性指标和定量指标相结合，定性分析是定量分析的基础，定量分析是定性分析的深化，两者相结合系统反映财政支出所产生的社会效益。</w:t>
      </w:r>
    </w:p>
    <w:p w14:paraId="55E377B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经济性原则：指标的选取要考虑现实条件及可操作性，数据的获得应符合成本效益原则，在合理成本的基础上收集信息。</w:t>
      </w:r>
    </w:p>
    <w:p w14:paraId="19C8BD41">
      <w:pPr>
        <w:pStyle w:val="4"/>
        <w:spacing w:before="0" w:after="0"/>
        <w:ind w:firstLine="643" w:firstLineChars="200"/>
        <w:jc w:val="both"/>
        <w:rPr>
          <w:rFonts w:ascii="楷体_GB2312" w:hAnsi="宋体" w:eastAsia="楷体_GB2312" w:cs="Tahoma"/>
          <w:kern w:val="2"/>
          <w:sz w:val="32"/>
          <w:szCs w:val="32"/>
        </w:rPr>
      </w:pPr>
      <w:bookmarkStart w:id="38" w:name="_Toc8171"/>
      <w:r>
        <w:rPr>
          <w:rFonts w:hint="eastAsia" w:ascii="楷体_GB2312" w:hAnsi="宋体" w:eastAsia="楷体_GB2312" w:cs="楷体_GB2312"/>
          <w:kern w:val="2"/>
          <w:sz w:val="32"/>
          <w:szCs w:val="32"/>
        </w:rPr>
        <w:t>（五）</w:t>
      </w:r>
      <w:bookmarkEnd w:id="35"/>
      <w:bookmarkStart w:id="39" w:name="_Toc465149509"/>
      <w:r>
        <w:rPr>
          <w:rFonts w:hint="eastAsia" w:ascii="楷体_GB2312" w:hAnsi="宋体" w:eastAsia="楷体_GB2312" w:cs="楷体_GB2312"/>
          <w:kern w:val="2"/>
          <w:sz w:val="32"/>
          <w:szCs w:val="32"/>
        </w:rPr>
        <w:t>绩效评价方法</w:t>
      </w:r>
      <w:bookmarkEnd w:id="36"/>
      <w:bookmarkEnd w:id="38"/>
      <w:bookmarkEnd w:id="39"/>
    </w:p>
    <w:p w14:paraId="2F587086">
      <w:pPr>
        <w:spacing w:after="0" w:line="360" w:lineRule="auto"/>
        <w:ind w:firstLine="640" w:firstLineChars="200"/>
        <w:jc w:val="both"/>
        <w:textAlignment w:val="baseline"/>
        <w:rPr>
          <w:rFonts w:ascii="仿宋_GB2312" w:eastAsia="仿宋_GB2312"/>
          <w:sz w:val="32"/>
          <w:szCs w:val="32"/>
        </w:rPr>
      </w:pPr>
      <w:bookmarkStart w:id="40" w:name="_Toc422314152"/>
      <w:bookmarkStart w:id="41" w:name="_Toc421623217"/>
      <w:bookmarkStart w:id="42" w:name="_Toc465149510"/>
      <w:bookmarkStart w:id="43" w:name="_Toc492652780"/>
      <w:r>
        <w:rPr>
          <w:rFonts w:hint="eastAsia" w:ascii="仿宋_GB2312" w:eastAsia="仿宋_GB2312" w:cs="仿宋_GB2312"/>
          <w:sz w:val="32"/>
          <w:szCs w:val="32"/>
        </w:rPr>
        <w:t>本次评价采取目标比较法、定量和定性评价相结合和综合评价相结合的方式，运用审查、询问查证和问卷调查等方法开展绩效评价工作。</w:t>
      </w:r>
      <w:bookmarkEnd w:id="40"/>
      <w:bookmarkEnd w:id="41"/>
    </w:p>
    <w:p w14:paraId="36F10C0D">
      <w:pPr>
        <w:spacing w:after="0" w:line="360" w:lineRule="auto"/>
        <w:ind w:firstLine="640" w:firstLineChars="200"/>
        <w:jc w:val="both"/>
        <w:textAlignment w:val="baseline"/>
        <w:rPr>
          <w:rFonts w:ascii="仿宋_GB2312" w:eastAsia="仿宋_GB2312"/>
          <w:sz w:val="32"/>
          <w:szCs w:val="32"/>
        </w:rPr>
      </w:pPr>
      <w:bookmarkStart w:id="44" w:name="_Toc422314153"/>
      <w:bookmarkStart w:id="45" w:name="_Toc421623218"/>
      <w:r>
        <w:rPr>
          <w:rFonts w:ascii="仿宋_GB2312" w:eastAsia="仿宋_GB2312" w:cs="仿宋_GB2312"/>
          <w:sz w:val="32"/>
          <w:szCs w:val="32"/>
        </w:rPr>
        <w:t>1.</w:t>
      </w:r>
      <w:r>
        <w:rPr>
          <w:rFonts w:hint="eastAsia" w:ascii="仿宋_GB2312" w:eastAsia="仿宋_GB2312" w:cs="仿宋_GB2312"/>
          <w:sz w:val="32"/>
          <w:szCs w:val="32"/>
        </w:rPr>
        <w:t>审查法：通过审查被评价单位的预算文本、决算文本、会计账簿、支出凭证、项目完成情况等相关资料，分析资金收支的合理性和合规性、预算执行及管理情况、绩效目标和指标的设置及完成情况、部门整体效益。</w:t>
      </w:r>
      <w:bookmarkEnd w:id="44"/>
      <w:bookmarkEnd w:id="45"/>
    </w:p>
    <w:p w14:paraId="4D34623D">
      <w:pPr>
        <w:spacing w:after="0" w:line="360" w:lineRule="auto"/>
        <w:ind w:firstLine="640" w:firstLineChars="200"/>
        <w:jc w:val="both"/>
        <w:textAlignment w:val="baseline"/>
        <w:rPr>
          <w:rFonts w:ascii="仿宋_GB2312" w:eastAsia="仿宋_GB2312"/>
          <w:sz w:val="32"/>
          <w:szCs w:val="32"/>
        </w:rPr>
      </w:pPr>
      <w:bookmarkStart w:id="46" w:name="_Toc422314155"/>
      <w:bookmarkStart w:id="47" w:name="_Toc421623220"/>
      <w:r>
        <w:rPr>
          <w:rFonts w:ascii="仿宋_GB2312" w:eastAsia="仿宋_GB2312" w:cs="仿宋_GB2312"/>
          <w:sz w:val="32"/>
          <w:szCs w:val="32"/>
        </w:rPr>
        <w:t>2.</w:t>
      </w:r>
      <w:r>
        <w:rPr>
          <w:rFonts w:hint="eastAsia" w:ascii="仿宋_GB2312" w:eastAsia="仿宋_GB2312" w:cs="仿宋_GB2312"/>
          <w:sz w:val="32"/>
          <w:szCs w:val="32"/>
        </w:rPr>
        <w:t>询问查证法：在比较分析相关资料的基础上，通过询问的形式，核查项目资料是否真实、合理，从而对部门整体支出情况作出初步的判断和评价。</w:t>
      </w:r>
      <w:bookmarkEnd w:id="46"/>
      <w:bookmarkEnd w:id="47"/>
    </w:p>
    <w:p w14:paraId="4C82382D">
      <w:pPr>
        <w:spacing w:after="0" w:line="360" w:lineRule="auto"/>
        <w:ind w:firstLine="640" w:firstLineChars="200"/>
        <w:jc w:val="both"/>
        <w:textAlignment w:val="baseline"/>
        <w:rPr>
          <w:rFonts w:ascii="仿宋_GB2312" w:eastAsia="仿宋_GB2312"/>
          <w:sz w:val="32"/>
          <w:szCs w:val="32"/>
        </w:rPr>
      </w:pPr>
      <w:bookmarkStart w:id="48" w:name="_Toc421623221"/>
      <w:bookmarkStart w:id="49" w:name="_Toc422314156"/>
      <w:r>
        <w:rPr>
          <w:rFonts w:ascii="仿宋_GB2312" w:eastAsia="仿宋_GB2312" w:cs="仿宋_GB2312"/>
          <w:sz w:val="32"/>
          <w:szCs w:val="32"/>
        </w:rPr>
        <w:t>3.</w:t>
      </w:r>
      <w:r>
        <w:rPr>
          <w:rFonts w:hint="eastAsia" w:ascii="仿宋_GB2312" w:eastAsia="仿宋_GB2312" w:cs="仿宋_GB2312"/>
          <w:sz w:val="32"/>
          <w:szCs w:val="32"/>
        </w:rPr>
        <w:t>问卷调查法：通过设计调查问卷，在一定范围内随机发放，并收集分析调查问卷，对财政支出的效果进行评价，了解服务对象对部门履职效果的满意程度。</w:t>
      </w:r>
      <w:bookmarkEnd w:id="48"/>
      <w:bookmarkEnd w:id="49"/>
      <w:bookmarkStart w:id="50" w:name="_Toc20821"/>
    </w:p>
    <w:p w14:paraId="1CACCEB7">
      <w:pPr>
        <w:spacing w:after="0" w:line="360" w:lineRule="auto"/>
        <w:ind w:firstLine="643" w:firstLineChars="200"/>
        <w:jc w:val="both"/>
        <w:textAlignment w:val="baseline"/>
        <w:rPr>
          <w:rFonts w:ascii="楷体_GB2312" w:hAnsi="宋体" w:eastAsia="楷体_GB2312"/>
          <w:b/>
          <w:bCs/>
          <w:kern w:val="2"/>
          <w:sz w:val="32"/>
          <w:szCs w:val="32"/>
        </w:rPr>
      </w:pPr>
      <w:r>
        <w:rPr>
          <w:rFonts w:hint="eastAsia" w:ascii="楷体_GB2312" w:hAnsi="宋体" w:eastAsia="楷体_GB2312" w:cs="楷体_GB2312"/>
          <w:b/>
          <w:bCs/>
          <w:kern w:val="2"/>
          <w:sz w:val="32"/>
          <w:szCs w:val="32"/>
        </w:rPr>
        <w:t>（六）绩效评价工作过程</w:t>
      </w:r>
      <w:bookmarkEnd w:id="42"/>
      <w:bookmarkEnd w:id="43"/>
      <w:bookmarkEnd w:id="50"/>
    </w:p>
    <w:p w14:paraId="2A9E313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本次绩效评价工作经过了前期准备、绩效评价实施方案和指标体系制定、组织实施、绩效评价报告撰写四个阶段。</w:t>
      </w:r>
    </w:p>
    <w:p w14:paraId="7AC83394">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前期准备阶段</w:t>
      </w:r>
    </w:p>
    <w:p w14:paraId="6DADFDE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经与区总工会充分沟通，并充分收集相关资料，主要包括部门职责、工作活动、预决算文本、相关管理制度、资金使用等相关资料，为制定绩效评价实施方案和指标体系奠定了基础。</w:t>
      </w:r>
    </w:p>
    <w:p w14:paraId="7B9291E0">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制定绩效评价实施方案和体系</w:t>
      </w:r>
    </w:p>
    <w:p w14:paraId="6CCA949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基于对区总工会相关资料的收集，制定绩效评价实施方案和体系</w:t>
      </w:r>
      <w:r>
        <w:rPr>
          <w:rFonts w:ascii="仿宋_GB2312" w:eastAsia="仿宋_GB2312" w:cs="仿宋_GB2312"/>
          <w:sz w:val="32"/>
          <w:szCs w:val="32"/>
        </w:rPr>
        <w:t>,</w:t>
      </w:r>
      <w:r>
        <w:rPr>
          <w:rFonts w:hint="eastAsia" w:ascii="仿宋_GB2312" w:eastAsia="仿宋_GB2312" w:cs="仿宋_GB2312"/>
          <w:sz w:val="32"/>
          <w:szCs w:val="32"/>
        </w:rPr>
        <w:t>确定最终方案。</w:t>
      </w:r>
    </w:p>
    <w:p w14:paraId="67A61AA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组织实施阶段</w:t>
      </w:r>
    </w:p>
    <w:p w14:paraId="76F3343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绩效评价实施方案和指标体系，对区总工会开展评价工作，包括查看预决算文本及部门工作活动绩效目标和指标；比对预决算的调整及执行情况；核查明细账与决算报表项目的一致性；对项目产出情况进行了解查看；随机选取服务对象进行满意度调查；对一些专业的问题咨询相关专家等。根据收集的数据、资料进行核对、比较、计算，对部门整体支出进行评分。</w:t>
      </w:r>
    </w:p>
    <w:p w14:paraId="5450B39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撰写绩效评价报告</w:t>
      </w:r>
      <w:bookmarkStart w:id="51" w:name="_Toc492652781"/>
      <w:bookmarkStart w:id="52" w:name="_Toc465149511"/>
    </w:p>
    <w:p w14:paraId="57E9097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在完成对各评价指标评分定级的基础上，开始进行报告撰写工作。</w:t>
      </w:r>
    </w:p>
    <w:p w14:paraId="5E1C1286">
      <w:pPr>
        <w:pStyle w:val="3"/>
        <w:spacing w:before="0" w:after="0" w:line="360" w:lineRule="auto"/>
        <w:ind w:firstLine="643" w:firstLineChars="200"/>
        <w:rPr>
          <w:rFonts w:ascii="黑体" w:cs="Tahoma"/>
        </w:rPr>
      </w:pPr>
      <w:bookmarkStart w:id="53" w:name="_Toc6467"/>
      <w:r>
        <w:rPr>
          <w:rFonts w:hint="eastAsia" w:ascii="黑体" w:cs="黑体"/>
        </w:rPr>
        <w:t>四、</w:t>
      </w:r>
      <w:bookmarkEnd w:id="51"/>
      <w:bookmarkEnd w:id="52"/>
      <w:bookmarkStart w:id="54" w:name="_Toc492652782"/>
      <w:r>
        <w:rPr>
          <w:rFonts w:hint="eastAsia" w:ascii="黑体" w:cs="黑体"/>
        </w:rPr>
        <w:t>绩效评价评分情况</w:t>
      </w:r>
      <w:bookmarkEnd w:id="53"/>
    </w:p>
    <w:bookmarkEnd w:id="54"/>
    <w:p w14:paraId="1F7C59CA">
      <w:pPr>
        <w:spacing w:after="0" w:line="360" w:lineRule="auto"/>
        <w:ind w:firstLine="640" w:firstLineChars="200"/>
        <w:jc w:val="both"/>
        <w:textAlignment w:val="baseline"/>
        <w:rPr>
          <w:rFonts w:ascii="仿宋_GB2312" w:hAnsi="宋体" w:eastAsia="仿宋_GB2312" w:cs="仿宋_GB2312"/>
          <w:sz w:val="32"/>
          <w:szCs w:val="32"/>
          <w:u w:color="000000"/>
        </w:rPr>
      </w:pPr>
      <w:r>
        <w:rPr>
          <w:rFonts w:hint="eastAsia" w:ascii="仿宋_GB2312" w:eastAsia="仿宋_GB2312" w:cs="仿宋_GB2312"/>
          <w:sz w:val="32"/>
          <w:szCs w:val="32"/>
        </w:rPr>
        <w:t>区总工会部门整体支出绩效评价总得分96分，综合绩效评价等级为“优”。各项得分情况如下</w:t>
      </w:r>
      <w:r>
        <w:rPr>
          <w:rFonts w:hint="eastAsia" w:ascii="仿宋_GB2312" w:hAnsi="宋体" w:eastAsia="仿宋_GB2312" w:cs="仿宋_GB2312"/>
          <w:sz w:val="32"/>
          <w:szCs w:val="32"/>
          <w:u w:color="000000"/>
        </w:rPr>
        <w:t>：</w:t>
      </w:r>
      <w:r>
        <w:rPr>
          <w:rFonts w:ascii="仿宋_GB2312" w:hAnsi="宋体" w:eastAsia="仿宋_GB2312" w:cs="仿宋_GB2312"/>
          <w:sz w:val="32"/>
          <w:szCs w:val="32"/>
          <w:u w:color="000000"/>
        </w:rPr>
        <w:t xml:space="preserve"> </w:t>
      </w:r>
    </w:p>
    <w:p w14:paraId="5D524E35">
      <w:pPr>
        <w:pStyle w:val="4"/>
        <w:spacing w:before="0" w:after="0"/>
        <w:ind w:firstLine="643" w:firstLineChars="200"/>
        <w:jc w:val="both"/>
        <w:rPr>
          <w:rFonts w:ascii="楷体_GB2312" w:hAnsi="宋体" w:eastAsia="楷体_GB2312" w:cs="Tahoma"/>
          <w:kern w:val="2"/>
          <w:sz w:val="32"/>
          <w:szCs w:val="32"/>
        </w:rPr>
      </w:pPr>
      <w:bookmarkStart w:id="55" w:name="_Toc492652783"/>
      <w:bookmarkStart w:id="56" w:name="_Toc4390"/>
      <w:r>
        <w:rPr>
          <w:rFonts w:hint="eastAsia" w:ascii="楷体_GB2312" w:hAnsi="宋体" w:eastAsia="楷体_GB2312" w:cs="楷体_GB2312"/>
          <w:kern w:val="2"/>
          <w:sz w:val="32"/>
          <w:szCs w:val="32"/>
        </w:rPr>
        <w:t>（一）</w:t>
      </w:r>
      <w:bookmarkEnd w:id="55"/>
      <w:r>
        <w:rPr>
          <w:rFonts w:hint="eastAsia" w:ascii="楷体_GB2312" w:hAnsi="宋体" w:eastAsia="楷体_GB2312" w:cs="楷体_GB2312"/>
          <w:kern w:val="2"/>
          <w:sz w:val="32"/>
          <w:szCs w:val="32"/>
        </w:rPr>
        <w:t>投入（</w:t>
      </w:r>
      <w:r>
        <w:rPr>
          <w:rFonts w:ascii="楷体_GB2312" w:hAnsi="宋体" w:eastAsia="楷体_GB2312" w:cs="楷体_GB2312"/>
          <w:kern w:val="2"/>
          <w:sz w:val="32"/>
          <w:szCs w:val="32"/>
        </w:rPr>
        <w:t>12</w:t>
      </w:r>
      <w:r>
        <w:rPr>
          <w:rFonts w:hint="eastAsia" w:ascii="楷体_GB2312" w:hAnsi="宋体" w:eastAsia="楷体_GB2312" w:cs="楷体_GB2312"/>
          <w:kern w:val="2"/>
          <w:sz w:val="32"/>
          <w:szCs w:val="32"/>
        </w:rPr>
        <w:t>分）</w:t>
      </w:r>
      <w:bookmarkEnd w:id="56"/>
    </w:p>
    <w:p w14:paraId="59D4CE83">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eastAsia="仿宋_GB2312" w:cs="仿宋_GB2312"/>
          <w:sz w:val="32"/>
          <w:szCs w:val="32"/>
        </w:rPr>
        <w:t>该一级指标包含绩效目标设定和预算配置两个二级指标，主要反映绩效目标设定是否合理、科学，绩效指标的制定是否清晰、可衡量，预算编制是否完整，项目预算是否细化及在职人员控制情况。</w:t>
      </w:r>
      <w:r>
        <w:rPr>
          <w:rFonts w:ascii="仿宋_GB2312" w:hAnsi="宋体" w:eastAsia="仿宋_GB2312"/>
          <w:sz w:val="32"/>
          <w:szCs w:val="32"/>
          <w:u w:color="000000"/>
        </w:rPr>
        <w:tab/>
      </w:r>
    </w:p>
    <w:p w14:paraId="2FA85689">
      <w:pPr>
        <w:spacing w:after="0" w:line="360" w:lineRule="auto"/>
        <w:jc w:val="center"/>
        <w:textAlignment w:val="baseline"/>
        <w:rPr>
          <w:rFonts w:ascii="宋体" w:hAnsi="宋体" w:eastAsia="宋体"/>
          <w:b/>
          <w:bCs/>
          <w:sz w:val="32"/>
          <w:szCs w:val="32"/>
          <w:u w:color="000000"/>
        </w:rPr>
      </w:pPr>
      <w:r>
        <w:rPr>
          <w:rFonts w:hint="eastAsia" w:ascii="宋体" w:hAnsi="宋体" w:eastAsia="宋体" w:cs="宋体"/>
          <w:b/>
          <w:bCs/>
          <w:sz w:val="32"/>
          <w:szCs w:val="32"/>
          <w:u w:color="000000"/>
        </w:rPr>
        <w:t>表</w:t>
      </w:r>
      <w:r>
        <w:rPr>
          <w:rFonts w:ascii="宋体" w:hAnsi="宋体" w:eastAsia="宋体" w:cs="宋体"/>
          <w:b/>
          <w:bCs/>
          <w:sz w:val="32"/>
          <w:szCs w:val="32"/>
          <w:u w:color="000000"/>
        </w:rPr>
        <w:t xml:space="preserve">2  </w:t>
      </w:r>
      <w:r>
        <w:rPr>
          <w:rFonts w:hint="eastAsia" w:ascii="宋体" w:hAnsi="宋体" w:eastAsia="宋体" w:cs="宋体"/>
          <w:b/>
          <w:bCs/>
          <w:sz w:val="32"/>
          <w:szCs w:val="32"/>
          <w:u w:color="000000"/>
        </w:rPr>
        <w:t>投入指标及得分情况表</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9"/>
        <w:gridCol w:w="1418"/>
        <w:gridCol w:w="1701"/>
        <w:gridCol w:w="1276"/>
        <w:gridCol w:w="1134"/>
      </w:tblGrid>
      <w:tr w14:paraId="36BCD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Align w:val="center"/>
          </w:tcPr>
          <w:p w14:paraId="6E975BDF">
            <w:pPr>
              <w:spacing w:line="420" w:lineRule="exact"/>
              <w:jc w:val="center"/>
              <w:rPr>
                <w:rFonts w:ascii="宋体" w:hAnsi="宋体" w:eastAsia="宋体"/>
                <w:b/>
                <w:bCs/>
                <w:sz w:val="21"/>
                <w:szCs w:val="21"/>
              </w:rPr>
            </w:pPr>
            <w:r>
              <w:rPr>
                <w:rFonts w:hint="eastAsia" w:ascii="宋体" w:hAnsi="宋体" w:eastAsia="宋体" w:cs="宋体"/>
                <w:b/>
                <w:bCs/>
                <w:sz w:val="21"/>
                <w:szCs w:val="21"/>
              </w:rPr>
              <w:t>一级指标</w:t>
            </w:r>
          </w:p>
        </w:tc>
        <w:tc>
          <w:tcPr>
            <w:tcW w:w="1418" w:type="dxa"/>
            <w:vAlign w:val="center"/>
          </w:tcPr>
          <w:p w14:paraId="258DAA6A">
            <w:pPr>
              <w:spacing w:line="420" w:lineRule="exact"/>
              <w:jc w:val="center"/>
              <w:rPr>
                <w:rFonts w:ascii="宋体" w:hAnsi="宋体" w:eastAsia="宋体"/>
                <w:b/>
                <w:bCs/>
                <w:sz w:val="21"/>
                <w:szCs w:val="21"/>
              </w:rPr>
            </w:pPr>
            <w:r>
              <w:rPr>
                <w:rFonts w:hint="eastAsia" w:ascii="宋体" w:hAnsi="宋体" w:eastAsia="宋体" w:cs="宋体"/>
                <w:b/>
                <w:bCs/>
                <w:sz w:val="21"/>
                <w:szCs w:val="21"/>
              </w:rPr>
              <w:t>二级指标</w:t>
            </w:r>
          </w:p>
        </w:tc>
        <w:tc>
          <w:tcPr>
            <w:tcW w:w="1701" w:type="dxa"/>
            <w:vAlign w:val="center"/>
          </w:tcPr>
          <w:p w14:paraId="6A5DD3B1">
            <w:pPr>
              <w:spacing w:line="420" w:lineRule="exact"/>
              <w:jc w:val="center"/>
              <w:rPr>
                <w:rFonts w:ascii="宋体" w:hAnsi="宋体" w:eastAsia="宋体"/>
                <w:b/>
                <w:bCs/>
                <w:sz w:val="21"/>
                <w:szCs w:val="21"/>
              </w:rPr>
            </w:pPr>
            <w:r>
              <w:rPr>
                <w:rFonts w:hint="eastAsia" w:ascii="宋体" w:hAnsi="宋体" w:eastAsia="宋体" w:cs="宋体"/>
                <w:b/>
                <w:bCs/>
                <w:sz w:val="21"/>
                <w:szCs w:val="21"/>
              </w:rPr>
              <w:t>三级指标</w:t>
            </w:r>
          </w:p>
        </w:tc>
        <w:tc>
          <w:tcPr>
            <w:tcW w:w="1276" w:type="dxa"/>
            <w:vAlign w:val="center"/>
          </w:tcPr>
          <w:p w14:paraId="6A6B1949">
            <w:pPr>
              <w:spacing w:line="420" w:lineRule="exact"/>
              <w:jc w:val="center"/>
              <w:rPr>
                <w:rFonts w:ascii="宋体" w:hAnsi="宋体" w:eastAsia="宋体"/>
                <w:b/>
                <w:bCs/>
                <w:sz w:val="21"/>
                <w:szCs w:val="21"/>
              </w:rPr>
            </w:pPr>
            <w:r>
              <w:rPr>
                <w:rFonts w:hint="eastAsia" w:ascii="宋体" w:hAnsi="宋体" w:eastAsia="宋体" w:cs="宋体"/>
                <w:b/>
                <w:bCs/>
                <w:sz w:val="21"/>
                <w:szCs w:val="21"/>
              </w:rPr>
              <w:t>分值权重</w:t>
            </w:r>
          </w:p>
        </w:tc>
        <w:tc>
          <w:tcPr>
            <w:tcW w:w="1134" w:type="dxa"/>
            <w:vAlign w:val="center"/>
          </w:tcPr>
          <w:p w14:paraId="14994D35">
            <w:pPr>
              <w:spacing w:line="420" w:lineRule="exact"/>
              <w:jc w:val="center"/>
              <w:rPr>
                <w:rFonts w:ascii="宋体" w:hAnsi="宋体" w:eastAsia="宋体"/>
                <w:b/>
                <w:bCs/>
                <w:sz w:val="21"/>
                <w:szCs w:val="21"/>
              </w:rPr>
            </w:pPr>
            <w:r>
              <w:rPr>
                <w:rFonts w:hint="eastAsia" w:ascii="宋体" w:hAnsi="宋体" w:eastAsia="宋体" w:cs="宋体"/>
                <w:b/>
                <w:bCs/>
                <w:sz w:val="21"/>
                <w:szCs w:val="21"/>
              </w:rPr>
              <w:t>得分</w:t>
            </w:r>
          </w:p>
        </w:tc>
      </w:tr>
      <w:tr w14:paraId="37991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restart"/>
            <w:vAlign w:val="center"/>
          </w:tcPr>
          <w:p w14:paraId="3DFE2698">
            <w:pPr>
              <w:spacing w:line="420" w:lineRule="exact"/>
              <w:jc w:val="center"/>
              <w:rPr>
                <w:rFonts w:ascii="宋体" w:hAnsi="宋体" w:eastAsia="宋体"/>
                <w:sz w:val="21"/>
                <w:szCs w:val="21"/>
              </w:rPr>
            </w:pPr>
            <w:r>
              <w:rPr>
                <w:rFonts w:hint="eastAsia" w:ascii="宋体" w:hAnsi="宋体" w:eastAsia="宋体" w:cs="宋体"/>
                <w:sz w:val="21"/>
                <w:szCs w:val="21"/>
              </w:rPr>
              <w:t>投入</w:t>
            </w:r>
          </w:p>
          <w:p w14:paraId="3C5C6E7F">
            <w:pPr>
              <w:spacing w:line="420" w:lineRule="exact"/>
              <w:jc w:val="center"/>
              <w:rPr>
                <w:rFonts w:ascii="宋体" w:hAnsi="宋体" w:eastAsia="宋体"/>
                <w:sz w:val="21"/>
                <w:szCs w:val="21"/>
                <w:highlight w:val="yellow"/>
              </w:rPr>
            </w:pPr>
            <w:r>
              <w:rPr>
                <w:rFonts w:hint="eastAsia" w:ascii="宋体" w:hAnsi="宋体" w:eastAsia="宋体" w:cs="宋体"/>
                <w:sz w:val="21"/>
                <w:szCs w:val="21"/>
              </w:rPr>
              <w:t>（</w:t>
            </w:r>
            <w:r>
              <w:rPr>
                <w:rFonts w:ascii="宋体" w:hAnsi="宋体" w:eastAsia="宋体" w:cs="宋体"/>
                <w:sz w:val="21"/>
                <w:szCs w:val="21"/>
              </w:rPr>
              <w:t>12</w:t>
            </w:r>
            <w:r>
              <w:rPr>
                <w:rFonts w:hint="eastAsia" w:ascii="宋体" w:hAnsi="宋体" w:eastAsia="宋体" w:cs="宋体"/>
                <w:sz w:val="21"/>
                <w:szCs w:val="21"/>
              </w:rPr>
              <w:t>分）</w:t>
            </w:r>
          </w:p>
        </w:tc>
        <w:tc>
          <w:tcPr>
            <w:tcW w:w="1418" w:type="dxa"/>
            <w:vMerge w:val="restart"/>
            <w:vAlign w:val="center"/>
          </w:tcPr>
          <w:p w14:paraId="321CE419">
            <w:pPr>
              <w:spacing w:line="420" w:lineRule="exact"/>
              <w:jc w:val="center"/>
              <w:rPr>
                <w:rFonts w:ascii="宋体" w:hAnsi="宋体" w:eastAsia="宋体"/>
                <w:sz w:val="21"/>
                <w:szCs w:val="21"/>
                <w:highlight w:val="yellow"/>
              </w:rPr>
            </w:pPr>
            <w:r>
              <w:rPr>
                <w:rFonts w:hint="eastAsia" w:ascii="宋体" w:hAnsi="宋体" w:eastAsia="宋体" w:cs="宋体"/>
                <w:sz w:val="21"/>
                <w:szCs w:val="21"/>
              </w:rPr>
              <w:t>绩效目标设定（</w:t>
            </w:r>
            <w:r>
              <w:rPr>
                <w:rFonts w:ascii="宋体" w:hAnsi="宋体" w:eastAsia="宋体" w:cs="宋体"/>
                <w:sz w:val="21"/>
                <w:szCs w:val="21"/>
              </w:rPr>
              <w:t>6</w:t>
            </w:r>
            <w:r>
              <w:rPr>
                <w:rFonts w:hint="eastAsia" w:ascii="宋体" w:hAnsi="宋体" w:eastAsia="宋体" w:cs="宋体"/>
                <w:sz w:val="21"/>
                <w:szCs w:val="21"/>
              </w:rPr>
              <w:t>分）</w:t>
            </w:r>
          </w:p>
        </w:tc>
        <w:tc>
          <w:tcPr>
            <w:tcW w:w="1701" w:type="dxa"/>
            <w:vAlign w:val="center"/>
          </w:tcPr>
          <w:p w14:paraId="091B3272">
            <w:pPr>
              <w:spacing w:line="420" w:lineRule="exact"/>
              <w:jc w:val="center"/>
              <w:rPr>
                <w:rFonts w:ascii="宋体" w:hAnsi="宋体" w:eastAsia="宋体"/>
                <w:sz w:val="21"/>
                <w:szCs w:val="21"/>
              </w:rPr>
            </w:pPr>
            <w:r>
              <w:rPr>
                <w:rFonts w:hint="eastAsia" w:ascii="宋体" w:hAnsi="宋体" w:eastAsia="宋体" w:cs="宋体"/>
                <w:sz w:val="21"/>
                <w:szCs w:val="21"/>
              </w:rPr>
              <w:t>绩效目标合理性</w:t>
            </w:r>
          </w:p>
        </w:tc>
        <w:tc>
          <w:tcPr>
            <w:tcW w:w="1276" w:type="dxa"/>
            <w:vAlign w:val="center"/>
          </w:tcPr>
          <w:p w14:paraId="77264CAA">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0F5CFCF1">
            <w:pPr>
              <w:spacing w:line="420" w:lineRule="exact"/>
              <w:jc w:val="center"/>
              <w:rPr>
                <w:rFonts w:ascii="宋体" w:hAnsi="宋体" w:eastAsia="宋体"/>
                <w:sz w:val="21"/>
                <w:szCs w:val="21"/>
              </w:rPr>
            </w:pPr>
            <w:r>
              <w:rPr>
                <w:rFonts w:ascii="宋体" w:hAnsi="宋体" w:eastAsia="宋体" w:cs="宋体"/>
                <w:sz w:val="21"/>
                <w:szCs w:val="21"/>
              </w:rPr>
              <w:t>2</w:t>
            </w:r>
          </w:p>
        </w:tc>
      </w:tr>
      <w:tr w14:paraId="2880B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7A92C601">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48615272">
            <w:pPr>
              <w:spacing w:line="420" w:lineRule="exact"/>
              <w:ind w:firstLine="420" w:firstLineChars="200"/>
              <w:jc w:val="center"/>
              <w:rPr>
                <w:rFonts w:ascii="宋体" w:hAnsi="宋体" w:eastAsia="宋体"/>
                <w:sz w:val="21"/>
                <w:szCs w:val="21"/>
                <w:highlight w:val="yellow"/>
              </w:rPr>
            </w:pPr>
          </w:p>
        </w:tc>
        <w:tc>
          <w:tcPr>
            <w:tcW w:w="1701" w:type="dxa"/>
            <w:vAlign w:val="center"/>
          </w:tcPr>
          <w:p w14:paraId="7993A0F5">
            <w:pPr>
              <w:spacing w:line="420" w:lineRule="exact"/>
              <w:jc w:val="center"/>
              <w:rPr>
                <w:rFonts w:ascii="宋体" w:hAnsi="宋体" w:eastAsia="宋体"/>
                <w:sz w:val="21"/>
                <w:szCs w:val="21"/>
              </w:rPr>
            </w:pPr>
            <w:r>
              <w:rPr>
                <w:rFonts w:hint="eastAsia" w:ascii="宋体" w:hAnsi="宋体" w:eastAsia="宋体" w:cs="宋体"/>
                <w:sz w:val="21"/>
                <w:szCs w:val="21"/>
              </w:rPr>
              <w:t>绩效目标科学性</w:t>
            </w:r>
          </w:p>
        </w:tc>
        <w:tc>
          <w:tcPr>
            <w:tcW w:w="1276" w:type="dxa"/>
            <w:vAlign w:val="center"/>
          </w:tcPr>
          <w:p w14:paraId="7EF9218C">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029B1B5B">
            <w:pPr>
              <w:spacing w:line="420" w:lineRule="exact"/>
              <w:jc w:val="center"/>
              <w:rPr>
                <w:rFonts w:ascii="宋体" w:hAnsi="宋体" w:eastAsia="宋体"/>
                <w:sz w:val="21"/>
                <w:szCs w:val="21"/>
              </w:rPr>
            </w:pPr>
            <w:r>
              <w:rPr>
                <w:rFonts w:ascii="宋体" w:hAnsi="宋体" w:eastAsia="宋体" w:cs="宋体"/>
                <w:sz w:val="21"/>
                <w:szCs w:val="21"/>
              </w:rPr>
              <w:t>2</w:t>
            </w:r>
          </w:p>
        </w:tc>
      </w:tr>
      <w:tr w14:paraId="10128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4919173E">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1D2ED388">
            <w:pPr>
              <w:spacing w:line="420" w:lineRule="exact"/>
              <w:ind w:firstLine="420" w:firstLineChars="200"/>
              <w:jc w:val="center"/>
              <w:rPr>
                <w:rFonts w:ascii="宋体" w:hAnsi="宋体" w:eastAsia="宋体"/>
                <w:sz w:val="21"/>
                <w:szCs w:val="21"/>
                <w:highlight w:val="yellow"/>
              </w:rPr>
            </w:pPr>
          </w:p>
        </w:tc>
        <w:tc>
          <w:tcPr>
            <w:tcW w:w="1701" w:type="dxa"/>
            <w:vAlign w:val="center"/>
          </w:tcPr>
          <w:p w14:paraId="42E850D5">
            <w:pPr>
              <w:spacing w:line="420" w:lineRule="exact"/>
              <w:jc w:val="center"/>
              <w:rPr>
                <w:rFonts w:ascii="宋体" w:hAnsi="宋体" w:eastAsia="宋体"/>
                <w:sz w:val="21"/>
                <w:szCs w:val="21"/>
              </w:rPr>
            </w:pPr>
            <w:r>
              <w:rPr>
                <w:rFonts w:hint="eastAsia" w:ascii="宋体" w:hAnsi="宋体" w:eastAsia="宋体" w:cs="宋体"/>
                <w:sz w:val="21"/>
                <w:szCs w:val="21"/>
              </w:rPr>
              <w:t>绩效指标明确性</w:t>
            </w:r>
          </w:p>
        </w:tc>
        <w:tc>
          <w:tcPr>
            <w:tcW w:w="1276" w:type="dxa"/>
            <w:vAlign w:val="center"/>
          </w:tcPr>
          <w:p w14:paraId="4239087F">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6F14AFEC">
            <w:pPr>
              <w:spacing w:line="420" w:lineRule="exact"/>
              <w:jc w:val="center"/>
              <w:rPr>
                <w:rFonts w:ascii="宋体" w:hAnsi="宋体" w:eastAsia="宋体"/>
                <w:sz w:val="21"/>
                <w:szCs w:val="21"/>
              </w:rPr>
            </w:pPr>
            <w:r>
              <w:rPr>
                <w:rFonts w:ascii="宋体" w:hAnsi="宋体" w:eastAsia="宋体" w:cs="宋体"/>
                <w:sz w:val="21"/>
                <w:szCs w:val="21"/>
              </w:rPr>
              <w:t>2</w:t>
            </w:r>
          </w:p>
        </w:tc>
      </w:tr>
      <w:tr w14:paraId="45E8B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251A916D">
            <w:pPr>
              <w:spacing w:line="420" w:lineRule="exact"/>
              <w:ind w:firstLine="420" w:firstLineChars="200"/>
              <w:jc w:val="center"/>
              <w:rPr>
                <w:rFonts w:ascii="宋体" w:hAnsi="宋体" w:eastAsia="宋体"/>
                <w:sz w:val="21"/>
                <w:szCs w:val="21"/>
                <w:highlight w:val="yellow"/>
              </w:rPr>
            </w:pPr>
          </w:p>
        </w:tc>
        <w:tc>
          <w:tcPr>
            <w:tcW w:w="1418" w:type="dxa"/>
            <w:vMerge w:val="restart"/>
            <w:vAlign w:val="center"/>
          </w:tcPr>
          <w:p w14:paraId="4EF44165">
            <w:pPr>
              <w:spacing w:line="420" w:lineRule="exact"/>
              <w:jc w:val="center"/>
              <w:rPr>
                <w:rFonts w:ascii="宋体" w:hAnsi="宋体" w:eastAsia="宋体"/>
                <w:sz w:val="21"/>
                <w:szCs w:val="21"/>
              </w:rPr>
            </w:pPr>
            <w:r>
              <w:rPr>
                <w:rFonts w:hint="eastAsia" w:ascii="宋体" w:hAnsi="宋体" w:eastAsia="宋体" w:cs="宋体"/>
                <w:sz w:val="21"/>
                <w:szCs w:val="21"/>
              </w:rPr>
              <w:t>预算配置</w:t>
            </w:r>
          </w:p>
          <w:p w14:paraId="6FBDD0C2">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6</w:t>
            </w:r>
            <w:r>
              <w:rPr>
                <w:rFonts w:hint="eastAsia" w:ascii="宋体" w:hAnsi="宋体" w:eastAsia="宋体" w:cs="宋体"/>
                <w:sz w:val="21"/>
                <w:szCs w:val="21"/>
              </w:rPr>
              <w:t>分）</w:t>
            </w:r>
          </w:p>
        </w:tc>
        <w:tc>
          <w:tcPr>
            <w:tcW w:w="1701" w:type="dxa"/>
            <w:vAlign w:val="center"/>
          </w:tcPr>
          <w:p w14:paraId="6D781BD0">
            <w:pPr>
              <w:spacing w:line="420" w:lineRule="exact"/>
              <w:jc w:val="center"/>
              <w:rPr>
                <w:rFonts w:ascii="宋体" w:hAnsi="宋体" w:eastAsia="宋体"/>
                <w:sz w:val="21"/>
                <w:szCs w:val="21"/>
              </w:rPr>
            </w:pPr>
            <w:r>
              <w:rPr>
                <w:rFonts w:hint="eastAsia" w:ascii="宋体" w:hAnsi="宋体" w:eastAsia="宋体" w:cs="宋体"/>
                <w:sz w:val="21"/>
                <w:szCs w:val="21"/>
              </w:rPr>
              <w:t>预算编制完整性</w:t>
            </w:r>
          </w:p>
        </w:tc>
        <w:tc>
          <w:tcPr>
            <w:tcW w:w="1276" w:type="dxa"/>
            <w:vAlign w:val="center"/>
          </w:tcPr>
          <w:p w14:paraId="43B39FE2">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7AE9E346">
            <w:pPr>
              <w:spacing w:line="420" w:lineRule="exact"/>
              <w:jc w:val="center"/>
              <w:rPr>
                <w:rFonts w:ascii="宋体" w:hAnsi="宋体" w:eastAsia="宋体"/>
                <w:sz w:val="21"/>
                <w:szCs w:val="21"/>
              </w:rPr>
            </w:pPr>
            <w:r>
              <w:rPr>
                <w:rFonts w:ascii="宋体" w:hAnsi="宋体" w:eastAsia="宋体" w:cs="宋体"/>
                <w:sz w:val="21"/>
                <w:szCs w:val="21"/>
              </w:rPr>
              <w:t>2</w:t>
            </w:r>
          </w:p>
        </w:tc>
      </w:tr>
      <w:tr w14:paraId="65660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3717BDE7">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26C666FE">
            <w:pPr>
              <w:spacing w:line="420" w:lineRule="exact"/>
              <w:ind w:firstLine="420" w:firstLineChars="200"/>
              <w:jc w:val="center"/>
              <w:rPr>
                <w:rFonts w:ascii="宋体" w:hAnsi="宋体" w:eastAsia="宋体"/>
                <w:sz w:val="21"/>
                <w:szCs w:val="21"/>
                <w:highlight w:val="yellow"/>
              </w:rPr>
            </w:pPr>
          </w:p>
        </w:tc>
        <w:tc>
          <w:tcPr>
            <w:tcW w:w="1701" w:type="dxa"/>
            <w:vAlign w:val="center"/>
          </w:tcPr>
          <w:p w14:paraId="2F6540DC">
            <w:pPr>
              <w:spacing w:line="420" w:lineRule="exact"/>
              <w:jc w:val="center"/>
              <w:rPr>
                <w:rFonts w:ascii="宋体" w:hAnsi="宋体" w:eastAsia="宋体"/>
                <w:sz w:val="21"/>
                <w:szCs w:val="21"/>
              </w:rPr>
            </w:pPr>
            <w:r>
              <w:rPr>
                <w:rFonts w:hint="eastAsia" w:ascii="宋体" w:hAnsi="宋体" w:eastAsia="宋体" w:cs="宋体"/>
                <w:sz w:val="21"/>
                <w:szCs w:val="21"/>
              </w:rPr>
              <w:t>项目预算细化率</w:t>
            </w:r>
          </w:p>
        </w:tc>
        <w:tc>
          <w:tcPr>
            <w:tcW w:w="1276" w:type="dxa"/>
            <w:vAlign w:val="center"/>
          </w:tcPr>
          <w:p w14:paraId="00FAEF76">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03466712">
            <w:pPr>
              <w:spacing w:line="420" w:lineRule="exact"/>
              <w:jc w:val="center"/>
              <w:rPr>
                <w:rFonts w:ascii="宋体" w:hAnsi="宋体" w:eastAsia="宋体"/>
                <w:sz w:val="21"/>
                <w:szCs w:val="21"/>
              </w:rPr>
            </w:pPr>
            <w:r>
              <w:rPr>
                <w:rFonts w:ascii="宋体" w:hAnsi="宋体" w:eastAsia="宋体" w:cs="宋体"/>
                <w:sz w:val="21"/>
                <w:szCs w:val="21"/>
              </w:rPr>
              <w:t>2</w:t>
            </w:r>
          </w:p>
        </w:tc>
      </w:tr>
      <w:tr w14:paraId="4545E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21989093">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2D2D1297">
            <w:pPr>
              <w:spacing w:line="420" w:lineRule="exact"/>
              <w:ind w:firstLine="420" w:firstLineChars="200"/>
              <w:jc w:val="center"/>
              <w:rPr>
                <w:rFonts w:ascii="宋体" w:hAnsi="宋体" w:eastAsia="宋体"/>
                <w:sz w:val="21"/>
                <w:szCs w:val="21"/>
                <w:highlight w:val="yellow"/>
              </w:rPr>
            </w:pPr>
          </w:p>
        </w:tc>
        <w:tc>
          <w:tcPr>
            <w:tcW w:w="1701" w:type="dxa"/>
            <w:vAlign w:val="center"/>
          </w:tcPr>
          <w:p w14:paraId="40A0284D">
            <w:pPr>
              <w:spacing w:line="420" w:lineRule="exact"/>
              <w:jc w:val="center"/>
              <w:rPr>
                <w:rFonts w:ascii="宋体" w:hAnsi="宋体" w:eastAsia="宋体"/>
                <w:sz w:val="21"/>
                <w:szCs w:val="21"/>
              </w:rPr>
            </w:pPr>
            <w:r>
              <w:rPr>
                <w:rFonts w:hint="eastAsia" w:ascii="宋体" w:hAnsi="宋体" w:eastAsia="宋体" w:cs="宋体"/>
                <w:sz w:val="21"/>
                <w:szCs w:val="21"/>
              </w:rPr>
              <w:t>在职人员控制率</w:t>
            </w:r>
          </w:p>
        </w:tc>
        <w:tc>
          <w:tcPr>
            <w:tcW w:w="1276" w:type="dxa"/>
            <w:vAlign w:val="center"/>
          </w:tcPr>
          <w:p w14:paraId="254100E2">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637C3D1C">
            <w:pPr>
              <w:spacing w:line="420" w:lineRule="exact"/>
              <w:jc w:val="center"/>
              <w:rPr>
                <w:rFonts w:ascii="宋体" w:hAnsi="宋体" w:eastAsia="宋体"/>
                <w:sz w:val="21"/>
                <w:szCs w:val="21"/>
              </w:rPr>
            </w:pPr>
            <w:r>
              <w:rPr>
                <w:rFonts w:ascii="宋体" w:hAnsi="宋体" w:eastAsia="宋体" w:cs="宋体"/>
                <w:sz w:val="21"/>
                <w:szCs w:val="21"/>
              </w:rPr>
              <w:t>2</w:t>
            </w:r>
          </w:p>
        </w:tc>
      </w:tr>
      <w:tr w14:paraId="59C86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977" w:type="dxa"/>
            <w:gridSpan w:val="2"/>
            <w:vAlign w:val="center"/>
          </w:tcPr>
          <w:p w14:paraId="71556E19">
            <w:pPr>
              <w:spacing w:line="420" w:lineRule="exact"/>
              <w:ind w:firstLine="420" w:firstLineChars="200"/>
              <w:jc w:val="center"/>
              <w:rPr>
                <w:rFonts w:ascii="宋体" w:hAnsi="宋体" w:eastAsia="宋体"/>
                <w:sz w:val="21"/>
                <w:szCs w:val="21"/>
                <w:highlight w:val="yellow"/>
              </w:rPr>
            </w:pPr>
            <w:r>
              <w:rPr>
                <w:rFonts w:hint="eastAsia" w:ascii="宋体" w:hAnsi="宋体" w:eastAsia="宋体" w:cs="宋体"/>
                <w:sz w:val="21"/>
                <w:szCs w:val="21"/>
              </w:rPr>
              <w:t>合计</w:t>
            </w:r>
          </w:p>
        </w:tc>
        <w:tc>
          <w:tcPr>
            <w:tcW w:w="1701" w:type="dxa"/>
            <w:vAlign w:val="center"/>
          </w:tcPr>
          <w:p w14:paraId="015D1F7D">
            <w:pPr>
              <w:spacing w:line="420" w:lineRule="exact"/>
              <w:ind w:firstLine="420" w:firstLineChars="200"/>
              <w:jc w:val="center"/>
              <w:rPr>
                <w:rFonts w:ascii="宋体" w:hAnsi="宋体" w:eastAsia="宋体"/>
                <w:sz w:val="21"/>
                <w:szCs w:val="21"/>
                <w:highlight w:val="yellow"/>
              </w:rPr>
            </w:pPr>
          </w:p>
        </w:tc>
        <w:tc>
          <w:tcPr>
            <w:tcW w:w="1276" w:type="dxa"/>
            <w:vAlign w:val="center"/>
          </w:tcPr>
          <w:p w14:paraId="7A4EAC30">
            <w:pPr>
              <w:spacing w:line="420" w:lineRule="exact"/>
              <w:jc w:val="center"/>
              <w:rPr>
                <w:rFonts w:ascii="宋体" w:hAnsi="宋体" w:eastAsia="宋体" w:cs="宋体"/>
                <w:sz w:val="21"/>
                <w:szCs w:val="21"/>
              </w:rPr>
            </w:pPr>
            <w:r>
              <w:rPr>
                <w:rFonts w:ascii="宋体" w:hAnsi="宋体" w:eastAsia="宋体" w:cs="宋体"/>
                <w:sz w:val="21"/>
                <w:szCs w:val="21"/>
              </w:rPr>
              <w:t>12</w:t>
            </w:r>
          </w:p>
        </w:tc>
        <w:tc>
          <w:tcPr>
            <w:tcW w:w="1134" w:type="dxa"/>
            <w:vAlign w:val="center"/>
          </w:tcPr>
          <w:p w14:paraId="1C6CF904">
            <w:pPr>
              <w:spacing w:line="420" w:lineRule="exact"/>
              <w:jc w:val="center"/>
              <w:rPr>
                <w:rFonts w:ascii="宋体" w:hAnsi="宋体" w:eastAsia="宋体"/>
                <w:color w:val="FF0000"/>
                <w:sz w:val="21"/>
                <w:szCs w:val="21"/>
              </w:rPr>
            </w:pPr>
            <w:r>
              <w:rPr>
                <w:rFonts w:ascii="宋体" w:hAnsi="宋体" w:eastAsia="宋体" w:cs="宋体"/>
                <w:sz w:val="21"/>
                <w:szCs w:val="21"/>
              </w:rPr>
              <w:t>12</w:t>
            </w:r>
          </w:p>
        </w:tc>
      </w:tr>
    </w:tbl>
    <w:p w14:paraId="7F6AB39E">
      <w:pPr>
        <w:spacing w:after="0" w:line="360" w:lineRule="auto"/>
        <w:ind w:firstLine="640" w:firstLineChars="200"/>
        <w:jc w:val="both"/>
        <w:textAlignment w:val="baseline"/>
        <w:rPr>
          <w:rFonts w:ascii="仿宋_GB2312" w:eastAsia="仿宋_GB2312"/>
          <w:sz w:val="32"/>
          <w:szCs w:val="32"/>
        </w:rPr>
      </w:pPr>
      <w:bookmarkStart w:id="57" w:name="_Toc464638478"/>
      <w:bookmarkStart w:id="58" w:name="_Toc465149513"/>
      <w:r>
        <w:rPr>
          <w:rFonts w:ascii="仿宋_GB2312" w:eastAsia="仿宋_GB2312" w:cs="仿宋_GB2312"/>
          <w:sz w:val="32"/>
          <w:szCs w:val="32"/>
        </w:rPr>
        <w:t>1.</w:t>
      </w:r>
      <w:r>
        <w:rPr>
          <w:rFonts w:hint="eastAsia" w:ascii="仿宋_GB2312" w:eastAsia="仿宋_GB2312" w:cs="仿宋_GB2312"/>
          <w:sz w:val="32"/>
          <w:szCs w:val="32"/>
        </w:rPr>
        <w:t>绩效目标设定（</w:t>
      </w:r>
      <w:r>
        <w:rPr>
          <w:rFonts w:ascii="仿宋_GB2312" w:eastAsia="仿宋_GB2312" w:cs="仿宋_GB2312"/>
          <w:sz w:val="32"/>
          <w:szCs w:val="32"/>
        </w:rPr>
        <w:t>6</w:t>
      </w:r>
      <w:r>
        <w:rPr>
          <w:rFonts w:hint="eastAsia" w:ascii="仿宋_GB2312" w:eastAsia="仿宋_GB2312" w:cs="仿宋_GB2312"/>
          <w:sz w:val="32"/>
          <w:szCs w:val="32"/>
        </w:rPr>
        <w:t>分）</w:t>
      </w:r>
    </w:p>
    <w:p w14:paraId="61781E13">
      <w:pPr>
        <w:spacing w:after="0" w:line="360" w:lineRule="auto"/>
        <w:ind w:firstLine="640" w:firstLineChars="200"/>
        <w:jc w:val="both"/>
        <w:textAlignment w:val="baseline"/>
        <w:rPr>
          <w:rFonts w:ascii="仿宋_GB2312" w:eastAsia="仿宋_GB2312" w:cs="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）绩效目标合理性</w:t>
      </w:r>
      <w:r>
        <w:rPr>
          <w:rFonts w:ascii="仿宋_GB2312" w:eastAsia="仿宋_GB2312" w:cs="仿宋_GB2312"/>
          <w:sz w:val="32"/>
          <w:szCs w:val="32"/>
        </w:rPr>
        <w:t>(2</w:t>
      </w:r>
      <w:r>
        <w:rPr>
          <w:rFonts w:hint="eastAsia" w:ascii="仿宋_GB2312" w:eastAsia="仿宋_GB2312" w:cs="仿宋_GB2312"/>
          <w:sz w:val="32"/>
          <w:szCs w:val="32"/>
        </w:rPr>
        <w:t>分</w:t>
      </w:r>
      <w:r>
        <w:rPr>
          <w:rFonts w:ascii="仿宋_GB2312" w:eastAsia="仿宋_GB2312" w:cs="仿宋_GB2312"/>
          <w:sz w:val="32"/>
          <w:szCs w:val="32"/>
        </w:rPr>
        <w:t>)</w:t>
      </w:r>
    </w:p>
    <w:p w14:paraId="2F6EF73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的职责设定是否符合“三定”方案中所赋予的职责；工作活动是否与部门职责、工作规划和重点工作相关；工作活动项下确定的预算项目是否合理，是否与工作活动密切相关；工作活动和项目预算安排是否合理。</w:t>
      </w:r>
    </w:p>
    <w:p w14:paraId="6EA3EC6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通过对比保定市徐水区委办公室及保定市徐水区人民政府办公室印发的《保定市徐水区总工会职能配置、内设机构和人员编制规定》和徐水区总工会</w:t>
      </w:r>
      <w:r>
        <w:rPr>
          <w:rFonts w:ascii="仿宋_GB2312" w:eastAsia="仿宋_GB2312" w:cs="仿宋_GB2312"/>
          <w:sz w:val="32"/>
          <w:szCs w:val="32"/>
        </w:rPr>
        <w:t>2021</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职责工作活动绩效目标，评价工作组认为区总工会部门职责符合“三定”方案中所赋予的职责，绩效目标设立依据充分，符合客观实际，与部门职责、工作规划和重点工作相关，工作活动和项目预算安排合理。</w:t>
      </w:r>
    </w:p>
    <w:p w14:paraId="22A1CBC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5666180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）绩效目标科学性（</w:t>
      </w:r>
      <w:r>
        <w:rPr>
          <w:rFonts w:ascii="仿宋_GB2312" w:eastAsia="仿宋_GB2312" w:cs="仿宋_GB2312"/>
          <w:sz w:val="32"/>
          <w:szCs w:val="32"/>
        </w:rPr>
        <w:t>2</w:t>
      </w:r>
      <w:r>
        <w:rPr>
          <w:rFonts w:hint="eastAsia" w:ascii="仿宋_GB2312" w:eastAsia="仿宋_GB2312" w:cs="仿宋_GB2312"/>
          <w:sz w:val="32"/>
          <w:szCs w:val="32"/>
        </w:rPr>
        <w:t>分）</w:t>
      </w:r>
    </w:p>
    <w:p w14:paraId="3F3AB87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预算批复的部门年度发展规划目标和部门职责分类绩效目标是否充分，是否与部门履职、年度工作任务相符；工作活动是否有明确的绩效目标，绩效目标是否与部门职责目标、部门年度工作目标一致，是否能体现工作活动的产出和效果。</w:t>
      </w:r>
    </w:p>
    <w:p w14:paraId="4EF319A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部门职责工作活动绩效目标（详见附件</w:t>
      </w:r>
      <w:r>
        <w:rPr>
          <w:rFonts w:ascii="仿宋_GB2312" w:eastAsia="仿宋_GB2312" w:cs="仿宋_GB2312"/>
          <w:sz w:val="32"/>
          <w:szCs w:val="32"/>
        </w:rPr>
        <w:t>4</w:t>
      </w:r>
      <w:r>
        <w:rPr>
          <w:rFonts w:hint="eastAsia" w:ascii="仿宋_GB2312" w:eastAsia="仿宋_GB2312" w:cs="仿宋_GB2312"/>
          <w:sz w:val="32"/>
          <w:szCs w:val="32"/>
        </w:rPr>
        <w:t>），绩效目标与部门履职、年度工作任务相符；工作活动有明确的绩效目标，绩效目标与部门职责目标、部门年度工作目标一致。</w:t>
      </w:r>
    </w:p>
    <w:p w14:paraId="3761817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6C65662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）绩效目标明确性（</w:t>
      </w:r>
      <w:r>
        <w:rPr>
          <w:rFonts w:ascii="仿宋_GB2312" w:eastAsia="仿宋_GB2312" w:cs="仿宋_GB2312"/>
          <w:sz w:val="32"/>
          <w:szCs w:val="32"/>
        </w:rPr>
        <w:t>2</w:t>
      </w:r>
      <w:r>
        <w:rPr>
          <w:rFonts w:hint="eastAsia" w:ascii="仿宋_GB2312" w:eastAsia="仿宋_GB2312" w:cs="仿宋_GB2312"/>
          <w:sz w:val="32"/>
          <w:szCs w:val="32"/>
        </w:rPr>
        <w:t>分）</w:t>
      </w:r>
    </w:p>
    <w:p w14:paraId="1D7B797B">
      <w:pPr>
        <w:spacing w:after="0" w:line="360" w:lineRule="auto"/>
        <w:ind w:firstLine="640" w:firstLineChars="200"/>
        <w:jc w:val="both"/>
        <w:textAlignment w:val="baseline"/>
        <w:rPr>
          <w:rFonts w:ascii="仿宋_GB2312" w:eastAsia="仿宋_GB2312"/>
          <w:sz w:val="32"/>
          <w:szCs w:val="32"/>
          <w:highlight w:val="yellow"/>
        </w:rPr>
      </w:pPr>
      <w:r>
        <w:rPr>
          <w:rFonts w:hint="eastAsia" w:ascii="仿宋_GB2312" w:eastAsia="仿宋_GB2312" w:cs="仿宋_GB2312"/>
          <w:sz w:val="32"/>
          <w:szCs w:val="32"/>
        </w:rPr>
        <w:t>该指标主要评价是否将部门整体的绩效目标细化分解为具体的工作任务，工作活动、预算项目绩效指标是否清晰、细化、可评价、可衡量；工作活动、预算项目绩效指标的评价标准是否清晰、可衡量；是否与部门年度的任务数或计划数相对应。</w:t>
      </w:r>
    </w:p>
    <w:p w14:paraId="7F7D23C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部门职责工作活动绩效目标</w:t>
      </w:r>
      <w:r>
        <w:rPr>
          <w:rFonts w:ascii="仿宋_GB2312" w:eastAsia="仿宋_GB2312" w:cs="仿宋_GB2312"/>
          <w:sz w:val="32"/>
          <w:szCs w:val="32"/>
        </w:rPr>
        <w:t>,</w:t>
      </w: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6EBD9CF8">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预算配置（</w:t>
      </w:r>
      <w:r>
        <w:rPr>
          <w:rFonts w:ascii="仿宋_GB2312" w:eastAsia="仿宋_GB2312" w:cs="仿宋_GB2312"/>
          <w:sz w:val="32"/>
          <w:szCs w:val="32"/>
        </w:rPr>
        <w:t>6</w:t>
      </w:r>
      <w:r>
        <w:rPr>
          <w:rFonts w:hint="eastAsia" w:ascii="仿宋_GB2312" w:eastAsia="仿宋_GB2312" w:cs="仿宋_GB2312"/>
          <w:sz w:val="32"/>
          <w:szCs w:val="32"/>
        </w:rPr>
        <w:t>分）</w:t>
      </w:r>
    </w:p>
    <w:p w14:paraId="1C223D8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）预算编制完整性（</w:t>
      </w:r>
      <w:r>
        <w:rPr>
          <w:rFonts w:ascii="仿宋_GB2312" w:eastAsia="仿宋_GB2312" w:cs="仿宋_GB2312"/>
          <w:sz w:val="32"/>
          <w:szCs w:val="32"/>
        </w:rPr>
        <w:t>2</w:t>
      </w:r>
      <w:r>
        <w:rPr>
          <w:rFonts w:hint="eastAsia" w:ascii="仿宋_GB2312" w:eastAsia="仿宋_GB2312" w:cs="仿宋_GB2312"/>
          <w:sz w:val="32"/>
          <w:szCs w:val="32"/>
        </w:rPr>
        <w:t>分）</w:t>
      </w:r>
    </w:p>
    <w:p w14:paraId="45B95CE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该指标主要评价部门所有收入是否全部纳入部门预算，部门支出预算是否统筹各类支出，按基本支出、项目支出分别编制。</w:t>
      </w:r>
    </w:p>
    <w:p w14:paraId="4A93F23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年预算文本及相关会计资料，区总工会所有收入均已纳入部门预算，部门支出按基本支出、项目支出分别编制。</w:t>
      </w:r>
    </w:p>
    <w:p w14:paraId="6E03C25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628D62B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）项目预算细化率（</w:t>
      </w:r>
      <w:r>
        <w:rPr>
          <w:rFonts w:ascii="仿宋_GB2312" w:eastAsia="仿宋_GB2312" w:cs="仿宋_GB2312"/>
          <w:sz w:val="32"/>
          <w:szCs w:val="32"/>
        </w:rPr>
        <w:t>2</w:t>
      </w:r>
      <w:r>
        <w:rPr>
          <w:rFonts w:hint="eastAsia" w:ascii="仿宋_GB2312" w:eastAsia="仿宋_GB2312" w:cs="仿宋_GB2312"/>
          <w:sz w:val="32"/>
          <w:szCs w:val="32"/>
        </w:rPr>
        <w:t>分）</w:t>
      </w:r>
    </w:p>
    <w:p w14:paraId="5F1B429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该指标主要评价编报的项目支出是否细化到具体用款单位和项目的资金额度，通过项目预算细化率衡量。</w:t>
      </w:r>
    </w:p>
    <w:p w14:paraId="3C80692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项目预算细化率</w:t>
      </w:r>
      <w:r>
        <w:rPr>
          <w:rFonts w:ascii="仿宋_GB2312" w:eastAsia="仿宋_GB2312" w:cs="仿宋_GB2312"/>
          <w:sz w:val="32"/>
          <w:szCs w:val="32"/>
        </w:rPr>
        <w:t>=</w:t>
      </w:r>
      <w:r>
        <w:rPr>
          <w:rFonts w:hint="eastAsia" w:ascii="仿宋_GB2312" w:eastAsia="仿宋_GB2312" w:cs="仿宋_GB2312"/>
          <w:sz w:val="32"/>
          <w:szCs w:val="32"/>
        </w:rPr>
        <w:t>细化的项目金额</w:t>
      </w:r>
      <w:r>
        <w:rPr>
          <w:rFonts w:ascii="仿宋_GB2312" w:eastAsia="仿宋_GB2312" w:cs="仿宋_GB2312"/>
          <w:sz w:val="32"/>
          <w:szCs w:val="32"/>
        </w:rPr>
        <w:t>/</w:t>
      </w:r>
      <w:r>
        <w:rPr>
          <w:rFonts w:hint="eastAsia" w:ascii="仿宋_GB2312" w:eastAsia="仿宋_GB2312" w:cs="仿宋_GB2312"/>
          <w:sz w:val="32"/>
          <w:szCs w:val="32"/>
        </w:rPr>
        <w:t>实际编报的项目金额×</w:t>
      </w:r>
      <w:r>
        <w:rPr>
          <w:rFonts w:ascii="仿宋_GB2312" w:eastAsia="仿宋_GB2312" w:cs="仿宋_GB2312"/>
          <w:sz w:val="32"/>
          <w:szCs w:val="32"/>
        </w:rPr>
        <w:t>100%</w:t>
      </w:r>
      <w:r>
        <w:rPr>
          <w:rFonts w:hint="eastAsia" w:ascii="仿宋_GB2312" w:eastAsia="仿宋_GB2312" w:cs="仿宋_GB2312"/>
          <w:sz w:val="32"/>
          <w:szCs w:val="32"/>
        </w:rPr>
        <w:t>。</w:t>
      </w:r>
    </w:p>
    <w:p w14:paraId="3920C251">
      <w:pPr>
        <w:spacing w:after="0" w:line="360" w:lineRule="auto"/>
        <w:ind w:firstLine="640" w:firstLineChars="200"/>
        <w:jc w:val="both"/>
        <w:textAlignment w:val="baseline"/>
        <w:rPr>
          <w:rFonts w:hint="eastAsia" w:ascii="仿宋_GB2312" w:eastAsia="仿宋_GB2312" w:cs="仿宋_GB2312"/>
          <w:color w:val="FF0000"/>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部门项目支出预算表，区总工会</w:t>
      </w:r>
      <w:r>
        <w:rPr>
          <w:rFonts w:ascii="仿宋_GB2312" w:eastAsia="仿宋_GB2312" w:cs="仿宋_GB2312"/>
          <w:sz w:val="32"/>
          <w:szCs w:val="32"/>
        </w:rPr>
        <w:t>2021</w:t>
      </w:r>
      <w:r>
        <w:rPr>
          <w:rFonts w:hint="eastAsia" w:ascii="仿宋_GB2312" w:eastAsia="仿宋_GB2312" w:cs="仿宋_GB2312"/>
          <w:sz w:val="32"/>
          <w:szCs w:val="32"/>
        </w:rPr>
        <w:t>年预算项目共</w:t>
      </w:r>
      <w:r>
        <w:rPr>
          <w:rFonts w:ascii="仿宋_GB2312" w:eastAsia="仿宋_GB2312" w:cs="仿宋_GB2312"/>
          <w:sz w:val="32"/>
          <w:szCs w:val="32"/>
        </w:rPr>
        <w:t>1</w:t>
      </w:r>
      <w:r>
        <w:rPr>
          <w:rFonts w:hint="eastAsia" w:ascii="仿宋_GB2312" w:eastAsia="仿宋_GB2312" w:cs="仿宋_GB2312"/>
          <w:sz w:val="32"/>
          <w:szCs w:val="32"/>
        </w:rPr>
        <w:t>个（详见附件</w:t>
      </w:r>
      <w:r>
        <w:rPr>
          <w:rFonts w:ascii="仿宋_GB2312" w:eastAsia="仿宋_GB2312" w:cs="仿宋_GB2312"/>
          <w:sz w:val="32"/>
          <w:szCs w:val="32"/>
        </w:rPr>
        <w:t>2-2-2</w:t>
      </w:r>
      <w:r>
        <w:rPr>
          <w:rFonts w:hint="eastAsia" w:ascii="仿宋_GB2312" w:eastAsia="仿宋_GB2312" w:cs="仿宋_GB2312"/>
          <w:sz w:val="32"/>
          <w:szCs w:val="32"/>
        </w:rPr>
        <w:t>），涉及资金</w:t>
      </w:r>
      <w:r>
        <w:rPr>
          <w:rFonts w:ascii="仿宋_GB2312" w:hAnsi="宋体" w:eastAsia="仿宋_GB2312" w:cs="仿宋_GB2312"/>
          <w:sz w:val="32"/>
          <w:szCs w:val="32"/>
          <w:u w:color="000000"/>
        </w:rPr>
        <w:t>2.3</w:t>
      </w:r>
      <w:r>
        <w:rPr>
          <w:rFonts w:hint="eastAsia" w:ascii="仿宋_GB2312" w:eastAsia="仿宋_GB2312" w:cs="仿宋_GB2312"/>
          <w:sz w:val="32"/>
          <w:szCs w:val="32"/>
        </w:rPr>
        <w:t>万元，所有项目均细化到具体用款单位及项目资金额度。项目预算细化率</w:t>
      </w:r>
      <w:r>
        <w:rPr>
          <w:rFonts w:ascii="仿宋_GB2312" w:eastAsia="仿宋_GB2312" w:cs="仿宋_GB2312"/>
          <w:sz w:val="32"/>
          <w:szCs w:val="32"/>
        </w:rPr>
        <w:t>=2.3/2.3*100%=100%</w:t>
      </w:r>
      <w:r>
        <w:rPr>
          <w:rFonts w:hint="eastAsia" w:ascii="仿宋_GB2312" w:eastAsia="仿宋_GB2312" w:cs="仿宋_GB2312"/>
          <w:sz w:val="32"/>
          <w:szCs w:val="32"/>
        </w:rPr>
        <w:t>。</w:t>
      </w:r>
    </w:p>
    <w:p w14:paraId="012CC38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48F386A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）在职人员控制率（</w:t>
      </w:r>
      <w:r>
        <w:rPr>
          <w:rFonts w:ascii="仿宋_GB2312" w:eastAsia="仿宋_GB2312" w:cs="仿宋_GB2312"/>
          <w:sz w:val="32"/>
          <w:szCs w:val="32"/>
        </w:rPr>
        <w:t>2</w:t>
      </w:r>
      <w:r>
        <w:rPr>
          <w:rFonts w:hint="eastAsia" w:ascii="仿宋_GB2312" w:eastAsia="仿宋_GB2312" w:cs="仿宋_GB2312"/>
          <w:sz w:val="32"/>
          <w:szCs w:val="32"/>
        </w:rPr>
        <w:t>分）</w:t>
      </w:r>
    </w:p>
    <w:p w14:paraId="3190DC2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该指标主要考核截至</w:t>
      </w:r>
      <w:r>
        <w:rPr>
          <w:rFonts w:ascii="仿宋_GB2312" w:eastAsia="仿宋_GB2312" w:cs="仿宋_GB2312"/>
          <w:sz w:val="32"/>
          <w:szCs w:val="32"/>
        </w:rPr>
        <w:t>2021</w:t>
      </w:r>
      <w:r>
        <w:rPr>
          <w:rFonts w:hint="eastAsia" w:ascii="仿宋_GB2312" w:eastAsia="仿宋_GB2312" w:cs="仿宋_GB2312"/>
          <w:sz w:val="32"/>
          <w:szCs w:val="32"/>
        </w:rPr>
        <w:t>年底区总工会在职人员控制情况，通过在职人员控制率衡量。</w:t>
      </w:r>
    </w:p>
    <w:p w14:paraId="234B89D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在职人员控制率</w:t>
      </w:r>
      <w:r>
        <w:rPr>
          <w:rFonts w:ascii="仿宋_GB2312" w:eastAsia="仿宋_GB2312" w:cs="仿宋_GB2312"/>
          <w:sz w:val="32"/>
          <w:szCs w:val="32"/>
        </w:rPr>
        <w:t>=</w:t>
      </w:r>
      <w:r>
        <w:rPr>
          <w:rFonts w:hint="eastAsia" w:ascii="仿宋_GB2312" w:eastAsia="仿宋_GB2312" w:cs="仿宋_GB2312"/>
          <w:sz w:val="32"/>
          <w:szCs w:val="32"/>
        </w:rPr>
        <w:t>决算在职人员</w:t>
      </w:r>
      <w:r>
        <w:rPr>
          <w:rFonts w:ascii="仿宋_GB2312" w:eastAsia="仿宋_GB2312" w:cs="仿宋_GB2312"/>
          <w:sz w:val="32"/>
          <w:szCs w:val="32"/>
        </w:rPr>
        <w:t>/</w:t>
      </w:r>
      <w:r>
        <w:rPr>
          <w:rFonts w:hint="eastAsia" w:ascii="仿宋_GB2312" w:eastAsia="仿宋_GB2312" w:cs="仿宋_GB2312"/>
          <w:sz w:val="32"/>
          <w:szCs w:val="32"/>
        </w:rPr>
        <w:t>编制数×</w:t>
      </w:r>
      <w:r>
        <w:rPr>
          <w:rFonts w:ascii="仿宋_GB2312" w:eastAsia="仿宋_GB2312" w:cs="仿宋_GB2312"/>
          <w:sz w:val="32"/>
          <w:szCs w:val="32"/>
        </w:rPr>
        <w:t>100%</w:t>
      </w:r>
      <w:r>
        <w:rPr>
          <w:rFonts w:hint="eastAsia" w:ascii="仿宋_GB2312" w:eastAsia="仿宋_GB2312" w:cs="仿宋_GB2312"/>
          <w:sz w:val="32"/>
          <w:szCs w:val="32"/>
        </w:rPr>
        <w:t>。</w:t>
      </w:r>
    </w:p>
    <w:p w14:paraId="30EA73D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根据保定市徐水区委办公室及保定市徐水区人民政府办公室关于印发《保定市徐水区总工会职能配置、内设机构和人员编制规定》的通知，徐水区总工会人员编制为</w:t>
      </w:r>
      <w:r>
        <w:rPr>
          <w:rFonts w:ascii="仿宋_GB2312" w:eastAsia="仿宋_GB2312" w:cs="仿宋_GB2312"/>
          <w:sz w:val="32"/>
          <w:szCs w:val="32"/>
        </w:rPr>
        <w:t>10</w:t>
      </w:r>
      <w:r>
        <w:rPr>
          <w:rFonts w:hint="eastAsia" w:ascii="仿宋_GB2312" w:eastAsia="仿宋_GB2312" w:cs="仿宋_GB2312"/>
          <w:sz w:val="32"/>
          <w:szCs w:val="32"/>
        </w:rPr>
        <w:t>人，根据区总工会</w:t>
      </w:r>
      <w:r>
        <w:rPr>
          <w:rFonts w:ascii="仿宋_GB2312" w:eastAsia="仿宋_GB2312" w:cs="仿宋_GB2312"/>
          <w:sz w:val="32"/>
          <w:szCs w:val="32"/>
        </w:rPr>
        <w:t>2021</w:t>
      </w:r>
      <w:r>
        <w:rPr>
          <w:rFonts w:hint="eastAsia" w:ascii="仿宋_GB2312" w:eastAsia="仿宋_GB2312" w:cs="仿宋_GB2312"/>
          <w:sz w:val="32"/>
          <w:szCs w:val="32"/>
        </w:rPr>
        <w:t>年决算文本</w:t>
      </w:r>
      <w:r>
        <w:rPr>
          <w:rFonts w:ascii="仿宋_GB2312" w:eastAsia="仿宋_GB2312" w:cs="仿宋_GB2312"/>
          <w:sz w:val="32"/>
          <w:szCs w:val="32"/>
        </w:rPr>
        <w:t>-</w:t>
      </w:r>
      <w:r>
        <w:rPr>
          <w:rFonts w:hint="eastAsia" w:ascii="仿宋_GB2312" w:eastAsia="仿宋_GB2312" w:cs="仿宋_GB2312"/>
          <w:sz w:val="32"/>
          <w:szCs w:val="32"/>
        </w:rPr>
        <w:t>部门基本情况表，截至</w:t>
      </w:r>
      <w:r>
        <w:rPr>
          <w:rFonts w:ascii="仿宋_GB2312" w:eastAsia="仿宋_GB2312" w:cs="仿宋_GB2312"/>
          <w:sz w:val="32"/>
          <w:szCs w:val="32"/>
        </w:rPr>
        <w:t>2021</w:t>
      </w:r>
      <w:r>
        <w:rPr>
          <w:rFonts w:hint="eastAsia" w:ascii="仿宋_GB2312" w:eastAsia="仿宋_GB2312" w:cs="仿宋_GB2312"/>
          <w:sz w:val="32"/>
          <w:szCs w:val="32"/>
        </w:rPr>
        <w:t>年底，在职人员</w:t>
      </w:r>
      <w:r>
        <w:rPr>
          <w:rFonts w:ascii="仿宋_GB2312" w:eastAsia="仿宋_GB2312" w:cs="仿宋_GB2312"/>
          <w:sz w:val="32"/>
          <w:szCs w:val="32"/>
        </w:rPr>
        <w:t>10</w:t>
      </w:r>
      <w:r>
        <w:rPr>
          <w:rFonts w:hint="eastAsia" w:ascii="仿宋_GB2312" w:eastAsia="仿宋_GB2312" w:cs="仿宋_GB2312"/>
          <w:sz w:val="32"/>
          <w:szCs w:val="32"/>
        </w:rPr>
        <w:t>人，在职人员控制率</w:t>
      </w:r>
      <w:r>
        <w:rPr>
          <w:rFonts w:ascii="仿宋_GB2312" w:eastAsia="仿宋_GB2312" w:cs="仿宋_GB2312"/>
          <w:sz w:val="32"/>
          <w:szCs w:val="32"/>
        </w:rPr>
        <w:t>=</w:t>
      </w:r>
      <w:r>
        <w:rPr>
          <w:rFonts w:hint="eastAsia" w:ascii="仿宋_GB2312" w:eastAsia="仿宋_GB2312" w:cs="仿宋_GB2312"/>
          <w:sz w:val="32"/>
          <w:szCs w:val="32"/>
        </w:rPr>
        <w:t>（</w:t>
      </w:r>
      <w:r>
        <w:rPr>
          <w:rFonts w:ascii="仿宋_GB2312" w:eastAsia="仿宋_GB2312" w:cs="仿宋_GB2312"/>
          <w:sz w:val="32"/>
          <w:szCs w:val="32"/>
        </w:rPr>
        <w:t>10/10</w:t>
      </w:r>
      <w:r>
        <w:rPr>
          <w:rFonts w:hint="eastAsia" w:ascii="仿宋_GB2312" w:eastAsia="仿宋_GB2312" w:cs="仿宋_GB2312"/>
          <w:sz w:val="32"/>
          <w:szCs w:val="32"/>
        </w:rPr>
        <w:t>）</w:t>
      </w:r>
      <w:r>
        <w:rPr>
          <w:rFonts w:ascii="仿宋_GB2312" w:eastAsia="仿宋_GB2312" w:cs="仿宋_GB2312"/>
          <w:sz w:val="32"/>
          <w:szCs w:val="32"/>
        </w:rPr>
        <w:t>*100%=100%</w:t>
      </w:r>
      <w:r>
        <w:rPr>
          <w:rFonts w:hint="eastAsia" w:ascii="仿宋_GB2312" w:eastAsia="仿宋_GB2312" w:cs="仿宋_GB2312"/>
          <w:sz w:val="32"/>
          <w:szCs w:val="32"/>
        </w:rPr>
        <w:t>。</w:t>
      </w:r>
    </w:p>
    <w:p w14:paraId="3E2005D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bookmarkEnd w:id="57"/>
    <w:bookmarkEnd w:id="58"/>
    <w:p w14:paraId="6372F2B2">
      <w:pPr>
        <w:pStyle w:val="4"/>
        <w:spacing w:before="0" w:after="0"/>
        <w:ind w:firstLine="643" w:firstLineChars="200"/>
        <w:jc w:val="both"/>
        <w:rPr>
          <w:rFonts w:ascii="楷体" w:hAnsi="楷体" w:eastAsia="楷体" w:cs="Tahoma"/>
          <w:sz w:val="32"/>
          <w:szCs w:val="32"/>
        </w:rPr>
      </w:pPr>
      <w:bookmarkStart w:id="59" w:name="_Toc19940"/>
      <w:r>
        <w:rPr>
          <w:rFonts w:hint="eastAsia" w:ascii="楷体" w:hAnsi="楷体" w:eastAsia="楷体" w:cs="楷体"/>
          <w:sz w:val="32"/>
          <w:szCs w:val="32"/>
        </w:rPr>
        <w:t>（二）过程（</w:t>
      </w:r>
      <w:r>
        <w:rPr>
          <w:rFonts w:ascii="楷体" w:hAnsi="楷体" w:eastAsia="楷体" w:cs="楷体"/>
          <w:sz w:val="32"/>
          <w:szCs w:val="32"/>
        </w:rPr>
        <w:t>48</w:t>
      </w:r>
      <w:r>
        <w:rPr>
          <w:rFonts w:hint="eastAsia" w:ascii="楷体" w:hAnsi="楷体" w:eastAsia="楷体" w:cs="楷体"/>
          <w:sz w:val="32"/>
          <w:szCs w:val="32"/>
        </w:rPr>
        <w:t>分）</w:t>
      </w:r>
      <w:bookmarkEnd w:id="59"/>
    </w:p>
    <w:p w14:paraId="6F393754">
      <w:pPr>
        <w:spacing w:after="0" w:line="360" w:lineRule="auto"/>
        <w:ind w:firstLine="640" w:firstLineChars="200"/>
        <w:jc w:val="both"/>
        <w:textAlignment w:val="baseline"/>
        <w:rPr>
          <w:rFonts w:ascii="仿宋_GB2312" w:eastAsia="仿宋_GB2312"/>
          <w:sz w:val="32"/>
          <w:szCs w:val="32"/>
        </w:rPr>
      </w:pPr>
      <w:bookmarkStart w:id="60" w:name="_Toc464638480"/>
      <w:r>
        <w:rPr>
          <w:rFonts w:hint="eastAsia" w:ascii="仿宋_GB2312" w:eastAsia="仿宋_GB2312" w:cs="仿宋_GB2312"/>
          <w:sz w:val="32"/>
          <w:szCs w:val="32"/>
        </w:rPr>
        <w:t>该一级指标包含预算执行、预算管理和绩效评价三个二级指标，主要反映预算调整、收入支出完成情况，“三公”经费、政府采购执行情况，财务管理是否规范、资金使用是否合规，决算真实性。</w:t>
      </w:r>
    </w:p>
    <w:p w14:paraId="7DE7AAC6">
      <w:pPr>
        <w:spacing w:after="0" w:line="360" w:lineRule="auto"/>
        <w:jc w:val="center"/>
        <w:textAlignment w:val="baseline"/>
        <w:rPr>
          <w:rFonts w:ascii="宋体" w:hAnsi="宋体" w:eastAsia="宋体"/>
          <w:b/>
          <w:bCs/>
          <w:sz w:val="32"/>
          <w:szCs w:val="32"/>
        </w:rPr>
      </w:pPr>
      <w:r>
        <w:rPr>
          <w:rFonts w:hint="eastAsia" w:ascii="宋体" w:hAnsi="宋体" w:eastAsia="宋体" w:cs="宋体"/>
          <w:b/>
          <w:bCs/>
          <w:sz w:val="32"/>
          <w:szCs w:val="32"/>
        </w:rPr>
        <w:t>表</w:t>
      </w:r>
      <w:r>
        <w:rPr>
          <w:rFonts w:ascii="宋体" w:hAnsi="宋体" w:eastAsia="宋体" w:cs="宋体"/>
          <w:b/>
          <w:bCs/>
          <w:sz w:val="32"/>
          <w:szCs w:val="32"/>
        </w:rPr>
        <w:t xml:space="preserve">3  </w:t>
      </w:r>
      <w:r>
        <w:rPr>
          <w:rFonts w:hint="eastAsia" w:ascii="宋体" w:hAnsi="宋体" w:eastAsia="宋体" w:cs="宋体"/>
          <w:b/>
          <w:bCs/>
          <w:sz w:val="32"/>
          <w:szCs w:val="32"/>
        </w:rPr>
        <w:t>过程指标及得分情况表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57"/>
        <w:gridCol w:w="1388"/>
        <w:gridCol w:w="2277"/>
        <w:gridCol w:w="1155"/>
        <w:gridCol w:w="1276"/>
      </w:tblGrid>
      <w:tr w14:paraId="19CA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Align w:val="center"/>
          </w:tcPr>
          <w:p w14:paraId="7EAD7FF9">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一级指标</w:t>
            </w:r>
          </w:p>
        </w:tc>
        <w:tc>
          <w:tcPr>
            <w:tcW w:w="1388" w:type="dxa"/>
            <w:vAlign w:val="center"/>
          </w:tcPr>
          <w:p w14:paraId="121CCEEF">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二级指标</w:t>
            </w:r>
          </w:p>
        </w:tc>
        <w:tc>
          <w:tcPr>
            <w:tcW w:w="2277" w:type="dxa"/>
            <w:vAlign w:val="center"/>
          </w:tcPr>
          <w:p w14:paraId="6C509A54">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三级指标</w:t>
            </w:r>
          </w:p>
        </w:tc>
        <w:tc>
          <w:tcPr>
            <w:tcW w:w="1155" w:type="dxa"/>
            <w:vAlign w:val="center"/>
          </w:tcPr>
          <w:p w14:paraId="4879B61C">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分数权重</w:t>
            </w:r>
          </w:p>
        </w:tc>
        <w:tc>
          <w:tcPr>
            <w:tcW w:w="1276" w:type="dxa"/>
            <w:vAlign w:val="center"/>
          </w:tcPr>
          <w:p w14:paraId="0E4E9447">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得分</w:t>
            </w:r>
          </w:p>
        </w:tc>
      </w:tr>
      <w:tr w14:paraId="27E9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restart"/>
            <w:vAlign w:val="center"/>
          </w:tcPr>
          <w:p w14:paraId="458C38EE">
            <w:pPr>
              <w:spacing w:line="420" w:lineRule="exact"/>
              <w:jc w:val="center"/>
              <w:rPr>
                <w:rFonts w:ascii="宋体" w:hAnsi="宋体" w:eastAsia="宋体"/>
                <w:sz w:val="21"/>
                <w:szCs w:val="21"/>
              </w:rPr>
            </w:pPr>
            <w:r>
              <w:rPr>
                <w:rFonts w:hint="eastAsia" w:ascii="宋体" w:hAnsi="宋体" w:eastAsia="宋体" w:cs="宋体"/>
                <w:sz w:val="21"/>
                <w:szCs w:val="21"/>
              </w:rPr>
              <w:t>过程（</w:t>
            </w:r>
            <w:r>
              <w:rPr>
                <w:rFonts w:ascii="宋体" w:hAnsi="宋体" w:eastAsia="宋体" w:cs="宋体"/>
                <w:sz w:val="21"/>
                <w:szCs w:val="21"/>
              </w:rPr>
              <w:t>48</w:t>
            </w:r>
            <w:r>
              <w:rPr>
                <w:rFonts w:hint="eastAsia" w:ascii="宋体" w:hAnsi="宋体" w:eastAsia="宋体" w:cs="宋体"/>
                <w:sz w:val="21"/>
                <w:szCs w:val="21"/>
              </w:rPr>
              <w:t>分）</w:t>
            </w:r>
          </w:p>
        </w:tc>
        <w:tc>
          <w:tcPr>
            <w:tcW w:w="1388" w:type="dxa"/>
            <w:vMerge w:val="restart"/>
            <w:vAlign w:val="center"/>
          </w:tcPr>
          <w:p w14:paraId="322D6381">
            <w:pPr>
              <w:spacing w:line="420" w:lineRule="exact"/>
              <w:jc w:val="center"/>
              <w:rPr>
                <w:rFonts w:ascii="宋体" w:hAnsi="宋体" w:eastAsia="宋体"/>
                <w:sz w:val="21"/>
                <w:szCs w:val="21"/>
              </w:rPr>
            </w:pPr>
            <w:r>
              <w:rPr>
                <w:rFonts w:hint="eastAsia" w:ascii="宋体" w:hAnsi="宋体" w:eastAsia="宋体" w:cs="宋体"/>
                <w:sz w:val="21"/>
                <w:szCs w:val="21"/>
              </w:rPr>
              <w:t>预算执行</w:t>
            </w:r>
          </w:p>
          <w:p w14:paraId="3E882A0C">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24</w:t>
            </w:r>
            <w:r>
              <w:rPr>
                <w:rFonts w:hint="eastAsia" w:ascii="宋体" w:hAnsi="宋体" w:eastAsia="宋体" w:cs="宋体"/>
                <w:sz w:val="21"/>
                <w:szCs w:val="21"/>
              </w:rPr>
              <w:t>分）</w:t>
            </w:r>
          </w:p>
        </w:tc>
        <w:tc>
          <w:tcPr>
            <w:tcW w:w="2277" w:type="dxa"/>
            <w:vAlign w:val="center"/>
          </w:tcPr>
          <w:p w14:paraId="3A4CAE6E">
            <w:pPr>
              <w:spacing w:line="420" w:lineRule="exact"/>
              <w:jc w:val="center"/>
              <w:rPr>
                <w:rFonts w:ascii="宋体" w:hAnsi="宋体" w:eastAsia="宋体"/>
                <w:sz w:val="21"/>
                <w:szCs w:val="21"/>
              </w:rPr>
            </w:pPr>
            <w:r>
              <w:rPr>
                <w:rFonts w:hint="eastAsia" w:ascii="宋体" w:hAnsi="宋体" w:eastAsia="宋体" w:cs="宋体"/>
                <w:sz w:val="21"/>
                <w:szCs w:val="21"/>
              </w:rPr>
              <w:t>预算收入调整率</w:t>
            </w:r>
          </w:p>
        </w:tc>
        <w:tc>
          <w:tcPr>
            <w:tcW w:w="1155" w:type="dxa"/>
            <w:vAlign w:val="center"/>
          </w:tcPr>
          <w:p w14:paraId="2590F66E">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276" w:type="dxa"/>
            <w:vAlign w:val="center"/>
          </w:tcPr>
          <w:p w14:paraId="43F51B33">
            <w:pPr>
              <w:spacing w:line="420" w:lineRule="exact"/>
              <w:jc w:val="center"/>
              <w:rPr>
                <w:rFonts w:ascii="宋体" w:hAnsi="宋体" w:eastAsia="宋体"/>
                <w:sz w:val="21"/>
                <w:szCs w:val="21"/>
              </w:rPr>
            </w:pPr>
            <w:r>
              <w:rPr>
                <w:rFonts w:ascii="宋体" w:hAnsi="宋体" w:eastAsia="宋体" w:cs="宋体"/>
                <w:sz w:val="21"/>
                <w:szCs w:val="21"/>
              </w:rPr>
              <w:t>1</w:t>
            </w:r>
          </w:p>
        </w:tc>
      </w:tr>
      <w:tr w14:paraId="022F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0A822EA9">
            <w:pPr>
              <w:spacing w:line="420" w:lineRule="exact"/>
              <w:jc w:val="center"/>
              <w:rPr>
                <w:rFonts w:ascii="宋体" w:hAnsi="宋体" w:eastAsia="宋体"/>
                <w:sz w:val="21"/>
                <w:szCs w:val="21"/>
              </w:rPr>
            </w:pPr>
          </w:p>
        </w:tc>
        <w:tc>
          <w:tcPr>
            <w:tcW w:w="1388" w:type="dxa"/>
            <w:vMerge w:val="continue"/>
            <w:vAlign w:val="center"/>
          </w:tcPr>
          <w:p w14:paraId="331A4EF3">
            <w:pPr>
              <w:spacing w:line="420" w:lineRule="exact"/>
              <w:jc w:val="center"/>
              <w:rPr>
                <w:rFonts w:ascii="宋体" w:hAnsi="宋体" w:eastAsia="宋体"/>
                <w:sz w:val="21"/>
                <w:szCs w:val="21"/>
              </w:rPr>
            </w:pPr>
          </w:p>
        </w:tc>
        <w:tc>
          <w:tcPr>
            <w:tcW w:w="2277" w:type="dxa"/>
            <w:vAlign w:val="center"/>
          </w:tcPr>
          <w:p w14:paraId="18513077">
            <w:pPr>
              <w:spacing w:line="420" w:lineRule="exact"/>
              <w:jc w:val="center"/>
              <w:rPr>
                <w:rFonts w:ascii="宋体" w:hAnsi="宋体" w:eastAsia="宋体"/>
                <w:sz w:val="21"/>
                <w:szCs w:val="21"/>
              </w:rPr>
            </w:pPr>
            <w:r>
              <w:rPr>
                <w:rFonts w:hint="eastAsia" w:ascii="宋体" w:hAnsi="宋体" w:eastAsia="宋体" w:cs="宋体"/>
                <w:sz w:val="21"/>
                <w:szCs w:val="21"/>
              </w:rPr>
              <w:t>收入完成率</w:t>
            </w:r>
          </w:p>
        </w:tc>
        <w:tc>
          <w:tcPr>
            <w:tcW w:w="1155" w:type="dxa"/>
            <w:vAlign w:val="center"/>
          </w:tcPr>
          <w:p w14:paraId="0DF970F3">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488D1B4F">
            <w:pPr>
              <w:spacing w:line="420" w:lineRule="exact"/>
              <w:jc w:val="center"/>
              <w:rPr>
                <w:rFonts w:ascii="宋体" w:hAnsi="宋体" w:eastAsia="宋体"/>
                <w:sz w:val="21"/>
                <w:szCs w:val="21"/>
              </w:rPr>
            </w:pPr>
            <w:r>
              <w:rPr>
                <w:rFonts w:ascii="宋体" w:hAnsi="宋体" w:eastAsia="宋体" w:cs="宋体"/>
                <w:sz w:val="21"/>
                <w:szCs w:val="21"/>
              </w:rPr>
              <w:t>4</w:t>
            </w:r>
          </w:p>
        </w:tc>
      </w:tr>
      <w:tr w14:paraId="25E8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4D39393F">
            <w:pPr>
              <w:spacing w:line="420" w:lineRule="exact"/>
              <w:jc w:val="center"/>
              <w:rPr>
                <w:rFonts w:ascii="宋体" w:hAnsi="宋体" w:eastAsia="宋体"/>
                <w:sz w:val="21"/>
                <w:szCs w:val="21"/>
              </w:rPr>
            </w:pPr>
          </w:p>
        </w:tc>
        <w:tc>
          <w:tcPr>
            <w:tcW w:w="1388" w:type="dxa"/>
            <w:vMerge w:val="continue"/>
            <w:vAlign w:val="center"/>
          </w:tcPr>
          <w:p w14:paraId="2FCBB201">
            <w:pPr>
              <w:spacing w:line="420" w:lineRule="exact"/>
              <w:jc w:val="center"/>
              <w:rPr>
                <w:rFonts w:ascii="宋体" w:hAnsi="宋体" w:eastAsia="宋体"/>
                <w:sz w:val="21"/>
                <w:szCs w:val="21"/>
              </w:rPr>
            </w:pPr>
          </w:p>
        </w:tc>
        <w:tc>
          <w:tcPr>
            <w:tcW w:w="2277" w:type="dxa"/>
            <w:vAlign w:val="center"/>
          </w:tcPr>
          <w:p w14:paraId="1964139F">
            <w:pPr>
              <w:spacing w:line="420" w:lineRule="exact"/>
              <w:jc w:val="center"/>
              <w:rPr>
                <w:rFonts w:ascii="宋体" w:hAnsi="宋体" w:eastAsia="宋体"/>
                <w:sz w:val="21"/>
                <w:szCs w:val="21"/>
              </w:rPr>
            </w:pPr>
            <w:r>
              <w:rPr>
                <w:rFonts w:hint="eastAsia" w:ascii="宋体" w:hAnsi="宋体" w:eastAsia="宋体" w:cs="宋体"/>
                <w:sz w:val="21"/>
                <w:szCs w:val="21"/>
              </w:rPr>
              <w:t>预算支出调整率</w:t>
            </w:r>
          </w:p>
        </w:tc>
        <w:tc>
          <w:tcPr>
            <w:tcW w:w="1155" w:type="dxa"/>
            <w:vAlign w:val="center"/>
          </w:tcPr>
          <w:p w14:paraId="440807B2">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276" w:type="dxa"/>
            <w:vAlign w:val="center"/>
          </w:tcPr>
          <w:p w14:paraId="29D201D4">
            <w:pPr>
              <w:spacing w:line="420" w:lineRule="exact"/>
              <w:jc w:val="center"/>
              <w:rPr>
                <w:rFonts w:ascii="宋体" w:hAnsi="宋体" w:eastAsia="宋体"/>
                <w:sz w:val="21"/>
                <w:szCs w:val="21"/>
              </w:rPr>
            </w:pPr>
            <w:r>
              <w:rPr>
                <w:rFonts w:ascii="宋体" w:hAnsi="宋体" w:eastAsia="宋体" w:cs="宋体"/>
                <w:sz w:val="21"/>
                <w:szCs w:val="21"/>
              </w:rPr>
              <w:t>1</w:t>
            </w:r>
          </w:p>
        </w:tc>
      </w:tr>
      <w:tr w14:paraId="5026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784D1AB8">
            <w:pPr>
              <w:spacing w:line="420" w:lineRule="exact"/>
              <w:jc w:val="center"/>
              <w:rPr>
                <w:rFonts w:ascii="宋体" w:hAnsi="宋体" w:eastAsia="宋体"/>
                <w:sz w:val="21"/>
                <w:szCs w:val="21"/>
              </w:rPr>
            </w:pPr>
          </w:p>
        </w:tc>
        <w:tc>
          <w:tcPr>
            <w:tcW w:w="1388" w:type="dxa"/>
            <w:vMerge w:val="continue"/>
            <w:vAlign w:val="center"/>
          </w:tcPr>
          <w:p w14:paraId="7BA9AD64">
            <w:pPr>
              <w:spacing w:line="420" w:lineRule="exact"/>
              <w:jc w:val="center"/>
              <w:rPr>
                <w:rFonts w:ascii="宋体" w:hAnsi="宋体" w:eastAsia="宋体"/>
                <w:sz w:val="21"/>
                <w:szCs w:val="21"/>
              </w:rPr>
            </w:pPr>
          </w:p>
        </w:tc>
        <w:tc>
          <w:tcPr>
            <w:tcW w:w="2277" w:type="dxa"/>
            <w:vAlign w:val="center"/>
          </w:tcPr>
          <w:p w14:paraId="6B6E14FF">
            <w:pPr>
              <w:spacing w:line="420" w:lineRule="exact"/>
              <w:jc w:val="center"/>
              <w:rPr>
                <w:rFonts w:ascii="宋体" w:hAnsi="宋体" w:eastAsia="宋体"/>
                <w:sz w:val="21"/>
                <w:szCs w:val="21"/>
              </w:rPr>
            </w:pPr>
            <w:r>
              <w:rPr>
                <w:rFonts w:hint="eastAsia" w:ascii="宋体" w:hAnsi="宋体" w:eastAsia="宋体" w:cs="宋体"/>
                <w:sz w:val="21"/>
                <w:szCs w:val="21"/>
              </w:rPr>
              <w:t>财政拨款支出完成率</w:t>
            </w:r>
          </w:p>
        </w:tc>
        <w:tc>
          <w:tcPr>
            <w:tcW w:w="1155" w:type="dxa"/>
            <w:vAlign w:val="center"/>
          </w:tcPr>
          <w:p w14:paraId="72CB2B52">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74DE9A4D">
            <w:pPr>
              <w:spacing w:line="420" w:lineRule="exact"/>
              <w:jc w:val="center"/>
              <w:rPr>
                <w:rFonts w:ascii="宋体" w:hAnsi="宋体" w:eastAsia="宋体"/>
                <w:sz w:val="21"/>
                <w:szCs w:val="21"/>
              </w:rPr>
            </w:pPr>
            <w:r>
              <w:rPr>
                <w:rFonts w:ascii="宋体" w:hAnsi="宋体" w:eastAsia="宋体" w:cs="宋体"/>
                <w:sz w:val="21"/>
                <w:szCs w:val="21"/>
              </w:rPr>
              <w:t>4</w:t>
            </w:r>
          </w:p>
        </w:tc>
      </w:tr>
      <w:tr w14:paraId="3DC8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169BF2B9">
            <w:pPr>
              <w:spacing w:line="420" w:lineRule="exact"/>
              <w:jc w:val="center"/>
              <w:rPr>
                <w:rFonts w:ascii="宋体" w:hAnsi="宋体" w:eastAsia="宋体"/>
                <w:sz w:val="21"/>
                <w:szCs w:val="21"/>
              </w:rPr>
            </w:pPr>
          </w:p>
        </w:tc>
        <w:tc>
          <w:tcPr>
            <w:tcW w:w="1388" w:type="dxa"/>
            <w:vMerge w:val="continue"/>
            <w:vAlign w:val="center"/>
          </w:tcPr>
          <w:p w14:paraId="3AED7935">
            <w:pPr>
              <w:spacing w:line="420" w:lineRule="exact"/>
              <w:jc w:val="center"/>
              <w:rPr>
                <w:rFonts w:ascii="宋体" w:hAnsi="宋体" w:eastAsia="宋体"/>
                <w:sz w:val="21"/>
                <w:szCs w:val="21"/>
              </w:rPr>
            </w:pPr>
          </w:p>
        </w:tc>
        <w:tc>
          <w:tcPr>
            <w:tcW w:w="2277" w:type="dxa"/>
            <w:vAlign w:val="center"/>
          </w:tcPr>
          <w:p w14:paraId="34C12BA5">
            <w:pPr>
              <w:spacing w:line="420" w:lineRule="exact"/>
              <w:jc w:val="center"/>
              <w:rPr>
                <w:rFonts w:ascii="宋体" w:hAnsi="宋体" w:eastAsia="宋体"/>
                <w:sz w:val="21"/>
                <w:szCs w:val="21"/>
              </w:rPr>
            </w:pPr>
            <w:r>
              <w:rPr>
                <w:rFonts w:hint="eastAsia" w:ascii="宋体" w:hAnsi="宋体" w:eastAsia="宋体" w:cs="宋体"/>
                <w:sz w:val="21"/>
                <w:szCs w:val="21"/>
              </w:rPr>
              <w:t>“三公经费”控制率</w:t>
            </w:r>
          </w:p>
        </w:tc>
        <w:tc>
          <w:tcPr>
            <w:tcW w:w="1155" w:type="dxa"/>
            <w:vAlign w:val="center"/>
          </w:tcPr>
          <w:p w14:paraId="71BC7CBE">
            <w:pPr>
              <w:spacing w:line="420" w:lineRule="exact"/>
              <w:jc w:val="center"/>
              <w:rPr>
                <w:rFonts w:ascii="宋体" w:hAnsi="宋体" w:eastAsia="宋体"/>
                <w:sz w:val="21"/>
                <w:szCs w:val="21"/>
              </w:rPr>
            </w:pPr>
            <w:r>
              <w:rPr>
                <w:rFonts w:ascii="宋体" w:hAnsi="宋体" w:eastAsia="宋体" w:cs="宋体"/>
                <w:sz w:val="21"/>
                <w:szCs w:val="21"/>
              </w:rPr>
              <w:t>3</w:t>
            </w:r>
          </w:p>
        </w:tc>
        <w:tc>
          <w:tcPr>
            <w:tcW w:w="1276" w:type="dxa"/>
            <w:vAlign w:val="center"/>
          </w:tcPr>
          <w:p w14:paraId="01290DAF">
            <w:pPr>
              <w:spacing w:line="420" w:lineRule="exact"/>
              <w:jc w:val="center"/>
              <w:rPr>
                <w:rFonts w:ascii="宋体" w:hAnsi="宋体" w:eastAsia="宋体"/>
                <w:sz w:val="21"/>
                <w:szCs w:val="21"/>
              </w:rPr>
            </w:pPr>
            <w:r>
              <w:rPr>
                <w:rFonts w:ascii="宋体" w:hAnsi="宋体" w:eastAsia="宋体" w:cs="宋体"/>
                <w:sz w:val="21"/>
                <w:szCs w:val="21"/>
              </w:rPr>
              <w:t>3</w:t>
            </w:r>
          </w:p>
        </w:tc>
      </w:tr>
      <w:tr w14:paraId="7931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3249D3DD">
            <w:pPr>
              <w:spacing w:line="420" w:lineRule="exact"/>
              <w:jc w:val="center"/>
              <w:rPr>
                <w:rFonts w:ascii="宋体" w:hAnsi="宋体" w:eastAsia="宋体"/>
                <w:sz w:val="21"/>
                <w:szCs w:val="21"/>
              </w:rPr>
            </w:pPr>
          </w:p>
        </w:tc>
        <w:tc>
          <w:tcPr>
            <w:tcW w:w="1388" w:type="dxa"/>
            <w:vMerge w:val="continue"/>
            <w:vAlign w:val="center"/>
          </w:tcPr>
          <w:p w14:paraId="2D632F2F">
            <w:pPr>
              <w:spacing w:line="420" w:lineRule="exact"/>
              <w:jc w:val="center"/>
              <w:rPr>
                <w:rFonts w:ascii="宋体" w:hAnsi="宋体" w:eastAsia="宋体"/>
                <w:sz w:val="21"/>
                <w:szCs w:val="21"/>
              </w:rPr>
            </w:pPr>
          </w:p>
        </w:tc>
        <w:tc>
          <w:tcPr>
            <w:tcW w:w="2277" w:type="dxa"/>
            <w:vAlign w:val="center"/>
          </w:tcPr>
          <w:p w14:paraId="5593632D">
            <w:pPr>
              <w:spacing w:line="420" w:lineRule="exact"/>
              <w:jc w:val="center"/>
              <w:rPr>
                <w:rFonts w:ascii="宋体" w:hAnsi="宋体" w:eastAsia="宋体"/>
                <w:sz w:val="21"/>
                <w:szCs w:val="21"/>
              </w:rPr>
            </w:pPr>
            <w:r>
              <w:rPr>
                <w:rFonts w:hint="eastAsia" w:ascii="宋体" w:hAnsi="宋体" w:eastAsia="宋体" w:cs="宋体"/>
                <w:sz w:val="21"/>
                <w:szCs w:val="21"/>
              </w:rPr>
              <w:t>政府采购执行率</w:t>
            </w:r>
          </w:p>
        </w:tc>
        <w:tc>
          <w:tcPr>
            <w:tcW w:w="1155" w:type="dxa"/>
            <w:vAlign w:val="center"/>
          </w:tcPr>
          <w:p w14:paraId="2A39150E">
            <w:pPr>
              <w:spacing w:line="420" w:lineRule="exact"/>
              <w:jc w:val="center"/>
              <w:rPr>
                <w:rFonts w:ascii="宋体" w:hAnsi="宋体" w:eastAsia="宋体"/>
                <w:sz w:val="21"/>
                <w:szCs w:val="21"/>
              </w:rPr>
            </w:pPr>
            <w:r>
              <w:rPr>
                <w:rFonts w:ascii="宋体" w:hAnsi="宋体" w:eastAsia="宋体" w:cs="宋体"/>
                <w:sz w:val="21"/>
                <w:szCs w:val="21"/>
              </w:rPr>
              <w:t>3</w:t>
            </w:r>
          </w:p>
        </w:tc>
        <w:tc>
          <w:tcPr>
            <w:tcW w:w="1276" w:type="dxa"/>
            <w:vAlign w:val="center"/>
          </w:tcPr>
          <w:p w14:paraId="509C8362">
            <w:pPr>
              <w:spacing w:line="420" w:lineRule="exact"/>
              <w:jc w:val="center"/>
              <w:rPr>
                <w:rFonts w:ascii="宋体" w:hAnsi="宋体" w:eastAsia="宋体"/>
                <w:sz w:val="21"/>
                <w:szCs w:val="21"/>
              </w:rPr>
            </w:pPr>
            <w:r>
              <w:rPr>
                <w:rFonts w:ascii="宋体" w:hAnsi="宋体" w:eastAsia="宋体" w:cs="宋体"/>
                <w:sz w:val="21"/>
                <w:szCs w:val="21"/>
              </w:rPr>
              <w:t>3</w:t>
            </w:r>
          </w:p>
        </w:tc>
      </w:tr>
      <w:tr w14:paraId="2D4B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141CF0DA">
            <w:pPr>
              <w:spacing w:line="420" w:lineRule="exact"/>
              <w:jc w:val="center"/>
              <w:rPr>
                <w:rFonts w:ascii="宋体" w:hAnsi="宋体" w:eastAsia="宋体"/>
                <w:sz w:val="21"/>
                <w:szCs w:val="21"/>
              </w:rPr>
            </w:pPr>
          </w:p>
        </w:tc>
        <w:tc>
          <w:tcPr>
            <w:tcW w:w="1388" w:type="dxa"/>
            <w:vMerge w:val="continue"/>
            <w:vAlign w:val="center"/>
          </w:tcPr>
          <w:p w14:paraId="6DDB7326">
            <w:pPr>
              <w:spacing w:line="420" w:lineRule="exact"/>
              <w:jc w:val="center"/>
              <w:rPr>
                <w:rFonts w:ascii="宋体" w:hAnsi="宋体" w:eastAsia="宋体"/>
                <w:sz w:val="21"/>
                <w:szCs w:val="21"/>
              </w:rPr>
            </w:pPr>
          </w:p>
        </w:tc>
        <w:tc>
          <w:tcPr>
            <w:tcW w:w="2277" w:type="dxa"/>
            <w:vAlign w:val="center"/>
          </w:tcPr>
          <w:p w14:paraId="7F0D3EB5">
            <w:pPr>
              <w:spacing w:line="420" w:lineRule="exact"/>
              <w:jc w:val="center"/>
              <w:rPr>
                <w:rFonts w:ascii="宋体" w:hAnsi="宋体" w:eastAsia="宋体"/>
                <w:sz w:val="21"/>
                <w:szCs w:val="21"/>
              </w:rPr>
            </w:pPr>
            <w:r>
              <w:rPr>
                <w:rFonts w:hint="eastAsia" w:ascii="宋体" w:hAnsi="宋体" w:eastAsia="宋体" w:cs="宋体"/>
                <w:sz w:val="21"/>
                <w:szCs w:val="21"/>
              </w:rPr>
              <w:t>资金使用合规性</w:t>
            </w:r>
          </w:p>
        </w:tc>
        <w:tc>
          <w:tcPr>
            <w:tcW w:w="1155" w:type="dxa"/>
            <w:vAlign w:val="center"/>
          </w:tcPr>
          <w:p w14:paraId="77BFF8CA">
            <w:pPr>
              <w:spacing w:line="420" w:lineRule="exact"/>
              <w:jc w:val="center"/>
              <w:rPr>
                <w:rFonts w:ascii="宋体" w:hAnsi="宋体" w:eastAsia="宋体" w:cs="宋体"/>
                <w:sz w:val="21"/>
                <w:szCs w:val="21"/>
              </w:rPr>
            </w:pPr>
            <w:r>
              <w:rPr>
                <w:rFonts w:ascii="宋体" w:hAnsi="宋体" w:eastAsia="宋体" w:cs="宋体"/>
                <w:sz w:val="21"/>
                <w:szCs w:val="21"/>
              </w:rPr>
              <w:t>3</w:t>
            </w:r>
          </w:p>
        </w:tc>
        <w:tc>
          <w:tcPr>
            <w:tcW w:w="1276" w:type="dxa"/>
            <w:vAlign w:val="center"/>
          </w:tcPr>
          <w:p w14:paraId="7AAED997">
            <w:pPr>
              <w:spacing w:line="420" w:lineRule="exact"/>
              <w:jc w:val="center"/>
              <w:rPr>
                <w:rFonts w:ascii="宋体" w:hAnsi="宋体" w:eastAsia="宋体"/>
                <w:sz w:val="21"/>
                <w:szCs w:val="21"/>
              </w:rPr>
            </w:pPr>
            <w:r>
              <w:rPr>
                <w:rFonts w:ascii="宋体" w:hAnsi="宋体" w:eastAsia="宋体" w:cs="宋体"/>
                <w:sz w:val="21"/>
                <w:szCs w:val="21"/>
              </w:rPr>
              <w:t>3</w:t>
            </w:r>
          </w:p>
        </w:tc>
      </w:tr>
      <w:tr w14:paraId="2F84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251146D4">
            <w:pPr>
              <w:spacing w:line="420" w:lineRule="exact"/>
              <w:jc w:val="center"/>
              <w:rPr>
                <w:rFonts w:ascii="宋体" w:hAnsi="宋体" w:eastAsia="宋体"/>
                <w:sz w:val="21"/>
                <w:szCs w:val="21"/>
              </w:rPr>
            </w:pPr>
          </w:p>
        </w:tc>
        <w:tc>
          <w:tcPr>
            <w:tcW w:w="1388" w:type="dxa"/>
            <w:vMerge w:val="continue"/>
            <w:vAlign w:val="center"/>
          </w:tcPr>
          <w:p w14:paraId="6AE17645">
            <w:pPr>
              <w:spacing w:line="420" w:lineRule="exact"/>
              <w:jc w:val="center"/>
              <w:rPr>
                <w:rFonts w:ascii="宋体" w:hAnsi="宋体" w:eastAsia="宋体"/>
                <w:sz w:val="21"/>
                <w:szCs w:val="21"/>
              </w:rPr>
            </w:pPr>
          </w:p>
        </w:tc>
        <w:tc>
          <w:tcPr>
            <w:tcW w:w="2277" w:type="dxa"/>
            <w:vAlign w:val="center"/>
          </w:tcPr>
          <w:p w14:paraId="6094A127">
            <w:pPr>
              <w:spacing w:line="420" w:lineRule="exact"/>
              <w:jc w:val="center"/>
              <w:rPr>
                <w:rFonts w:ascii="宋体" w:hAnsi="宋体" w:eastAsia="宋体"/>
                <w:sz w:val="21"/>
                <w:szCs w:val="21"/>
              </w:rPr>
            </w:pPr>
            <w:r>
              <w:rPr>
                <w:rFonts w:hint="eastAsia" w:ascii="宋体" w:hAnsi="宋体" w:eastAsia="宋体" w:cs="宋体"/>
                <w:sz w:val="21"/>
                <w:szCs w:val="21"/>
              </w:rPr>
              <w:t>决算真实性</w:t>
            </w:r>
          </w:p>
        </w:tc>
        <w:tc>
          <w:tcPr>
            <w:tcW w:w="1155" w:type="dxa"/>
            <w:vAlign w:val="center"/>
          </w:tcPr>
          <w:p w14:paraId="708FE0E6">
            <w:pPr>
              <w:spacing w:line="420" w:lineRule="exact"/>
              <w:jc w:val="center"/>
              <w:rPr>
                <w:rFonts w:ascii="宋体" w:hAnsi="宋体" w:eastAsia="宋体" w:cs="宋体"/>
                <w:sz w:val="21"/>
                <w:szCs w:val="21"/>
              </w:rPr>
            </w:pPr>
            <w:r>
              <w:rPr>
                <w:rFonts w:ascii="宋体" w:hAnsi="宋体" w:eastAsia="宋体" w:cs="宋体"/>
                <w:sz w:val="21"/>
                <w:szCs w:val="21"/>
              </w:rPr>
              <w:t>3</w:t>
            </w:r>
          </w:p>
        </w:tc>
        <w:tc>
          <w:tcPr>
            <w:tcW w:w="1276" w:type="dxa"/>
            <w:vAlign w:val="center"/>
          </w:tcPr>
          <w:p w14:paraId="3077359E">
            <w:pPr>
              <w:spacing w:line="420" w:lineRule="exact"/>
              <w:jc w:val="center"/>
              <w:rPr>
                <w:rFonts w:ascii="宋体" w:hAnsi="宋体" w:eastAsia="宋体"/>
                <w:sz w:val="21"/>
                <w:szCs w:val="21"/>
              </w:rPr>
            </w:pPr>
            <w:r>
              <w:rPr>
                <w:rFonts w:ascii="宋体" w:hAnsi="宋体" w:eastAsia="宋体" w:cs="宋体"/>
                <w:sz w:val="21"/>
                <w:szCs w:val="21"/>
              </w:rPr>
              <w:t>3</w:t>
            </w:r>
          </w:p>
        </w:tc>
      </w:tr>
      <w:tr w14:paraId="64CF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48D52863">
            <w:pPr>
              <w:spacing w:line="420" w:lineRule="exact"/>
              <w:jc w:val="center"/>
              <w:rPr>
                <w:rFonts w:ascii="宋体" w:hAnsi="宋体" w:eastAsia="宋体"/>
                <w:sz w:val="21"/>
                <w:szCs w:val="21"/>
              </w:rPr>
            </w:pPr>
          </w:p>
        </w:tc>
        <w:tc>
          <w:tcPr>
            <w:tcW w:w="1388" w:type="dxa"/>
            <w:vMerge w:val="restart"/>
            <w:vAlign w:val="center"/>
          </w:tcPr>
          <w:p w14:paraId="53BCDFC5">
            <w:pPr>
              <w:spacing w:line="420" w:lineRule="exact"/>
              <w:jc w:val="center"/>
              <w:rPr>
                <w:rFonts w:ascii="宋体" w:hAnsi="宋体" w:eastAsia="宋体"/>
                <w:sz w:val="21"/>
                <w:szCs w:val="21"/>
              </w:rPr>
            </w:pPr>
            <w:r>
              <w:rPr>
                <w:rFonts w:hint="eastAsia" w:ascii="宋体" w:hAnsi="宋体" w:eastAsia="宋体" w:cs="宋体"/>
                <w:sz w:val="21"/>
                <w:szCs w:val="21"/>
              </w:rPr>
              <w:t>预算管理</w:t>
            </w:r>
          </w:p>
          <w:p w14:paraId="0A9FD64E">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16</w:t>
            </w:r>
            <w:r>
              <w:rPr>
                <w:rFonts w:hint="eastAsia" w:ascii="宋体" w:hAnsi="宋体" w:eastAsia="宋体" w:cs="宋体"/>
                <w:sz w:val="21"/>
                <w:szCs w:val="21"/>
              </w:rPr>
              <w:t>分）</w:t>
            </w:r>
          </w:p>
        </w:tc>
        <w:tc>
          <w:tcPr>
            <w:tcW w:w="2277" w:type="dxa"/>
            <w:vAlign w:val="center"/>
          </w:tcPr>
          <w:p w14:paraId="4DDC6DC9">
            <w:pPr>
              <w:spacing w:line="420" w:lineRule="exact"/>
              <w:jc w:val="center"/>
              <w:rPr>
                <w:rFonts w:ascii="宋体" w:hAnsi="宋体" w:eastAsia="宋体"/>
                <w:sz w:val="21"/>
                <w:szCs w:val="21"/>
              </w:rPr>
            </w:pPr>
            <w:r>
              <w:rPr>
                <w:rFonts w:hint="eastAsia" w:ascii="宋体" w:hAnsi="宋体" w:eastAsia="宋体" w:cs="宋体"/>
                <w:sz w:val="21"/>
                <w:szCs w:val="21"/>
              </w:rPr>
              <w:t>管理制度健全性</w:t>
            </w:r>
          </w:p>
        </w:tc>
        <w:tc>
          <w:tcPr>
            <w:tcW w:w="1155" w:type="dxa"/>
            <w:vAlign w:val="center"/>
          </w:tcPr>
          <w:p w14:paraId="1F4D0E20">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3B188569">
            <w:pPr>
              <w:spacing w:line="420" w:lineRule="exact"/>
              <w:jc w:val="center"/>
              <w:rPr>
                <w:rFonts w:ascii="宋体" w:hAnsi="宋体" w:eastAsia="宋体"/>
                <w:sz w:val="21"/>
                <w:szCs w:val="21"/>
              </w:rPr>
            </w:pPr>
            <w:r>
              <w:rPr>
                <w:rFonts w:ascii="宋体" w:hAnsi="宋体" w:eastAsia="宋体" w:cs="宋体"/>
                <w:sz w:val="21"/>
                <w:szCs w:val="21"/>
              </w:rPr>
              <w:t>4</w:t>
            </w:r>
          </w:p>
        </w:tc>
      </w:tr>
      <w:tr w14:paraId="5BA3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012D9A54">
            <w:pPr>
              <w:spacing w:line="420" w:lineRule="exact"/>
              <w:jc w:val="center"/>
              <w:rPr>
                <w:rFonts w:ascii="宋体" w:hAnsi="宋体" w:eastAsia="宋体"/>
                <w:sz w:val="21"/>
                <w:szCs w:val="21"/>
              </w:rPr>
            </w:pPr>
          </w:p>
        </w:tc>
        <w:tc>
          <w:tcPr>
            <w:tcW w:w="1388" w:type="dxa"/>
            <w:vMerge w:val="continue"/>
            <w:vAlign w:val="center"/>
          </w:tcPr>
          <w:p w14:paraId="33B79941">
            <w:pPr>
              <w:spacing w:line="420" w:lineRule="exact"/>
              <w:jc w:val="center"/>
              <w:rPr>
                <w:rFonts w:ascii="宋体" w:hAnsi="宋体" w:eastAsia="宋体"/>
                <w:sz w:val="21"/>
                <w:szCs w:val="21"/>
              </w:rPr>
            </w:pPr>
          </w:p>
        </w:tc>
        <w:tc>
          <w:tcPr>
            <w:tcW w:w="2277" w:type="dxa"/>
            <w:vAlign w:val="center"/>
          </w:tcPr>
          <w:p w14:paraId="1F7A5F80">
            <w:pPr>
              <w:spacing w:line="420" w:lineRule="exact"/>
              <w:jc w:val="center"/>
              <w:rPr>
                <w:rFonts w:ascii="宋体" w:hAnsi="宋体" w:eastAsia="宋体"/>
                <w:sz w:val="21"/>
                <w:szCs w:val="21"/>
              </w:rPr>
            </w:pPr>
            <w:r>
              <w:rPr>
                <w:rFonts w:hint="eastAsia" w:ascii="宋体" w:hAnsi="宋体" w:eastAsia="宋体" w:cs="宋体"/>
                <w:sz w:val="21"/>
                <w:szCs w:val="21"/>
              </w:rPr>
              <w:t>预决算信息公开</w:t>
            </w:r>
          </w:p>
        </w:tc>
        <w:tc>
          <w:tcPr>
            <w:tcW w:w="1155" w:type="dxa"/>
            <w:vAlign w:val="center"/>
          </w:tcPr>
          <w:p w14:paraId="7ECA147A">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42AAE1D3">
            <w:pPr>
              <w:spacing w:line="420" w:lineRule="exact"/>
              <w:jc w:val="center"/>
              <w:rPr>
                <w:rFonts w:ascii="宋体" w:hAnsi="宋体" w:eastAsia="宋体"/>
                <w:sz w:val="21"/>
                <w:szCs w:val="21"/>
              </w:rPr>
            </w:pPr>
            <w:r>
              <w:rPr>
                <w:rFonts w:ascii="宋体" w:hAnsi="宋体" w:eastAsia="宋体" w:cs="宋体"/>
                <w:sz w:val="21"/>
                <w:szCs w:val="21"/>
              </w:rPr>
              <w:t>4</w:t>
            </w:r>
          </w:p>
        </w:tc>
      </w:tr>
      <w:tr w14:paraId="7990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1E1F8C07">
            <w:pPr>
              <w:spacing w:line="420" w:lineRule="exact"/>
              <w:jc w:val="center"/>
              <w:rPr>
                <w:rFonts w:ascii="宋体" w:hAnsi="宋体" w:eastAsia="宋体"/>
                <w:sz w:val="21"/>
                <w:szCs w:val="21"/>
              </w:rPr>
            </w:pPr>
          </w:p>
        </w:tc>
        <w:tc>
          <w:tcPr>
            <w:tcW w:w="1388" w:type="dxa"/>
            <w:vMerge w:val="continue"/>
            <w:vAlign w:val="center"/>
          </w:tcPr>
          <w:p w14:paraId="46B6EC86">
            <w:pPr>
              <w:spacing w:line="420" w:lineRule="exact"/>
              <w:jc w:val="center"/>
              <w:rPr>
                <w:rFonts w:ascii="宋体" w:hAnsi="宋体" w:eastAsia="宋体"/>
                <w:sz w:val="21"/>
                <w:szCs w:val="21"/>
              </w:rPr>
            </w:pPr>
          </w:p>
        </w:tc>
        <w:tc>
          <w:tcPr>
            <w:tcW w:w="2277" w:type="dxa"/>
            <w:vAlign w:val="center"/>
          </w:tcPr>
          <w:p w14:paraId="2C27FFFF">
            <w:pPr>
              <w:spacing w:line="420" w:lineRule="exact"/>
              <w:jc w:val="center"/>
              <w:rPr>
                <w:rFonts w:ascii="宋体" w:hAnsi="宋体" w:eastAsia="宋体"/>
                <w:sz w:val="21"/>
                <w:szCs w:val="21"/>
              </w:rPr>
            </w:pPr>
            <w:r>
              <w:rPr>
                <w:rFonts w:hint="eastAsia" w:ascii="宋体" w:hAnsi="宋体" w:eastAsia="宋体" w:cs="宋体"/>
                <w:sz w:val="21"/>
                <w:szCs w:val="21"/>
              </w:rPr>
              <w:t>基础信息完善性</w:t>
            </w:r>
          </w:p>
        </w:tc>
        <w:tc>
          <w:tcPr>
            <w:tcW w:w="1155" w:type="dxa"/>
            <w:vAlign w:val="center"/>
          </w:tcPr>
          <w:p w14:paraId="007FCC80">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09F5F259">
            <w:pPr>
              <w:spacing w:line="420" w:lineRule="exact"/>
              <w:jc w:val="center"/>
              <w:rPr>
                <w:rFonts w:ascii="宋体" w:hAnsi="宋体" w:eastAsia="宋体"/>
                <w:sz w:val="21"/>
                <w:szCs w:val="21"/>
              </w:rPr>
            </w:pPr>
            <w:r>
              <w:rPr>
                <w:rFonts w:ascii="宋体" w:hAnsi="宋体" w:eastAsia="宋体" w:cs="宋体"/>
                <w:sz w:val="21"/>
                <w:szCs w:val="21"/>
              </w:rPr>
              <w:t>4</w:t>
            </w:r>
          </w:p>
        </w:tc>
      </w:tr>
      <w:tr w14:paraId="1F24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41352E7C">
            <w:pPr>
              <w:spacing w:line="420" w:lineRule="exact"/>
              <w:jc w:val="center"/>
              <w:rPr>
                <w:rFonts w:ascii="宋体" w:hAnsi="宋体" w:eastAsia="宋体"/>
                <w:sz w:val="21"/>
                <w:szCs w:val="21"/>
              </w:rPr>
            </w:pPr>
          </w:p>
        </w:tc>
        <w:tc>
          <w:tcPr>
            <w:tcW w:w="1388" w:type="dxa"/>
            <w:vMerge w:val="continue"/>
            <w:vAlign w:val="center"/>
          </w:tcPr>
          <w:p w14:paraId="6F987EE6">
            <w:pPr>
              <w:spacing w:line="420" w:lineRule="exact"/>
              <w:jc w:val="center"/>
              <w:rPr>
                <w:rFonts w:ascii="宋体" w:hAnsi="宋体" w:eastAsia="宋体"/>
                <w:sz w:val="21"/>
                <w:szCs w:val="21"/>
              </w:rPr>
            </w:pPr>
          </w:p>
        </w:tc>
        <w:tc>
          <w:tcPr>
            <w:tcW w:w="2277" w:type="dxa"/>
            <w:vAlign w:val="center"/>
          </w:tcPr>
          <w:p w14:paraId="2F75D94E">
            <w:pPr>
              <w:spacing w:line="420" w:lineRule="exact"/>
              <w:jc w:val="center"/>
              <w:rPr>
                <w:rFonts w:ascii="宋体" w:hAnsi="宋体" w:eastAsia="宋体"/>
                <w:sz w:val="21"/>
                <w:szCs w:val="21"/>
              </w:rPr>
            </w:pPr>
            <w:r>
              <w:rPr>
                <w:rFonts w:hint="eastAsia" w:ascii="宋体" w:hAnsi="宋体" w:eastAsia="宋体" w:cs="宋体"/>
                <w:sz w:val="21"/>
                <w:szCs w:val="21"/>
              </w:rPr>
              <w:t>资产管理规范性</w:t>
            </w:r>
          </w:p>
        </w:tc>
        <w:tc>
          <w:tcPr>
            <w:tcW w:w="1155" w:type="dxa"/>
            <w:vAlign w:val="center"/>
          </w:tcPr>
          <w:p w14:paraId="444399F8">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40E915B5">
            <w:pPr>
              <w:spacing w:line="420" w:lineRule="exact"/>
              <w:jc w:val="center"/>
              <w:rPr>
                <w:rFonts w:ascii="宋体" w:hAnsi="宋体" w:eastAsia="宋体"/>
                <w:sz w:val="21"/>
                <w:szCs w:val="21"/>
              </w:rPr>
            </w:pPr>
            <w:r>
              <w:rPr>
                <w:rFonts w:ascii="宋体" w:hAnsi="宋体" w:eastAsia="宋体" w:cs="宋体"/>
                <w:sz w:val="21"/>
                <w:szCs w:val="21"/>
              </w:rPr>
              <w:t>4</w:t>
            </w:r>
          </w:p>
        </w:tc>
      </w:tr>
      <w:tr w14:paraId="0A25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7" w:hRule="exact"/>
          <w:jc w:val="center"/>
        </w:trPr>
        <w:tc>
          <w:tcPr>
            <w:tcW w:w="1557" w:type="dxa"/>
            <w:vMerge w:val="continue"/>
            <w:vAlign w:val="center"/>
          </w:tcPr>
          <w:p w14:paraId="517A2F36">
            <w:pPr>
              <w:spacing w:line="420" w:lineRule="exact"/>
              <w:jc w:val="center"/>
              <w:rPr>
                <w:rFonts w:ascii="宋体" w:hAnsi="宋体" w:eastAsia="宋体"/>
                <w:sz w:val="21"/>
                <w:szCs w:val="21"/>
              </w:rPr>
            </w:pPr>
          </w:p>
        </w:tc>
        <w:tc>
          <w:tcPr>
            <w:tcW w:w="1388" w:type="dxa"/>
            <w:vMerge w:val="restart"/>
            <w:vAlign w:val="center"/>
          </w:tcPr>
          <w:p w14:paraId="4FFB91CA">
            <w:pPr>
              <w:spacing w:line="420" w:lineRule="exact"/>
              <w:jc w:val="center"/>
              <w:rPr>
                <w:rFonts w:ascii="宋体" w:hAnsi="宋体" w:eastAsia="宋体"/>
                <w:sz w:val="21"/>
                <w:szCs w:val="21"/>
              </w:rPr>
            </w:pPr>
            <w:r>
              <w:rPr>
                <w:rFonts w:hint="eastAsia" w:ascii="宋体" w:hAnsi="宋体" w:eastAsia="宋体" w:cs="宋体"/>
                <w:sz w:val="21"/>
                <w:szCs w:val="21"/>
              </w:rPr>
              <w:t>绩效评价</w:t>
            </w:r>
          </w:p>
          <w:p w14:paraId="2277308B">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8</w:t>
            </w:r>
            <w:r>
              <w:rPr>
                <w:rFonts w:hint="eastAsia" w:ascii="宋体" w:hAnsi="宋体" w:eastAsia="宋体" w:cs="宋体"/>
                <w:sz w:val="21"/>
                <w:szCs w:val="21"/>
              </w:rPr>
              <w:t>分）</w:t>
            </w:r>
          </w:p>
        </w:tc>
        <w:tc>
          <w:tcPr>
            <w:tcW w:w="2277" w:type="dxa"/>
            <w:vAlign w:val="center"/>
          </w:tcPr>
          <w:p w14:paraId="16FB1939">
            <w:pPr>
              <w:spacing w:line="420" w:lineRule="exact"/>
              <w:jc w:val="center"/>
              <w:rPr>
                <w:rFonts w:ascii="宋体" w:hAnsi="宋体" w:eastAsia="宋体"/>
                <w:sz w:val="21"/>
                <w:szCs w:val="21"/>
              </w:rPr>
            </w:pPr>
            <w:r>
              <w:rPr>
                <w:rFonts w:hint="eastAsia" w:ascii="宋体" w:hAnsi="宋体" w:eastAsia="宋体" w:cs="宋体"/>
                <w:sz w:val="21"/>
                <w:szCs w:val="21"/>
              </w:rPr>
              <w:t>绩效自评覆盖率</w:t>
            </w:r>
          </w:p>
        </w:tc>
        <w:tc>
          <w:tcPr>
            <w:tcW w:w="1155" w:type="dxa"/>
            <w:vAlign w:val="center"/>
          </w:tcPr>
          <w:p w14:paraId="618DA9A1">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4B815207">
            <w:pPr>
              <w:spacing w:line="420" w:lineRule="exact"/>
              <w:jc w:val="center"/>
              <w:rPr>
                <w:rFonts w:ascii="宋体" w:hAnsi="宋体" w:eastAsia="宋体"/>
                <w:sz w:val="21"/>
                <w:szCs w:val="21"/>
              </w:rPr>
            </w:pPr>
            <w:r>
              <w:rPr>
                <w:rFonts w:ascii="宋体" w:hAnsi="宋体" w:eastAsia="宋体" w:cs="宋体"/>
                <w:sz w:val="21"/>
                <w:szCs w:val="21"/>
              </w:rPr>
              <w:t>4</w:t>
            </w:r>
          </w:p>
        </w:tc>
      </w:tr>
      <w:tr w14:paraId="72AA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2" w:hRule="exact"/>
          <w:jc w:val="center"/>
        </w:trPr>
        <w:tc>
          <w:tcPr>
            <w:tcW w:w="1557" w:type="dxa"/>
            <w:vMerge w:val="continue"/>
            <w:vAlign w:val="center"/>
          </w:tcPr>
          <w:p w14:paraId="734156B3">
            <w:pPr>
              <w:spacing w:line="420" w:lineRule="exact"/>
              <w:jc w:val="center"/>
              <w:rPr>
                <w:rFonts w:ascii="宋体" w:hAnsi="宋体" w:eastAsia="宋体"/>
                <w:sz w:val="21"/>
                <w:szCs w:val="21"/>
              </w:rPr>
            </w:pPr>
          </w:p>
        </w:tc>
        <w:tc>
          <w:tcPr>
            <w:tcW w:w="1388" w:type="dxa"/>
            <w:vMerge w:val="continue"/>
            <w:vAlign w:val="center"/>
          </w:tcPr>
          <w:p w14:paraId="7BC2EE67">
            <w:pPr>
              <w:spacing w:line="420" w:lineRule="exact"/>
              <w:jc w:val="center"/>
              <w:rPr>
                <w:rFonts w:ascii="宋体" w:hAnsi="宋体" w:eastAsia="宋体"/>
                <w:sz w:val="21"/>
                <w:szCs w:val="21"/>
              </w:rPr>
            </w:pPr>
          </w:p>
        </w:tc>
        <w:tc>
          <w:tcPr>
            <w:tcW w:w="2277" w:type="dxa"/>
            <w:vAlign w:val="center"/>
          </w:tcPr>
          <w:p w14:paraId="17B94226">
            <w:pPr>
              <w:spacing w:line="420" w:lineRule="exact"/>
              <w:jc w:val="center"/>
              <w:rPr>
                <w:rFonts w:ascii="宋体" w:hAnsi="宋体" w:eastAsia="宋体"/>
                <w:sz w:val="21"/>
                <w:szCs w:val="21"/>
              </w:rPr>
            </w:pPr>
            <w:r>
              <w:rPr>
                <w:rFonts w:hint="eastAsia" w:ascii="宋体" w:hAnsi="宋体" w:eastAsia="宋体" w:cs="宋体"/>
                <w:sz w:val="21"/>
                <w:szCs w:val="21"/>
              </w:rPr>
              <w:t>绩效评价优等率</w:t>
            </w:r>
          </w:p>
        </w:tc>
        <w:tc>
          <w:tcPr>
            <w:tcW w:w="1155" w:type="dxa"/>
            <w:vAlign w:val="center"/>
          </w:tcPr>
          <w:p w14:paraId="6386376A">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5A8A36E9">
            <w:pPr>
              <w:spacing w:line="420" w:lineRule="exact"/>
              <w:jc w:val="center"/>
              <w:rPr>
                <w:rFonts w:ascii="宋体" w:hAnsi="宋体" w:eastAsia="宋体"/>
                <w:sz w:val="21"/>
                <w:szCs w:val="21"/>
              </w:rPr>
            </w:pPr>
            <w:r>
              <w:rPr>
                <w:rFonts w:ascii="宋体" w:hAnsi="宋体" w:eastAsia="宋体" w:cs="宋体"/>
                <w:sz w:val="21"/>
                <w:szCs w:val="21"/>
              </w:rPr>
              <w:t>4</w:t>
            </w:r>
          </w:p>
        </w:tc>
      </w:tr>
      <w:tr w14:paraId="66DF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2945" w:type="dxa"/>
            <w:gridSpan w:val="2"/>
            <w:vAlign w:val="center"/>
          </w:tcPr>
          <w:p w14:paraId="09A33AAF">
            <w:pPr>
              <w:spacing w:line="420" w:lineRule="exact"/>
              <w:jc w:val="center"/>
              <w:rPr>
                <w:rFonts w:ascii="宋体" w:hAnsi="宋体" w:eastAsia="宋体"/>
                <w:sz w:val="21"/>
                <w:szCs w:val="21"/>
              </w:rPr>
            </w:pPr>
            <w:r>
              <w:rPr>
                <w:rFonts w:hint="eastAsia" w:ascii="宋体" w:hAnsi="宋体" w:eastAsia="宋体" w:cs="宋体"/>
                <w:sz w:val="21"/>
                <w:szCs w:val="21"/>
              </w:rPr>
              <w:t>合计</w:t>
            </w:r>
          </w:p>
        </w:tc>
        <w:tc>
          <w:tcPr>
            <w:tcW w:w="2277" w:type="dxa"/>
            <w:vAlign w:val="center"/>
          </w:tcPr>
          <w:p w14:paraId="5E6680D7">
            <w:pPr>
              <w:spacing w:line="420" w:lineRule="exact"/>
              <w:jc w:val="center"/>
              <w:rPr>
                <w:rFonts w:ascii="宋体" w:hAnsi="宋体" w:eastAsia="宋体"/>
                <w:sz w:val="21"/>
                <w:szCs w:val="21"/>
              </w:rPr>
            </w:pPr>
          </w:p>
        </w:tc>
        <w:tc>
          <w:tcPr>
            <w:tcW w:w="1155" w:type="dxa"/>
            <w:vAlign w:val="center"/>
          </w:tcPr>
          <w:p w14:paraId="49EA5404">
            <w:pPr>
              <w:spacing w:line="420" w:lineRule="exact"/>
              <w:jc w:val="center"/>
              <w:rPr>
                <w:rFonts w:ascii="宋体" w:hAnsi="宋体" w:eastAsia="宋体"/>
                <w:color w:val="FF0000"/>
                <w:sz w:val="21"/>
                <w:szCs w:val="21"/>
              </w:rPr>
            </w:pPr>
          </w:p>
        </w:tc>
        <w:tc>
          <w:tcPr>
            <w:tcW w:w="1276" w:type="dxa"/>
            <w:vAlign w:val="center"/>
          </w:tcPr>
          <w:p w14:paraId="1B163E1B">
            <w:pPr>
              <w:spacing w:line="42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46</w:t>
            </w:r>
          </w:p>
        </w:tc>
      </w:tr>
      <w:bookmarkEnd w:id="60"/>
    </w:tbl>
    <w:p w14:paraId="272AC0F3">
      <w:pPr>
        <w:spacing w:after="0" w:line="360" w:lineRule="auto"/>
        <w:ind w:firstLine="640" w:firstLineChars="200"/>
        <w:jc w:val="both"/>
        <w:textAlignment w:val="baseline"/>
        <w:rPr>
          <w:rFonts w:ascii="仿宋_GB2312" w:eastAsia="仿宋_GB2312"/>
          <w:sz w:val="32"/>
          <w:szCs w:val="32"/>
        </w:rPr>
      </w:pPr>
      <w:bookmarkStart w:id="61" w:name="_Toc464638487"/>
      <w:bookmarkStart w:id="62" w:name="_Toc465149514"/>
      <w:r>
        <w:rPr>
          <w:rFonts w:ascii="仿宋_GB2312" w:eastAsia="仿宋_GB2312" w:cs="仿宋_GB2312"/>
          <w:sz w:val="32"/>
          <w:szCs w:val="32"/>
        </w:rPr>
        <w:t>1.</w:t>
      </w:r>
      <w:r>
        <w:rPr>
          <w:rFonts w:hint="eastAsia" w:ascii="仿宋_GB2312" w:eastAsia="仿宋_GB2312" w:cs="仿宋_GB2312"/>
          <w:sz w:val="32"/>
          <w:szCs w:val="32"/>
        </w:rPr>
        <w:t>预算执行（</w:t>
      </w:r>
      <w:r>
        <w:rPr>
          <w:rFonts w:ascii="仿宋_GB2312" w:eastAsia="仿宋_GB2312" w:cs="仿宋_GB2312"/>
          <w:sz w:val="32"/>
          <w:szCs w:val="32"/>
        </w:rPr>
        <w:t>24</w:t>
      </w:r>
      <w:r>
        <w:rPr>
          <w:rFonts w:hint="eastAsia" w:ascii="仿宋_GB2312" w:eastAsia="仿宋_GB2312" w:cs="仿宋_GB2312"/>
          <w:sz w:val="32"/>
          <w:szCs w:val="32"/>
        </w:rPr>
        <w:t>分）</w:t>
      </w:r>
    </w:p>
    <w:p w14:paraId="1B6557D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）预算收入调整率（</w:t>
      </w:r>
      <w:r>
        <w:rPr>
          <w:rFonts w:ascii="仿宋_GB2312" w:eastAsia="仿宋_GB2312" w:cs="仿宋_GB2312"/>
          <w:sz w:val="32"/>
          <w:szCs w:val="32"/>
        </w:rPr>
        <w:t>2</w:t>
      </w:r>
      <w:r>
        <w:rPr>
          <w:rFonts w:hint="eastAsia" w:ascii="仿宋_GB2312" w:eastAsia="仿宋_GB2312" w:cs="仿宋_GB2312"/>
          <w:sz w:val="32"/>
          <w:szCs w:val="32"/>
        </w:rPr>
        <w:t>分）</w:t>
      </w:r>
    </w:p>
    <w:p w14:paraId="46D9B7A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该指标主要评价预算收入的调整情况，进而衡量预算收入编制的准确性，通过预算收入调整率衡量。</w:t>
      </w:r>
    </w:p>
    <w:p w14:paraId="347A09A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预算收入调整率</w:t>
      </w:r>
      <w:r>
        <w:rPr>
          <w:rFonts w:ascii="仿宋_GB2312" w:eastAsia="仿宋_GB2312" w:cs="仿宋_GB2312"/>
          <w:sz w:val="32"/>
          <w:szCs w:val="32"/>
        </w:rPr>
        <w:t>=</w:t>
      </w:r>
      <w:r>
        <w:rPr>
          <w:rFonts w:hint="eastAsia" w:ascii="仿宋_GB2312" w:eastAsia="仿宋_GB2312" w:cs="仿宋_GB2312"/>
          <w:sz w:val="32"/>
          <w:szCs w:val="32"/>
        </w:rPr>
        <w:t>（</w:t>
      </w:r>
      <w:r>
        <w:rPr>
          <w:rFonts w:ascii="仿宋_GB2312" w:eastAsia="仿宋_GB2312" w:cs="仿宋_GB2312"/>
          <w:sz w:val="32"/>
          <w:szCs w:val="32"/>
        </w:rPr>
        <w:t>54.57-90.81</w:t>
      </w:r>
      <w:r>
        <w:rPr>
          <w:rFonts w:hint="eastAsia" w:ascii="仿宋_GB2312" w:eastAsia="仿宋_GB2312" w:cs="仿宋_GB2312"/>
          <w:sz w:val="32"/>
          <w:szCs w:val="32"/>
        </w:rPr>
        <w:t>）</w:t>
      </w:r>
      <w:r>
        <w:rPr>
          <w:rFonts w:ascii="仿宋_GB2312" w:eastAsia="仿宋_GB2312" w:cs="仿宋_GB2312"/>
          <w:sz w:val="32"/>
          <w:szCs w:val="32"/>
        </w:rPr>
        <w:t>/90.81*100%=39.9%</w:t>
      </w:r>
    </w:p>
    <w:p w14:paraId="59CF418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1</w:t>
      </w:r>
      <w:r>
        <w:rPr>
          <w:rFonts w:hint="eastAsia" w:ascii="仿宋_GB2312" w:eastAsia="仿宋_GB2312" w:cs="仿宋_GB2312"/>
          <w:sz w:val="32"/>
          <w:szCs w:val="32"/>
        </w:rPr>
        <w:t>分。</w:t>
      </w:r>
    </w:p>
    <w:p w14:paraId="72B40AF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）收入完成率（</w:t>
      </w:r>
      <w:r>
        <w:rPr>
          <w:rFonts w:ascii="仿宋_GB2312" w:eastAsia="仿宋_GB2312" w:cs="仿宋_GB2312"/>
          <w:sz w:val="32"/>
          <w:szCs w:val="32"/>
        </w:rPr>
        <w:t>4</w:t>
      </w:r>
      <w:r>
        <w:rPr>
          <w:rFonts w:hint="eastAsia" w:ascii="仿宋_GB2312" w:eastAsia="仿宋_GB2312" w:cs="仿宋_GB2312"/>
          <w:sz w:val="32"/>
          <w:szCs w:val="32"/>
        </w:rPr>
        <w:t>分）</w:t>
      </w:r>
    </w:p>
    <w:p w14:paraId="1651F0B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该指标主要评价部门预算收入的完成情况，用以反映部门预算收入的完成程度，通过收入完成率衡量。</w:t>
      </w:r>
    </w:p>
    <w:p w14:paraId="502742E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收入完成率</w:t>
      </w:r>
      <w:r>
        <w:rPr>
          <w:rFonts w:ascii="仿宋_GB2312" w:eastAsia="仿宋_GB2312" w:cs="仿宋_GB2312"/>
          <w:sz w:val="32"/>
          <w:szCs w:val="32"/>
        </w:rPr>
        <w:t>=</w:t>
      </w:r>
      <w:r>
        <w:rPr>
          <w:rFonts w:hint="eastAsia" w:ascii="仿宋_GB2312" w:eastAsia="仿宋_GB2312" w:cs="仿宋_GB2312"/>
          <w:sz w:val="32"/>
          <w:szCs w:val="32"/>
        </w:rPr>
        <w:t>（决算收入</w:t>
      </w:r>
      <w:r>
        <w:rPr>
          <w:rFonts w:ascii="仿宋_GB2312" w:eastAsia="仿宋_GB2312" w:cs="仿宋_GB2312"/>
          <w:sz w:val="32"/>
          <w:szCs w:val="32"/>
        </w:rPr>
        <w:t>/</w:t>
      </w:r>
      <w:r>
        <w:rPr>
          <w:rFonts w:hint="eastAsia" w:ascii="仿宋_GB2312" w:eastAsia="仿宋_GB2312" w:cs="仿宋_GB2312"/>
          <w:sz w:val="32"/>
          <w:szCs w:val="32"/>
        </w:rPr>
        <w:t>预算收入）×</w:t>
      </w:r>
      <w:r>
        <w:rPr>
          <w:rFonts w:ascii="仿宋_GB2312" w:eastAsia="仿宋_GB2312" w:cs="仿宋_GB2312"/>
          <w:sz w:val="32"/>
          <w:szCs w:val="32"/>
        </w:rPr>
        <w:t>100%</w:t>
      </w:r>
      <w:r>
        <w:rPr>
          <w:rFonts w:hint="eastAsia" w:ascii="仿宋_GB2312" w:eastAsia="仿宋_GB2312" w:cs="仿宋_GB2312"/>
          <w:sz w:val="32"/>
          <w:szCs w:val="32"/>
        </w:rPr>
        <w:t>。</w:t>
      </w:r>
    </w:p>
    <w:p w14:paraId="26D0B2B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年预算文本、决算文本，</w:t>
      </w:r>
      <w:r>
        <w:rPr>
          <w:rFonts w:ascii="仿宋_GB2312" w:eastAsia="仿宋_GB2312" w:cs="仿宋_GB2312"/>
          <w:sz w:val="32"/>
          <w:szCs w:val="32"/>
        </w:rPr>
        <w:t>2021</w:t>
      </w:r>
      <w:r>
        <w:rPr>
          <w:rFonts w:hint="eastAsia" w:ascii="仿宋_GB2312" w:eastAsia="仿宋_GB2312" w:cs="仿宋_GB2312"/>
          <w:sz w:val="32"/>
          <w:szCs w:val="32"/>
        </w:rPr>
        <w:t>年收入预算数</w:t>
      </w:r>
      <w:r>
        <w:rPr>
          <w:rFonts w:ascii="仿宋_GB2312" w:eastAsia="仿宋_GB2312" w:cs="仿宋_GB2312"/>
          <w:sz w:val="32"/>
          <w:szCs w:val="32"/>
        </w:rPr>
        <w:t>90.81</w:t>
      </w:r>
      <w:r>
        <w:rPr>
          <w:rFonts w:hint="eastAsia" w:ascii="仿宋_GB2312" w:eastAsia="仿宋_GB2312" w:cs="仿宋_GB2312"/>
          <w:sz w:val="32"/>
          <w:szCs w:val="32"/>
        </w:rPr>
        <w:t>万元，收入决算数</w:t>
      </w:r>
      <w:r>
        <w:rPr>
          <w:rFonts w:ascii="仿宋_GB2312" w:eastAsia="仿宋_GB2312" w:cs="仿宋_GB2312"/>
          <w:sz w:val="32"/>
          <w:szCs w:val="32"/>
        </w:rPr>
        <w:t>57.57</w:t>
      </w:r>
      <w:r>
        <w:rPr>
          <w:rFonts w:hint="eastAsia" w:ascii="仿宋_GB2312" w:eastAsia="仿宋_GB2312" w:cs="仿宋_GB2312"/>
          <w:sz w:val="32"/>
          <w:szCs w:val="32"/>
        </w:rPr>
        <w:t>万元，收入完成率</w:t>
      </w:r>
      <w:r>
        <w:rPr>
          <w:rFonts w:ascii="仿宋_GB2312" w:eastAsia="仿宋_GB2312" w:cs="仿宋_GB2312"/>
          <w:sz w:val="32"/>
          <w:szCs w:val="32"/>
        </w:rPr>
        <w:t>=</w:t>
      </w:r>
      <w:r>
        <w:rPr>
          <w:rFonts w:hint="eastAsia" w:ascii="仿宋_GB2312" w:eastAsia="仿宋_GB2312" w:cs="仿宋_GB2312"/>
          <w:sz w:val="32"/>
          <w:szCs w:val="32"/>
        </w:rPr>
        <w:t>（</w:t>
      </w:r>
      <w:r>
        <w:rPr>
          <w:rFonts w:ascii="仿宋_GB2312" w:eastAsia="仿宋_GB2312" w:cs="仿宋_GB2312"/>
          <w:sz w:val="32"/>
          <w:szCs w:val="32"/>
        </w:rPr>
        <w:t>54.57/90.81</w:t>
      </w:r>
      <w:r>
        <w:rPr>
          <w:rFonts w:hint="eastAsia" w:ascii="仿宋_GB2312" w:eastAsia="仿宋_GB2312" w:cs="仿宋_GB2312"/>
          <w:sz w:val="32"/>
          <w:szCs w:val="32"/>
        </w:rPr>
        <w:t>）</w:t>
      </w:r>
      <w:r>
        <w:rPr>
          <w:rFonts w:ascii="仿宋_GB2312" w:eastAsia="仿宋_GB2312" w:cs="仿宋_GB2312"/>
          <w:sz w:val="32"/>
          <w:szCs w:val="32"/>
        </w:rPr>
        <w:t>*100%=60.1%</w:t>
      </w:r>
      <w:r>
        <w:rPr>
          <w:rFonts w:hint="eastAsia" w:ascii="仿宋_GB2312" w:eastAsia="仿宋_GB2312" w:cs="仿宋_GB2312"/>
          <w:sz w:val="32"/>
          <w:szCs w:val="32"/>
        </w:rPr>
        <w:t>。</w:t>
      </w:r>
    </w:p>
    <w:p w14:paraId="15E4D9A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7B010BE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）预算支出调整率（</w:t>
      </w:r>
      <w:r>
        <w:rPr>
          <w:rFonts w:ascii="仿宋_GB2312" w:eastAsia="仿宋_GB2312" w:cs="仿宋_GB2312"/>
          <w:sz w:val="32"/>
          <w:szCs w:val="32"/>
        </w:rPr>
        <w:t>2</w:t>
      </w:r>
      <w:r>
        <w:rPr>
          <w:rFonts w:hint="eastAsia" w:ascii="仿宋_GB2312" w:eastAsia="仿宋_GB2312" w:cs="仿宋_GB2312"/>
          <w:sz w:val="32"/>
          <w:szCs w:val="32"/>
        </w:rPr>
        <w:t>分）</w:t>
      </w:r>
    </w:p>
    <w:p w14:paraId="62C02F4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该指标主要评价预算支出的调整情况，进而衡量预算支出编制的准确性，通过预算支出调整率衡量。</w:t>
      </w:r>
    </w:p>
    <w:p w14:paraId="1FC303E3">
      <w:pPr>
        <w:spacing w:after="0" w:line="360" w:lineRule="auto"/>
        <w:ind w:firstLine="640" w:firstLineChars="200"/>
        <w:jc w:val="both"/>
        <w:textAlignment w:val="baseline"/>
        <w:rPr>
          <w:rFonts w:ascii="仿宋_GB2312" w:eastAsia="仿宋_GB2312"/>
          <w:color w:val="FF0000"/>
          <w:sz w:val="32"/>
          <w:szCs w:val="32"/>
        </w:rPr>
      </w:pPr>
      <w:r>
        <w:rPr>
          <w:rFonts w:hint="eastAsia" w:ascii="仿宋_GB2312" w:eastAsia="仿宋_GB2312" w:cs="仿宋_GB2312"/>
          <w:sz w:val="32"/>
          <w:szCs w:val="32"/>
        </w:rPr>
        <w:t>预算支出调整率</w:t>
      </w:r>
      <w:r>
        <w:rPr>
          <w:rFonts w:ascii="仿宋_GB2312" w:eastAsia="仿宋_GB2312" w:cs="仿宋_GB2312"/>
          <w:sz w:val="32"/>
          <w:szCs w:val="32"/>
        </w:rPr>
        <w:t>=</w:t>
      </w:r>
      <w:r>
        <w:rPr>
          <w:rFonts w:hint="eastAsia" w:ascii="仿宋_GB2312" w:eastAsia="仿宋_GB2312" w:cs="仿宋_GB2312"/>
          <w:sz w:val="32"/>
          <w:szCs w:val="32"/>
        </w:rPr>
        <w:t>（</w:t>
      </w:r>
      <w:r>
        <w:rPr>
          <w:rFonts w:ascii="仿宋_GB2312" w:eastAsia="仿宋_GB2312" w:cs="仿宋_GB2312"/>
          <w:sz w:val="32"/>
          <w:szCs w:val="32"/>
        </w:rPr>
        <w:t>54.57-90.81</w:t>
      </w:r>
      <w:r>
        <w:rPr>
          <w:rFonts w:hint="eastAsia" w:ascii="仿宋_GB2312" w:eastAsia="仿宋_GB2312" w:cs="仿宋_GB2312"/>
          <w:sz w:val="32"/>
          <w:szCs w:val="32"/>
        </w:rPr>
        <w:t>）</w:t>
      </w:r>
      <w:r>
        <w:rPr>
          <w:rFonts w:ascii="仿宋_GB2312" w:eastAsia="仿宋_GB2312" w:cs="仿宋_GB2312"/>
          <w:sz w:val="32"/>
          <w:szCs w:val="32"/>
        </w:rPr>
        <w:t>/90.81*100%=39.9%</w:t>
      </w:r>
    </w:p>
    <w:p w14:paraId="674B48B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1</w:t>
      </w:r>
      <w:r>
        <w:rPr>
          <w:rFonts w:hint="eastAsia" w:ascii="仿宋_GB2312" w:eastAsia="仿宋_GB2312" w:cs="仿宋_GB2312"/>
          <w:sz w:val="32"/>
          <w:szCs w:val="32"/>
        </w:rPr>
        <w:t>分。</w:t>
      </w:r>
    </w:p>
    <w:p w14:paraId="1DEE03F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）财政拨款支出完成率（</w:t>
      </w:r>
      <w:r>
        <w:rPr>
          <w:rFonts w:ascii="仿宋_GB2312" w:eastAsia="仿宋_GB2312" w:cs="仿宋_GB2312"/>
          <w:sz w:val="32"/>
          <w:szCs w:val="32"/>
        </w:rPr>
        <w:t>4</w:t>
      </w:r>
      <w:r>
        <w:rPr>
          <w:rFonts w:hint="eastAsia" w:ascii="仿宋_GB2312" w:eastAsia="仿宋_GB2312" w:cs="仿宋_GB2312"/>
          <w:sz w:val="32"/>
          <w:szCs w:val="32"/>
        </w:rPr>
        <w:t>分）</w:t>
      </w:r>
    </w:p>
    <w:p w14:paraId="738AB2C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该指标主要评价部门财政拨款的支出进度，通过财政拨款支出完成率来衡量。</w:t>
      </w:r>
    </w:p>
    <w:p w14:paraId="764621D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财政拨款支出完成率</w:t>
      </w:r>
      <w:r>
        <w:rPr>
          <w:rFonts w:ascii="仿宋_GB2312" w:eastAsia="仿宋_GB2312" w:cs="仿宋_GB2312"/>
          <w:sz w:val="32"/>
          <w:szCs w:val="32"/>
        </w:rPr>
        <w:t>=</w:t>
      </w:r>
      <w:r>
        <w:rPr>
          <w:rFonts w:hint="eastAsia" w:ascii="仿宋_GB2312" w:eastAsia="仿宋_GB2312" w:cs="仿宋_GB2312"/>
          <w:sz w:val="32"/>
          <w:szCs w:val="32"/>
        </w:rPr>
        <w:t>（部门决算财政拨款支出</w:t>
      </w:r>
      <w:r>
        <w:rPr>
          <w:rFonts w:ascii="仿宋_GB2312" w:eastAsia="仿宋_GB2312" w:cs="仿宋_GB2312"/>
          <w:sz w:val="32"/>
          <w:szCs w:val="32"/>
        </w:rPr>
        <w:t>/</w:t>
      </w:r>
      <w:r>
        <w:rPr>
          <w:rFonts w:hint="eastAsia" w:ascii="仿宋_GB2312" w:eastAsia="仿宋_GB2312" w:cs="仿宋_GB2312"/>
          <w:sz w:val="32"/>
          <w:szCs w:val="32"/>
        </w:rPr>
        <w:t>部门决算财政拨款收入）</w:t>
      </w:r>
      <w:r>
        <w:rPr>
          <w:rFonts w:ascii="仿宋_GB2312" w:eastAsia="仿宋_GB2312" w:cs="仿宋_GB2312"/>
          <w:sz w:val="32"/>
          <w:szCs w:val="32"/>
        </w:rPr>
        <w:t>*100%</w:t>
      </w:r>
      <w:r>
        <w:rPr>
          <w:rFonts w:hint="eastAsia" w:ascii="仿宋_GB2312" w:eastAsia="仿宋_GB2312" w:cs="仿宋_GB2312"/>
          <w:sz w:val="32"/>
          <w:szCs w:val="32"/>
        </w:rPr>
        <w:t>。</w:t>
      </w:r>
    </w:p>
    <w:p w14:paraId="7E6C61E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区总工会提供的</w:t>
      </w:r>
      <w:r>
        <w:rPr>
          <w:rFonts w:ascii="仿宋_GB2312" w:eastAsia="仿宋_GB2312" w:cs="仿宋_GB2312"/>
          <w:sz w:val="32"/>
          <w:szCs w:val="32"/>
        </w:rPr>
        <w:t>2021</w:t>
      </w:r>
      <w:r>
        <w:rPr>
          <w:rFonts w:hint="eastAsia" w:ascii="仿宋_GB2312" w:eastAsia="仿宋_GB2312" w:cs="仿宋_GB2312"/>
          <w:sz w:val="32"/>
          <w:szCs w:val="32"/>
        </w:rPr>
        <w:t>年决算文本，部门决算财政拨款支出数</w:t>
      </w:r>
      <w:r>
        <w:rPr>
          <w:rFonts w:ascii="仿宋_GB2312" w:eastAsia="仿宋_GB2312" w:cs="仿宋_GB2312"/>
          <w:sz w:val="32"/>
          <w:szCs w:val="32"/>
        </w:rPr>
        <w:t>54.57</w:t>
      </w:r>
      <w:r>
        <w:rPr>
          <w:rFonts w:hint="eastAsia" w:ascii="仿宋_GB2312" w:eastAsia="仿宋_GB2312" w:cs="仿宋_GB2312"/>
          <w:sz w:val="32"/>
          <w:szCs w:val="32"/>
        </w:rPr>
        <w:t>万元，财政拨款收入数</w:t>
      </w:r>
      <w:r>
        <w:rPr>
          <w:rFonts w:ascii="仿宋_GB2312" w:eastAsia="仿宋_GB2312" w:cs="仿宋_GB2312"/>
          <w:sz w:val="32"/>
          <w:szCs w:val="32"/>
        </w:rPr>
        <w:t>54.57</w:t>
      </w:r>
      <w:r>
        <w:rPr>
          <w:rFonts w:hint="eastAsia" w:ascii="仿宋_GB2312" w:eastAsia="仿宋_GB2312" w:cs="仿宋_GB2312"/>
          <w:sz w:val="32"/>
          <w:szCs w:val="32"/>
        </w:rPr>
        <w:t>万元，财政拨款支出率</w:t>
      </w:r>
      <w:r>
        <w:rPr>
          <w:rFonts w:ascii="仿宋_GB2312" w:eastAsia="仿宋_GB2312" w:cs="仿宋_GB2312"/>
          <w:sz w:val="32"/>
          <w:szCs w:val="32"/>
        </w:rPr>
        <w:t>=</w:t>
      </w:r>
      <w:r>
        <w:rPr>
          <w:rFonts w:hint="eastAsia" w:ascii="仿宋_GB2312" w:eastAsia="仿宋_GB2312" w:cs="仿宋_GB2312"/>
          <w:sz w:val="32"/>
          <w:szCs w:val="32"/>
        </w:rPr>
        <w:t>（财政拨款支出数</w:t>
      </w:r>
      <w:r>
        <w:rPr>
          <w:rFonts w:ascii="仿宋_GB2312" w:eastAsia="仿宋_GB2312" w:cs="仿宋_GB2312"/>
          <w:sz w:val="32"/>
          <w:szCs w:val="32"/>
        </w:rPr>
        <w:t>/</w:t>
      </w:r>
      <w:r>
        <w:rPr>
          <w:rFonts w:hint="eastAsia" w:ascii="仿宋_GB2312" w:eastAsia="仿宋_GB2312" w:cs="仿宋_GB2312"/>
          <w:sz w:val="32"/>
          <w:szCs w:val="32"/>
        </w:rPr>
        <w:t>财政拨款收入数）</w:t>
      </w:r>
      <w:r>
        <w:rPr>
          <w:rFonts w:ascii="仿宋_GB2312" w:eastAsia="仿宋_GB2312" w:cs="仿宋_GB2312"/>
          <w:sz w:val="32"/>
          <w:szCs w:val="32"/>
        </w:rPr>
        <w:t>*100%=100%</w:t>
      </w:r>
      <w:r>
        <w:rPr>
          <w:rFonts w:ascii="Arial" w:hAnsi="Arial" w:eastAsia="仿宋_GB2312" w:cs="Arial"/>
          <w:sz w:val="32"/>
          <w:szCs w:val="32"/>
        </w:rPr>
        <w:t>≥</w:t>
      </w:r>
      <w:r>
        <w:rPr>
          <w:rFonts w:ascii="仿宋_GB2312" w:eastAsia="仿宋_GB2312" w:cs="仿宋_GB2312"/>
          <w:sz w:val="32"/>
          <w:szCs w:val="32"/>
        </w:rPr>
        <w:t>90%</w:t>
      </w:r>
      <w:r>
        <w:rPr>
          <w:rFonts w:hint="eastAsia" w:ascii="仿宋_GB2312" w:eastAsia="仿宋_GB2312" w:cs="仿宋_GB2312"/>
          <w:sz w:val="32"/>
          <w:szCs w:val="32"/>
        </w:rPr>
        <w:t>。区总工会</w:t>
      </w:r>
      <w:r>
        <w:rPr>
          <w:rFonts w:ascii="仿宋_GB2312" w:eastAsia="仿宋_GB2312" w:cs="仿宋_GB2312"/>
          <w:sz w:val="32"/>
          <w:szCs w:val="32"/>
        </w:rPr>
        <w:t>2021</w:t>
      </w:r>
      <w:r>
        <w:rPr>
          <w:rFonts w:hint="eastAsia" w:ascii="仿宋_GB2312" w:eastAsia="仿宋_GB2312" w:cs="仿宋_GB2312"/>
          <w:sz w:val="32"/>
          <w:szCs w:val="32"/>
        </w:rPr>
        <w:t>年年初结转和结余</w:t>
      </w:r>
      <w:r>
        <w:rPr>
          <w:rFonts w:ascii="仿宋_GB2312" w:eastAsia="仿宋_GB2312" w:cs="仿宋_GB2312"/>
          <w:sz w:val="32"/>
          <w:szCs w:val="32"/>
        </w:rPr>
        <w:t>0</w:t>
      </w:r>
      <w:r>
        <w:rPr>
          <w:rFonts w:hint="eastAsia" w:ascii="仿宋_GB2312" w:eastAsia="仿宋_GB2312" w:cs="仿宋_GB2312"/>
          <w:sz w:val="32"/>
          <w:szCs w:val="32"/>
        </w:rPr>
        <w:t>万元。</w:t>
      </w:r>
    </w:p>
    <w:p w14:paraId="5988DA3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3554DF8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5</w:t>
      </w:r>
      <w:r>
        <w:rPr>
          <w:rFonts w:hint="eastAsia" w:ascii="仿宋_GB2312" w:eastAsia="仿宋_GB2312" w:cs="仿宋_GB2312"/>
          <w:sz w:val="32"/>
          <w:szCs w:val="32"/>
        </w:rPr>
        <w:t>）“三公”经费控制率（</w:t>
      </w:r>
      <w:r>
        <w:rPr>
          <w:rFonts w:ascii="仿宋_GB2312" w:eastAsia="仿宋_GB2312" w:cs="仿宋_GB2312"/>
          <w:sz w:val="32"/>
          <w:szCs w:val="32"/>
        </w:rPr>
        <w:t>3</w:t>
      </w:r>
      <w:r>
        <w:rPr>
          <w:rFonts w:hint="eastAsia" w:ascii="仿宋_GB2312" w:eastAsia="仿宋_GB2312" w:cs="仿宋_GB2312"/>
          <w:sz w:val="32"/>
          <w:szCs w:val="32"/>
        </w:rPr>
        <w:t>分）</w:t>
      </w:r>
    </w:p>
    <w:p w14:paraId="3E1FB60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财政局未划拨“三公”经费，该指标实际得分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08618B4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6</w:t>
      </w:r>
      <w:r>
        <w:rPr>
          <w:rFonts w:hint="eastAsia" w:ascii="仿宋_GB2312" w:eastAsia="仿宋_GB2312" w:cs="仿宋_GB2312"/>
          <w:sz w:val="32"/>
          <w:szCs w:val="32"/>
        </w:rPr>
        <w:t>）政府采购执行率（</w:t>
      </w:r>
      <w:r>
        <w:rPr>
          <w:rFonts w:ascii="仿宋_GB2312" w:eastAsia="仿宋_GB2312" w:cs="仿宋_GB2312"/>
          <w:sz w:val="32"/>
          <w:szCs w:val="32"/>
        </w:rPr>
        <w:t>3</w:t>
      </w:r>
      <w:r>
        <w:rPr>
          <w:rFonts w:hint="eastAsia" w:ascii="仿宋_GB2312" w:eastAsia="仿宋_GB2312" w:cs="仿宋_GB2312"/>
          <w:sz w:val="32"/>
          <w:szCs w:val="32"/>
        </w:rPr>
        <w:t>分）</w:t>
      </w:r>
    </w:p>
    <w:p w14:paraId="2394D68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财政局未划拨经费，所有未发生政府采购。</w:t>
      </w:r>
    </w:p>
    <w:p w14:paraId="6F016A7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该指标实际得分为</w:t>
      </w:r>
      <w:r>
        <w:rPr>
          <w:rFonts w:ascii="仿宋_GB2312" w:eastAsia="仿宋_GB2312" w:cs="仿宋_GB2312"/>
          <w:sz w:val="32"/>
          <w:szCs w:val="32"/>
        </w:rPr>
        <w:t>3</w:t>
      </w:r>
      <w:r>
        <w:rPr>
          <w:rFonts w:hint="eastAsia" w:ascii="仿宋_GB2312" w:eastAsia="仿宋_GB2312" w:cs="仿宋_GB2312"/>
          <w:sz w:val="32"/>
          <w:szCs w:val="32"/>
        </w:rPr>
        <w:t>分。</w:t>
      </w:r>
    </w:p>
    <w:p w14:paraId="70A9D17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7</w:t>
      </w:r>
      <w:r>
        <w:rPr>
          <w:rFonts w:hint="eastAsia" w:ascii="仿宋_GB2312" w:eastAsia="仿宋_GB2312" w:cs="仿宋_GB2312"/>
          <w:sz w:val="32"/>
          <w:szCs w:val="32"/>
        </w:rPr>
        <w:t>）资金使用合规性（</w:t>
      </w:r>
      <w:r>
        <w:rPr>
          <w:rFonts w:ascii="仿宋_GB2312" w:eastAsia="仿宋_GB2312" w:cs="仿宋_GB2312"/>
          <w:sz w:val="32"/>
          <w:szCs w:val="32"/>
        </w:rPr>
        <w:t>3</w:t>
      </w:r>
      <w:r>
        <w:rPr>
          <w:rFonts w:hint="eastAsia" w:ascii="仿宋_GB2312" w:eastAsia="仿宋_GB2312" w:cs="仿宋_GB2312"/>
          <w:sz w:val="32"/>
          <w:szCs w:val="32"/>
        </w:rPr>
        <w:t>分）</w:t>
      </w:r>
    </w:p>
    <w:p w14:paraId="0C7CB99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该指标主要评价资金使用是否按照相关法律法规和资金管理办法规定的用途使用，财务管理是否符合相关会计准则和财务制度。</w:t>
      </w:r>
    </w:p>
    <w:p w14:paraId="5BB7839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年明细账、会计凭证等相关资料，区总工会资金使用符合相关会计准则和财务制度，资金拨付有完备的审批程序和手续，资金使用符合部门预算批复的用途，未发现截留、挤占、挪用财政资金的情况。</w:t>
      </w:r>
    </w:p>
    <w:p w14:paraId="67141E9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55D2F25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8</w:t>
      </w:r>
      <w:r>
        <w:rPr>
          <w:rFonts w:hint="eastAsia" w:ascii="仿宋_GB2312" w:eastAsia="仿宋_GB2312" w:cs="仿宋_GB2312"/>
          <w:sz w:val="32"/>
          <w:szCs w:val="32"/>
        </w:rPr>
        <w:t>）决算真实性（</w:t>
      </w:r>
      <w:r>
        <w:rPr>
          <w:rFonts w:ascii="仿宋_GB2312" w:eastAsia="仿宋_GB2312" w:cs="仿宋_GB2312"/>
          <w:sz w:val="32"/>
          <w:szCs w:val="32"/>
        </w:rPr>
        <w:t>3</w:t>
      </w:r>
      <w:r>
        <w:rPr>
          <w:rFonts w:hint="eastAsia" w:ascii="仿宋_GB2312" w:eastAsia="仿宋_GB2312" w:cs="仿宋_GB2312"/>
          <w:sz w:val="32"/>
          <w:szCs w:val="32"/>
        </w:rPr>
        <w:t>分）</w:t>
      </w:r>
    </w:p>
    <w:p w14:paraId="61E5786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该指标主要评价决算编制数据是否与账表一致，即决算报表数据与会计账簿数据是否一致。</w:t>
      </w:r>
    </w:p>
    <w:p w14:paraId="7205B54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经核查区总工会</w:t>
      </w:r>
      <w:r>
        <w:rPr>
          <w:rFonts w:ascii="仿宋_GB2312" w:eastAsia="仿宋_GB2312" w:cs="仿宋_GB2312"/>
          <w:sz w:val="32"/>
          <w:szCs w:val="32"/>
        </w:rPr>
        <w:t>2021</w:t>
      </w:r>
      <w:r>
        <w:rPr>
          <w:rFonts w:hint="eastAsia" w:ascii="仿宋_GB2312" w:eastAsia="仿宋_GB2312" w:cs="仿宋_GB2312"/>
          <w:sz w:val="32"/>
          <w:szCs w:val="32"/>
        </w:rPr>
        <w:t>年决算文本、明细账及总账，区总工会决算文本数据均与明细账、总账一致。</w:t>
      </w:r>
    </w:p>
    <w:p w14:paraId="1607320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6A26079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预算管理（</w:t>
      </w:r>
      <w:r>
        <w:rPr>
          <w:rFonts w:ascii="仿宋_GB2312" w:eastAsia="仿宋_GB2312" w:cs="仿宋_GB2312"/>
          <w:sz w:val="32"/>
          <w:szCs w:val="32"/>
        </w:rPr>
        <w:t>16</w:t>
      </w:r>
      <w:r>
        <w:rPr>
          <w:rFonts w:hint="eastAsia" w:ascii="仿宋_GB2312" w:eastAsia="仿宋_GB2312" w:cs="仿宋_GB2312"/>
          <w:sz w:val="32"/>
          <w:szCs w:val="32"/>
        </w:rPr>
        <w:t>分）</w:t>
      </w:r>
    </w:p>
    <w:p w14:paraId="61B1CFB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）管理制度健全性（</w:t>
      </w:r>
      <w:r>
        <w:rPr>
          <w:rFonts w:ascii="仿宋_GB2312" w:eastAsia="仿宋_GB2312" w:cs="仿宋_GB2312"/>
          <w:sz w:val="32"/>
          <w:szCs w:val="32"/>
        </w:rPr>
        <w:t>4</w:t>
      </w:r>
      <w:r>
        <w:rPr>
          <w:rFonts w:hint="eastAsia" w:ascii="仿宋_GB2312" w:eastAsia="仿宋_GB2312" w:cs="仿宋_GB2312"/>
          <w:sz w:val="32"/>
          <w:szCs w:val="32"/>
        </w:rPr>
        <w:t>分）</w:t>
      </w:r>
    </w:p>
    <w:p w14:paraId="3EF69D8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该指标主要评价部门是否制定资金管理办法、财务管理制度、会计核算制度等相关内部控制制度，制度执行是否得到有效执行。</w:t>
      </w:r>
    </w:p>
    <w:p w14:paraId="4EA472C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区总工会工作制度涵盖了财务制度、网络安全制度、公务用车制度等相关制度，经检查区总工会付款流程审批单、资产盘点表等资料，区总工会已按照相关管理制度的规定执行。</w:t>
      </w:r>
    </w:p>
    <w:p w14:paraId="4BE65BB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016BE22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）预决算信息公开性（</w:t>
      </w:r>
      <w:r>
        <w:rPr>
          <w:rFonts w:ascii="仿宋_GB2312" w:eastAsia="仿宋_GB2312" w:cs="仿宋_GB2312"/>
          <w:sz w:val="32"/>
          <w:szCs w:val="32"/>
        </w:rPr>
        <w:t>4</w:t>
      </w:r>
      <w:r>
        <w:rPr>
          <w:rFonts w:hint="eastAsia" w:ascii="仿宋_GB2312" w:eastAsia="仿宋_GB2312" w:cs="仿宋_GB2312"/>
          <w:sz w:val="32"/>
          <w:szCs w:val="32"/>
        </w:rPr>
        <w:t>分）</w:t>
      </w:r>
    </w:p>
    <w:p w14:paraId="402EA37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该指标主要评价部门是否按照政府信息公开的有关要求在相关网站公开部门预算、预算执行情况、年度工作任务等相关信息。</w:t>
      </w:r>
    </w:p>
    <w:p w14:paraId="2481C0F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w:t>
      </w:r>
      <w:r>
        <w:rPr>
          <w:rFonts w:ascii="仿宋_GB2312" w:eastAsia="仿宋_GB2312" w:cs="仿宋_GB2312"/>
          <w:sz w:val="32"/>
          <w:szCs w:val="32"/>
        </w:rPr>
        <w:t>2021</w:t>
      </w:r>
      <w:r>
        <w:rPr>
          <w:rFonts w:hint="eastAsia" w:ascii="仿宋_GB2312" w:eastAsia="仿宋_GB2312" w:cs="仿宋_GB2312"/>
          <w:sz w:val="32"/>
          <w:szCs w:val="32"/>
        </w:rPr>
        <w:t>年按政府信息公开的有关要求在保定市徐水区人民政府网公开了</w:t>
      </w:r>
      <w:r>
        <w:rPr>
          <w:rFonts w:ascii="仿宋_GB2312" w:eastAsia="仿宋_GB2312" w:cs="仿宋_GB2312"/>
          <w:sz w:val="32"/>
          <w:szCs w:val="32"/>
        </w:rPr>
        <w:t>2021</w:t>
      </w:r>
      <w:r>
        <w:rPr>
          <w:rFonts w:hint="eastAsia" w:ascii="仿宋_GB2312" w:eastAsia="仿宋_GB2312" w:cs="仿宋_GB2312"/>
          <w:sz w:val="32"/>
          <w:szCs w:val="32"/>
        </w:rPr>
        <w:t>年的预决算情况、部门责任清单、行政监督清单等相关信息。</w:t>
      </w:r>
    </w:p>
    <w:p w14:paraId="7949786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5C00D1D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）基础信息完善性（</w:t>
      </w:r>
      <w:r>
        <w:rPr>
          <w:rFonts w:ascii="仿宋_GB2312" w:eastAsia="仿宋_GB2312" w:cs="仿宋_GB2312"/>
          <w:sz w:val="32"/>
          <w:szCs w:val="32"/>
        </w:rPr>
        <w:t>4</w:t>
      </w:r>
      <w:r>
        <w:rPr>
          <w:rFonts w:hint="eastAsia" w:ascii="仿宋_GB2312" w:eastAsia="仿宋_GB2312" w:cs="仿宋_GB2312"/>
          <w:sz w:val="32"/>
          <w:szCs w:val="32"/>
        </w:rPr>
        <w:t>分）</w:t>
      </w:r>
    </w:p>
    <w:p w14:paraId="1B17E4D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该指标主要评价基础数据信息和财务信息资料是否真实、完整。</w:t>
      </w:r>
    </w:p>
    <w:p w14:paraId="49E312F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根据区总工会提供的会计账簿、凭证及其他相关资料，区总工会会计信息资料真实完整，</w:t>
      </w:r>
    </w:p>
    <w:p w14:paraId="7742778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411B20C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）资产管理规范性（</w:t>
      </w:r>
      <w:r>
        <w:rPr>
          <w:rFonts w:ascii="仿宋_GB2312" w:eastAsia="仿宋_GB2312" w:cs="仿宋_GB2312"/>
          <w:sz w:val="32"/>
          <w:szCs w:val="32"/>
        </w:rPr>
        <w:t>4</w:t>
      </w:r>
      <w:r>
        <w:rPr>
          <w:rFonts w:hint="eastAsia" w:ascii="仿宋_GB2312" w:eastAsia="仿宋_GB2312" w:cs="仿宋_GB2312"/>
          <w:sz w:val="32"/>
          <w:szCs w:val="32"/>
        </w:rPr>
        <w:t>分）</w:t>
      </w:r>
    </w:p>
    <w:p w14:paraId="5CD8D16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根据《工会法》有关规定，工会资产不归当地政府。</w:t>
      </w:r>
    </w:p>
    <w:p w14:paraId="07B0BA0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3B5EAAB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绩效评价（</w:t>
      </w:r>
      <w:r>
        <w:rPr>
          <w:rFonts w:ascii="仿宋_GB2312" w:eastAsia="仿宋_GB2312" w:cs="仿宋_GB2312"/>
          <w:sz w:val="32"/>
          <w:szCs w:val="32"/>
        </w:rPr>
        <w:t>8</w:t>
      </w:r>
      <w:r>
        <w:rPr>
          <w:rFonts w:hint="eastAsia" w:ascii="仿宋_GB2312" w:eastAsia="仿宋_GB2312" w:cs="仿宋_GB2312"/>
          <w:sz w:val="32"/>
          <w:szCs w:val="32"/>
        </w:rPr>
        <w:t>分）</w:t>
      </w:r>
    </w:p>
    <w:p w14:paraId="02B7C62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）绩效自评覆盖率（</w:t>
      </w:r>
      <w:r>
        <w:rPr>
          <w:rFonts w:ascii="仿宋_GB2312" w:eastAsia="仿宋_GB2312" w:cs="仿宋_GB2312"/>
          <w:sz w:val="32"/>
          <w:szCs w:val="32"/>
        </w:rPr>
        <w:t>4</w:t>
      </w:r>
      <w:r>
        <w:rPr>
          <w:rFonts w:hint="eastAsia" w:ascii="仿宋_GB2312" w:eastAsia="仿宋_GB2312" w:cs="仿宋_GB2312"/>
          <w:sz w:val="32"/>
          <w:szCs w:val="32"/>
        </w:rPr>
        <w:t>分）</w:t>
      </w:r>
    </w:p>
    <w:p w14:paraId="77956F1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该指标主要评价部门是否按相关要求实施绩效自评，通过绩效自评覆盖率来衡量。</w:t>
      </w:r>
    </w:p>
    <w:p w14:paraId="12994FD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绩效自评覆盖率</w:t>
      </w:r>
      <w:r>
        <w:rPr>
          <w:rFonts w:ascii="仿宋_GB2312" w:eastAsia="仿宋_GB2312" w:cs="仿宋_GB2312"/>
          <w:sz w:val="32"/>
          <w:szCs w:val="32"/>
        </w:rPr>
        <w:t>=</w:t>
      </w:r>
      <w:r>
        <w:rPr>
          <w:rFonts w:hint="eastAsia" w:ascii="仿宋_GB2312" w:eastAsia="仿宋_GB2312" w:cs="仿宋_GB2312"/>
          <w:sz w:val="32"/>
          <w:szCs w:val="32"/>
        </w:rPr>
        <w:t>（报送相关自评材料的数量</w:t>
      </w:r>
      <w:r>
        <w:rPr>
          <w:rFonts w:ascii="仿宋_GB2312" w:eastAsia="仿宋_GB2312" w:cs="仿宋_GB2312"/>
          <w:sz w:val="32"/>
          <w:szCs w:val="32"/>
        </w:rPr>
        <w:t>/</w:t>
      </w:r>
      <w:r>
        <w:rPr>
          <w:rFonts w:hint="eastAsia" w:ascii="仿宋_GB2312" w:eastAsia="仿宋_GB2312" w:cs="仿宋_GB2312"/>
          <w:sz w:val="32"/>
          <w:szCs w:val="32"/>
        </w:rPr>
        <w:t>应实施项目绩效自评数量）</w:t>
      </w:r>
      <w:r>
        <w:rPr>
          <w:rFonts w:ascii="仿宋_GB2312" w:eastAsia="仿宋_GB2312" w:cs="仿宋_GB2312"/>
          <w:sz w:val="32"/>
          <w:szCs w:val="32"/>
        </w:rPr>
        <w:t>*100%</w:t>
      </w:r>
      <w:r>
        <w:rPr>
          <w:rFonts w:hint="eastAsia" w:ascii="仿宋_GB2312" w:eastAsia="仿宋_GB2312" w:cs="仿宋_GB2312"/>
          <w:sz w:val="32"/>
          <w:szCs w:val="32"/>
        </w:rPr>
        <w:t>。</w:t>
      </w:r>
    </w:p>
    <w:p w14:paraId="41FDB44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根据徐水区财政局《关于开展</w:t>
      </w:r>
      <w:r>
        <w:rPr>
          <w:rFonts w:ascii="仿宋_GB2312" w:eastAsia="仿宋_GB2312" w:cs="仿宋_GB2312"/>
          <w:sz w:val="32"/>
          <w:szCs w:val="32"/>
        </w:rPr>
        <w:t>2021</w:t>
      </w:r>
      <w:r>
        <w:rPr>
          <w:rFonts w:hint="eastAsia" w:ascii="仿宋_GB2312" w:eastAsia="仿宋_GB2312" w:cs="仿宋_GB2312"/>
          <w:sz w:val="32"/>
          <w:szCs w:val="32"/>
        </w:rPr>
        <w:t>年度财政专项资金部门绩效自评价工作的通知》及徐水区区总工会</w:t>
      </w:r>
      <w:r>
        <w:rPr>
          <w:rFonts w:ascii="仿宋_GB2312" w:eastAsia="仿宋_GB2312" w:cs="仿宋_GB2312"/>
          <w:sz w:val="32"/>
          <w:szCs w:val="32"/>
        </w:rPr>
        <w:t>2021</w:t>
      </w:r>
      <w:r>
        <w:rPr>
          <w:rFonts w:hint="eastAsia" w:ascii="仿宋_GB2312" w:eastAsia="仿宋_GB2312" w:cs="仿宋_GB2312"/>
          <w:sz w:val="32"/>
          <w:szCs w:val="32"/>
        </w:rPr>
        <w:t>年一般项目部门绩效自评表，区总工会</w:t>
      </w:r>
      <w:r>
        <w:rPr>
          <w:rFonts w:ascii="仿宋_GB2312" w:eastAsia="仿宋_GB2312" w:cs="仿宋_GB2312"/>
          <w:sz w:val="32"/>
          <w:szCs w:val="32"/>
        </w:rPr>
        <w:t>2021</w:t>
      </w:r>
      <w:r>
        <w:rPr>
          <w:rFonts w:hint="eastAsia" w:ascii="仿宋_GB2312" w:eastAsia="仿宋_GB2312" w:cs="仿宋_GB2312"/>
          <w:sz w:val="32"/>
          <w:szCs w:val="32"/>
        </w:rPr>
        <w:t>年开展绩效自评的项目数为</w:t>
      </w:r>
      <w:r>
        <w:rPr>
          <w:rFonts w:ascii="仿宋_GB2312" w:eastAsia="仿宋_GB2312" w:cs="仿宋_GB2312"/>
          <w:sz w:val="32"/>
          <w:szCs w:val="32"/>
        </w:rPr>
        <w:t>1</w:t>
      </w:r>
      <w:r>
        <w:rPr>
          <w:rFonts w:hint="eastAsia" w:ascii="仿宋_GB2312" w:eastAsia="仿宋_GB2312" w:cs="仿宋_GB2312"/>
          <w:sz w:val="32"/>
          <w:szCs w:val="32"/>
        </w:rPr>
        <w:t>个，年初预算文本项目数</w:t>
      </w:r>
      <w:r>
        <w:rPr>
          <w:rFonts w:ascii="仿宋_GB2312" w:eastAsia="仿宋_GB2312" w:cs="仿宋_GB2312"/>
          <w:sz w:val="32"/>
          <w:szCs w:val="32"/>
        </w:rPr>
        <w:t>1</w:t>
      </w:r>
      <w:r>
        <w:rPr>
          <w:rFonts w:hint="eastAsia" w:ascii="仿宋_GB2312" w:eastAsia="仿宋_GB2312" w:cs="仿宋_GB2312"/>
          <w:sz w:val="32"/>
          <w:szCs w:val="32"/>
        </w:rPr>
        <w:t>个，要求自评项目个数</w:t>
      </w:r>
      <w:r>
        <w:rPr>
          <w:rFonts w:ascii="仿宋_GB2312" w:eastAsia="仿宋_GB2312" w:cs="仿宋_GB2312"/>
          <w:sz w:val="32"/>
          <w:szCs w:val="32"/>
        </w:rPr>
        <w:t>1</w:t>
      </w:r>
      <w:r>
        <w:rPr>
          <w:rFonts w:hint="eastAsia" w:ascii="仿宋_GB2312" w:eastAsia="仿宋_GB2312" w:cs="仿宋_GB2312"/>
          <w:sz w:val="32"/>
          <w:szCs w:val="32"/>
        </w:rPr>
        <w:t>个，自评覆盖率为</w:t>
      </w:r>
      <w:r>
        <w:rPr>
          <w:rFonts w:ascii="仿宋_GB2312" w:eastAsia="仿宋_GB2312" w:cs="仿宋_GB2312"/>
          <w:sz w:val="32"/>
          <w:szCs w:val="32"/>
        </w:rPr>
        <w:t xml:space="preserve"> 100%</w:t>
      </w:r>
      <w:r>
        <w:rPr>
          <w:rFonts w:hint="eastAsia" w:ascii="仿宋_GB2312" w:eastAsia="仿宋_GB2312" w:cs="仿宋_GB2312"/>
          <w:sz w:val="32"/>
          <w:szCs w:val="32"/>
        </w:rPr>
        <w:t>。</w:t>
      </w:r>
    </w:p>
    <w:p w14:paraId="43CC4E4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3DF6C94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）绩效评价优等率（</w:t>
      </w:r>
      <w:r>
        <w:rPr>
          <w:rFonts w:ascii="仿宋_GB2312" w:eastAsia="仿宋_GB2312" w:cs="仿宋_GB2312"/>
          <w:sz w:val="32"/>
          <w:szCs w:val="32"/>
        </w:rPr>
        <w:t>4</w:t>
      </w:r>
      <w:r>
        <w:rPr>
          <w:rFonts w:hint="eastAsia" w:ascii="仿宋_GB2312" w:eastAsia="仿宋_GB2312" w:cs="仿宋_GB2312"/>
          <w:sz w:val="32"/>
          <w:szCs w:val="32"/>
        </w:rPr>
        <w:t>分）</w:t>
      </w:r>
    </w:p>
    <w:p w14:paraId="2EF1414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该指标主要评价部门开展的绩效评价项目的完成质量，通过绩效评价优等率来衡量。</w:t>
      </w:r>
    </w:p>
    <w:p w14:paraId="77ABFC0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绩效评价优等率</w:t>
      </w:r>
      <w:r>
        <w:rPr>
          <w:rFonts w:ascii="仿宋_GB2312" w:eastAsia="仿宋_GB2312" w:cs="仿宋_GB2312"/>
          <w:sz w:val="32"/>
          <w:szCs w:val="32"/>
        </w:rPr>
        <w:t>=</w:t>
      </w:r>
      <w:r>
        <w:rPr>
          <w:rFonts w:hint="eastAsia" w:ascii="仿宋_GB2312" w:eastAsia="仿宋_GB2312" w:cs="仿宋_GB2312"/>
          <w:sz w:val="32"/>
          <w:szCs w:val="32"/>
        </w:rPr>
        <w:t>（结果达到优等的数量</w:t>
      </w:r>
      <w:r>
        <w:rPr>
          <w:rFonts w:ascii="仿宋_GB2312" w:eastAsia="仿宋_GB2312" w:cs="仿宋_GB2312"/>
          <w:sz w:val="32"/>
          <w:szCs w:val="32"/>
        </w:rPr>
        <w:t>/</w:t>
      </w:r>
      <w:r>
        <w:rPr>
          <w:rFonts w:hint="eastAsia" w:ascii="仿宋_GB2312" w:eastAsia="仿宋_GB2312" w:cs="仿宋_GB2312"/>
          <w:sz w:val="32"/>
          <w:szCs w:val="32"/>
        </w:rPr>
        <w:t>参评数量）</w:t>
      </w:r>
      <w:r>
        <w:rPr>
          <w:rFonts w:ascii="仿宋_GB2312" w:eastAsia="仿宋_GB2312" w:cs="仿宋_GB2312"/>
          <w:sz w:val="32"/>
          <w:szCs w:val="32"/>
        </w:rPr>
        <w:t>*100%</w:t>
      </w:r>
      <w:r>
        <w:rPr>
          <w:rFonts w:hint="eastAsia" w:ascii="仿宋_GB2312" w:eastAsia="仿宋_GB2312" w:cs="仿宋_GB2312"/>
          <w:sz w:val="32"/>
          <w:szCs w:val="32"/>
        </w:rPr>
        <w:t>。</w:t>
      </w:r>
    </w:p>
    <w:p w14:paraId="4DD74D6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区位</w:t>
      </w:r>
      <w:r>
        <w:rPr>
          <w:rFonts w:ascii="仿宋_GB2312" w:eastAsia="仿宋_GB2312" w:cs="仿宋_GB2312"/>
          <w:sz w:val="32"/>
          <w:szCs w:val="32"/>
        </w:rPr>
        <w:t>2021</w:t>
      </w:r>
      <w:r>
        <w:rPr>
          <w:rFonts w:hint="eastAsia" w:ascii="仿宋_GB2312" w:eastAsia="仿宋_GB2312" w:cs="仿宋_GB2312"/>
          <w:sz w:val="32"/>
          <w:szCs w:val="32"/>
        </w:rPr>
        <w:t>年参评数量</w:t>
      </w:r>
      <w:r>
        <w:rPr>
          <w:rFonts w:ascii="仿宋_GB2312" w:eastAsia="仿宋_GB2312" w:cs="仿宋_GB2312"/>
          <w:sz w:val="32"/>
          <w:szCs w:val="32"/>
        </w:rPr>
        <w:t>1</w:t>
      </w:r>
      <w:r>
        <w:rPr>
          <w:rFonts w:hint="eastAsia" w:ascii="仿宋_GB2312" w:eastAsia="仿宋_GB2312" w:cs="仿宋_GB2312"/>
          <w:sz w:val="32"/>
          <w:szCs w:val="32"/>
        </w:rPr>
        <w:t>个，绩效评价结果达到优等的数量</w:t>
      </w:r>
      <w:r>
        <w:rPr>
          <w:rFonts w:ascii="仿宋_GB2312" w:eastAsia="仿宋_GB2312" w:cs="仿宋_GB2312"/>
          <w:sz w:val="32"/>
          <w:szCs w:val="32"/>
        </w:rPr>
        <w:t>1</w:t>
      </w:r>
      <w:r>
        <w:rPr>
          <w:rFonts w:hint="eastAsia" w:ascii="仿宋_GB2312" w:eastAsia="仿宋_GB2312" w:cs="仿宋_GB2312"/>
          <w:sz w:val="32"/>
          <w:szCs w:val="32"/>
        </w:rPr>
        <w:t>个，绩效评价优等率为</w:t>
      </w:r>
      <w:r>
        <w:rPr>
          <w:rFonts w:ascii="仿宋_GB2312" w:eastAsia="仿宋_GB2312" w:cs="仿宋_GB2312"/>
          <w:sz w:val="32"/>
          <w:szCs w:val="32"/>
        </w:rPr>
        <w:t>100%</w:t>
      </w:r>
      <w:r>
        <w:rPr>
          <w:rFonts w:hint="eastAsia" w:ascii="仿宋_GB2312" w:eastAsia="仿宋_GB2312" w:cs="仿宋_GB2312"/>
          <w:sz w:val="32"/>
          <w:szCs w:val="32"/>
        </w:rPr>
        <w:t>。</w:t>
      </w:r>
    </w:p>
    <w:p w14:paraId="42EBF30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bookmarkEnd w:id="61"/>
      <w:bookmarkEnd w:id="62"/>
    </w:p>
    <w:p w14:paraId="20D0A539">
      <w:pPr>
        <w:pStyle w:val="4"/>
        <w:spacing w:before="0" w:after="0"/>
        <w:ind w:firstLine="643" w:firstLineChars="200"/>
        <w:jc w:val="both"/>
        <w:rPr>
          <w:rFonts w:ascii="楷体" w:hAnsi="楷体" w:eastAsia="楷体" w:cs="Tahoma"/>
          <w:sz w:val="32"/>
          <w:szCs w:val="32"/>
        </w:rPr>
      </w:pPr>
      <w:bookmarkStart w:id="63" w:name="_Toc12330"/>
      <w:r>
        <w:rPr>
          <w:rFonts w:hint="eastAsia" w:ascii="楷体" w:hAnsi="楷体" w:eastAsia="楷体" w:cs="楷体"/>
          <w:sz w:val="32"/>
          <w:szCs w:val="32"/>
        </w:rPr>
        <w:t>（三）产出（</w:t>
      </w:r>
      <w:r>
        <w:rPr>
          <w:rFonts w:ascii="楷体" w:hAnsi="楷体" w:eastAsia="楷体" w:cs="楷体"/>
          <w:sz w:val="32"/>
          <w:szCs w:val="32"/>
        </w:rPr>
        <w:t>25</w:t>
      </w:r>
      <w:r>
        <w:rPr>
          <w:rFonts w:hint="eastAsia" w:ascii="楷体" w:hAnsi="楷体" w:eastAsia="楷体" w:cs="楷体"/>
          <w:sz w:val="32"/>
          <w:szCs w:val="32"/>
        </w:rPr>
        <w:t>分）</w:t>
      </w:r>
      <w:bookmarkEnd w:id="63"/>
    </w:p>
    <w:p w14:paraId="7D2767D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该一级指标包含责任履行一个二级指标，主要反映结转结余率，项目资金使用率</w:t>
      </w:r>
      <w:r>
        <w:rPr>
          <w:rFonts w:ascii="仿宋_GB2312" w:eastAsia="仿宋_GB2312" w:cs="仿宋_GB2312"/>
          <w:sz w:val="32"/>
          <w:szCs w:val="32"/>
        </w:rPr>
        <w:t>.</w:t>
      </w:r>
      <w:r>
        <w:rPr>
          <w:rFonts w:hint="eastAsia" w:ascii="仿宋_GB2312" w:eastAsia="仿宋_GB2312" w:cs="仿宋_GB2312"/>
          <w:sz w:val="32"/>
          <w:szCs w:val="32"/>
        </w:rPr>
        <w:t>劳模体检人数，劳模体检率，体检完成率。</w:t>
      </w:r>
    </w:p>
    <w:p w14:paraId="672D12E3">
      <w:pPr>
        <w:spacing w:after="0" w:line="360" w:lineRule="auto"/>
        <w:jc w:val="center"/>
        <w:textAlignment w:val="baseline"/>
        <w:rPr>
          <w:rFonts w:ascii="宋体" w:hAnsi="宋体" w:eastAsia="宋体"/>
          <w:b/>
          <w:bCs/>
          <w:sz w:val="32"/>
          <w:szCs w:val="32"/>
        </w:rPr>
      </w:pPr>
      <w:r>
        <w:rPr>
          <w:rFonts w:hint="eastAsia" w:ascii="宋体" w:hAnsi="宋体" w:eastAsia="宋体" w:cs="宋体"/>
          <w:b/>
          <w:bCs/>
          <w:sz w:val="32"/>
          <w:szCs w:val="32"/>
        </w:rPr>
        <w:t>表</w:t>
      </w:r>
      <w:r>
        <w:rPr>
          <w:rFonts w:ascii="宋体" w:hAnsi="宋体" w:eastAsia="宋体" w:cs="宋体"/>
          <w:b/>
          <w:bCs/>
          <w:sz w:val="32"/>
          <w:szCs w:val="32"/>
        </w:rPr>
        <w:t xml:space="preserve">4  </w:t>
      </w:r>
      <w:r>
        <w:rPr>
          <w:rFonts w:hint="eastAsia" w:ascii="宋体" w:hAnsi="宋体" w:eastAsia="宋体" w:cs="宋体"/>
          <w:b/>
          <w:bCs/>
          <w:sz w:val="32"/>
          <w:szCs w:val="32"/>
        </w:rPr>
        <w:t>产出指标及得分情况表</w:t>
      </w:r>
    </w:p>
    <w:tbl>
      <w:tblPr>
        <w:tblStyle w:val="23"/>
        <w:tblW w:w="0" w:type="auto"/>
        <w:jc w:val="center"/>
        <w:tblLayout w:type="fixed"/>
        <w:tblCellMar>
          <w:top w:w="15" w:type="dxa"/>
          <w:left w:w="15" w:type="dxa"/>
          <w:bottom w:w="15" w:type="dxa"/>
          <w:right w:w="15" w:type="dxa"/>
        </w:tblCellMar>
      </w:tblPr>
      <w:tblGrid>
        <w:gridCol w:w="1577"/>
        <w:gridCol w:w="1004"/>
        <w:gridCol w:w="2536"/>
        <w:gridCol w:w="1125"/>
        <w:gridCol w:w="853"/>
      </w:tblGrid>
      <w:tr w14:paraId="11801701">
        <w:tblPrEx>
          <w:tblCellMar>
            <w:top w:w="15" w:type="dxa"/>
            <w:left w:w="15" w:type="dxa"/>
            <w:bottom w:w="15" w:type="dxa"/>
            <w:right w:w="15" w:type="dxa"/>
          </w:tblCellMar>
        </w:tblPrEx>
        <w:trPr>
          <w:trHeight w:val="397" w:hRule="exact"/>
          <w:jc w:val="center"/>
        </w:trPr>
        <w:tc>
          <w:tcPr>
            <w:tcW w:w="1577" w:type="dxa"/>
            <w:tcBorders>
              <w:top w:val="single" w:color="000000" w:sz="4" w:space="0"/>
              <w:left w:val="single" w:color="000000" w:sz="4" w:space="0"/>
              <w:bottom w:val="single" w:color="000000" w:sz="4" w:space="0"/>
              <w:right w:val="single" w:color="000000" w:sz="4" w:space="0"/>
            </w:tcBorders>
            <w:vAlign w:val="center"/>
          </w:tcPr>
          <w:p w14:paraId="0DAB08BA">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一级指标</w:t>
            </w:r>
          </w:p>
        </w:tc>
        <w:tc>
          <w:tcPr>
            <w:tcW w:w="1004" w:type="dxa"/>
            <w:tcBorders>
              <w:top w:val="single" w:color="000000" w:sz="4" w:space="0"/>
              <w:left w:val="single" w:color="000000" w:sz="4" w:space="0"/>
              <w:bottom w:val="single" w:color="000000" w:sz="4" w:space="0"/>
              <w:right w:val="single" w:color="000000" w:sz="4" w:space="0"/>
            </w:tcBorders>
            <w:vAlign w:val="center"/>
          </w:tcPr>
          <w:p w14:paraId="50981789">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二级指标</w:t>
            </w:r>
          </w:p>
        </w:tc>
        <w:tc>
          <w:tcPr>
            <w:tcW w:w="2536" w:type="dxa"/>
            <w:tcBorders>
              <w:top w:val="single" w:color="000000" w:sz="4" w:space="0"/>
              <w:left w:val="single" w:color="000000" w:sz="4" w:space="0"/>
              <w:bottom w:val="single" w:color="000000" w:sz="4" w:space="0"/>
              <w:right w:val="single" w:color="000000" w:sz="4" w:space="0"/>
            </w:tcBorders>
            <w:vAlign w:val="center"/>
          </w:tcPr>
          <w:p w14:paraId="360B87D3">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三级指标</w:t>
            </w:r>
          </w:p>
        </w:tc>
        <w:tc>
          <w:tcPr>
            <w:tcW w:w="1125" w:type="dxa"/>
            <w:tcBorders>
              <w:top w:val="single" w:color="000000" w:sz="4" w:space="0"/>
              <w:left w:val="single" w:color="000000" w:sz="4" w:space="0"/>
              <w:bottom w:val="single" w:color="000000" w:sz="4" w:space="0"/>
              <w:right w:val="single" w:color="000000" w:sz="4" w:space="0"/>
            </w:tcBorders>
            <w:vAlign w:val="center"/>
          </w:tcPr>
          <w:p w14:paraId="217E73E5">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分数权重</w:t>
            </w:r>
          </w:p>
        </w:tc>
        <w:tc>
          <w:tcPr>
            <w:tcW w:w="853" w:type="dxa"/>
            <w:tcBorders>
              <w:top w:val="single" w:color="000000" w:sz="4" w:space="0"/>
              <w:left w:val="single" w:color="000000" w:sz="4" w:space="0"/>
              <w:bottom w:val="single" w:color="000000" w:sz="4" w:space="0"/>
              <w:right w:val="single" w:color="000000" w:sz="4" w:space="0"/>
            </w:tcBorders>
            <w:vAlign w:val="center"/>
          </w:tcPr>
          <w:p w14:paraId="5386AEDE">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得分</w:t>
            </w:r>
          </w:p>
        </w:tc>
      </w:tr>
      <w:tr w14:paraId="46DD2F23">
        <w:tblPrEx>
          <w:tblCellMar>
            <w:top w:w="15" w:type="dxa"/>
            <w:left w:w="15" w:type="dxa"/>
            <w:bottom w:w="15" w:type="dxa"/>
            <w:right w:w="15" w:type="dxa"/>
          </w:tblCellMar>
        </w:tblPrEx>
        <w:trPr>
          <w:trHeight w:val="397" w:hRule="exact"/>
          <w:jc w:val="center"/>
        </w:trPr>
        <w:tc>
          <w:tcPr>
            <w:tcW w:w="1577" w:type="dxa"/>
            <w:vMerge w:val="restart"/>
            <w:tcBorders>
              <w:top w:val="single" w:color="000000" w:sz="4" w:space="0"/>
              <w:left w:val="single" w:color="000000" w:sz="4" w:space="0"/>
              <w:bottom w:val="single" w:color="000000" w:sz="4" w:space="0"/>
              <w:right w:val="single" w:color="000000" w:sz="4" w:space="0"/>
            </w:tcBorders>
            <w:vAlign w:val="center"/>
          </w:tcPr>
          <w:p w14:paraId="013FD429">
            <w:pPr>
              <w:spacing w:line="420" w:lineRule="exact"/>
              <w:jc w:val="center"/>
              <w:rPr>
                <w:rFonts w:ascii="宋体" w:hAnsi="宋体" w:eastAsia="宋体"/>
                <w:sz w:val="21"/>
                <w:szCs w:val="21"/>
              </w:rPr>
            </w:pPr>
            <w:r>
              <w:rPr>
                <w:rFonts w:hint="eastAsia" w:ascii="宋体" w:hAnsi="宋体" w:eastAsia="宋体" w:cs="宋体"/>
                <w:sz w:val="21"/>
                <w:szCs w:val="21"/>
              </w:rPr>
              <w:t>产出</w:t>
            </w:r>
          </w:p>
          <w:p w14:paraId="1688BABB">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25</w:t>
            </w:r>
            <w:r>
              <w:rPr>
                <w:rFonts w:hint="eastAsia" w:ascii="宋体" w:hAnsi="宋体" w:eastAsia="宋体" w:cs="宋体"/>
                <w:sz w:val="21"/>
                <w:szCs w:val="21"/>
              </w:rPr>
              <w:t>分）</w:t>
            </w:r>
          </w:p>
        </w:tc>
        <w:tc>
          <w:tcPr>
            <w:tcW w:w="1004" w:type="dxa"/>
            <w:vMerge w:val="restart"/>
            <w:tcBorders>
              <w:top w:val="single" w:color="000000" w:sz="4" w:space="0"/>
              <w:left w:val="single" w:color="000000" w:sz="4" w:space="0"/>
              <w:right w:val="single" w:color="000000" w:sz="4" w:space="0"/>
            </w:tcBorders>
            <w:vAlign w:val="center"/>
          </w:tcPr>
          <w:p w14:paraId="6AA94B5A">
            <w:pPr>
              <w:spacing w:line="420" w:lineRule="exact"/>
              <w:jc w:val="center"/>
              <w:rPr>
                <w:rFonts w:ascii="宋体" w:hAnsi="宋体" w:eastAsia="宋体"/>
                <w:sz w:val="21"/>
                <w:szCs w:val="21"/>
              </w:rPr>
            </w:pPr>
            <w:r>
              <w:rPr>
                <w:rFonts w:hint="eastAsia" w:ascii="宋体" w:hAnsi="宋体" w:eastAsia="宋体" w:cs="宋体"/>
                <w:sz w:val="21"/>
                <w:szCs w:val="21"/>
              </w:rPr>
              <w:t>责任履行（</w:t>
            </w:r>
            <w:r>
              <w:rPr>
                <w:rFonts w:ascii="宋体" w:hAnsi="宋体" w:eastAsia="宋体" w:cs="宋体"/>
                <w:sz w:val="21"/>
                <w:szCs w:val="21"/>
              </w:rPr>
              <w:t>25</w:t>
            </w:r>
            <w:r>
              <w:rPr>
                <w:rFonts w:hint="eastAsia" w:ascii="宋体" w:hAnsi="宋体" w:eastAsia="宋体" w:cs="宋体"/>
                <w:sz w:val="21"/>
                <w:szCs w:val="21"/>
              </w:rPr>
              <w:t>分）</w:t>
            </w:r>
          </w:p>
        </w:tc>
        <w:tc>
          <w:tcPr>
            <w:tcW w:w="2536" w:type="dxa"/>
            <w:tcBorders>
              <w:top w:val="single" w:color="000000" w:sz="4" w:space="0"/>
              <w:left w:val="single" w:color="000000" w:sz="4" w:space="0"/>
              <w:bottom w:val="single" w:color="000000" w:sz="4" w:space="0"/>
              <w:right w:val="single" w:color="000000" w:sz="4" w:space="0"/>
            </w:tcBorders>
            <w:vAlign w:val="center"/>
          </w:tcPr>
          <w:p w14:paraId="60345694">
            <w:pPr>
              <w:spacing w:line="420" w:lineRule="exact"/>
              <w:jc w:val="center"/>
              <w:rPr>
                <w:rFonts w:ascii="宋体" w:hAnsi="宋体" w:eastAsia="宋体"/>
                <w:sz w:val="21"/>
                <w:szCs w:val="21"/>
              </w:rPr>
            </w:pPr>
            <w:r>
              <w:rPr>
                <w:rFonts w:hint="eastAsia" w:ascii="宋体" w:hAnsi="宋体" w:eastAsia="宋体" w:cs="宋体"/>
                <w:sz w:val="21"/>
                <w:szCs w:val="21"/>
              </w:rPr>
              <w:t>结转结余率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36C38F7E">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2D81AEF5">
            <w:pPr>
              <w:spacing w:line="420" w:lineRule="exact"/>
              <w:jc w:val="center"/>
              <w:rPr>
                <w:rFonts w:ascii="宋体" w:hAnsi="宋体" w:eastAsia="宋体"/>
                <w:sz w:val="21"/>
                <w:szCs w:val="21"/>
              </w:rPr>
            </w:pPr>
            <w:r>
              <w:rPr>
                <w:rFonts w:ascii="宋体" w:hAnsi="宋体" w:eastAsia="宋体" w:cs="宋体"/>
                <w:sz w:val="21"/>
                <w:szCs w:val="21"/>
              </w:rPr>
              <w:t>3</w:t>
            </w:r>
          </w:p>
        </w:tc>
      </w:tr>
      <w:tr w14:paraId="44B0EB4E">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332A52E1">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6BB44ACF">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24141AB6">
            <w:pPr>
              <w:spacing w:line="420" w:lineRule="exact"/>
              <w:jc w:val="center"/>
              <w:rPr>
                <w:rFonts w:ascii="宋体" w:hAnsi="宋体" w:eastAsia="宋体"/>
                <w:sz w:val="21"/>
                <w:szCs w:val="21"/>
              </w:rPr>
            </w:pPr>
            <w:r>
              <w:rPr>
                <w:rFonts w:hint="eastAsia" w:ascii="宋体" w:hAnsi="宋体" w:eastAsia="宋体" w:cs="宋体"/>
                <w:sz w:val="21"/>
                <w:szCs w:val="21"/>
              </w:rPr>
              <w:t>项目资金使用率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064A3D5C">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38C5C723">
            <w:pPr>
              <w:spacing w:line="420" w:lineRule="exact"/>
              <w:jc w:val="center"/>
              <w:rPr>
                <w:rFonts w:ascii="宋体" w:hAnsi="宋体" w:eastAsia="宋体"/>
                <w:sz w:val="21"/>
                <w:szCs w:val="21"/>
              </w:rPr>
            </w:pPr>
            <w:r>
              <w:rPr>
                <w:rFonts w:ascii="宋体" w:hAnsi="宋体" w:eastAsia="宋体" w:cs="宋体"/>
                <w:sz w:val="21"/>
                <w:szCs w:val="21"/>
              </w:rPr>
              <w:t>5</w:t>
            </w:r>
          </w:p>
        </w:tc>
      </w:tr>
      <w:tr w14:paraId="004EAA93">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6ABCD71D">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7593E109">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43408F28">
            <w:pPr>
              <w:spacing w:line="420" w:lineRule="exact"/>
              <w:jc w:val="center"/>
              <w:rPr>
                <w:rFonts w:ascii="宋体" w:hAnsi="宋体" w:eastAsia="宋体"/>
                <w:sz w:val="21"/>
                <w:szCs w:val="21"/>
              </w:rPr>
            </w:pPr>
            <w:r>
              <w:rPr>
                <w:rFonts w:hint="eastAsia" w:ascii="宋体" w:hAnsi="宋体" w:eastAsia="宋体" w:cs="宋体"/>
                <w:sz w:val="21"/>
                <w:szCs w:val="21"/>
              </w:rPr>
              <w:t>劳模体检率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3D9AA27D">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2A579567">
            <w:pPr>
              <w:spacing w:line="420" w:lineRule="exact"/>
              <w:jc w:val="center"/>
              <w:rPr>
                <w:rFonts w:ascii="宋体" w:hAnsi="宋体" w:eastAsia="宋体"/>
                <w:sz w:val="21"/>
                <w:szCs w:val="21"/>
              </w:rPr>
            </w:pPr>
            <w:r>
              <w:rPr>
                <w:rFonts w:ascii="宋体" w:hAnsi="宋体" w:eastAsia="宋体" w:cs="宋体"/>
                <w:sz w:val="21"/>
                <w:szCs w:val="21"/>
              </w:rPr>
              <w:t>5</w:t>
            </w:r>
          </w:p>
        </w:tc>
      </w:tr>
      <w:tr w14:paraId="1DCFE04F">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14E7D487">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554085B3">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743C8A64">
            <w:pPr>
              <w:spacing w:line="420" w:lineRule="exact"/>
              <w:jc w:val="center"/>
              <w:rPr>
                <w:rFonts w:ascii="宋体" w:hAnsi="宋体" w:eastAsia="宋体"/>
                <w:sz w:val="21"/>
                <w:szCs w:val="21"/>
              </w:rPr>
            </w:pPr>
            <w:r>
              <w:rPr>
                <w:rFonts w:hint="eastAsia" w:ascii="宋体" w:hAnsi="宋体" w:eastAsia="宋体" w:cs="宋体"/>
                <w:sz w:val="21"/>
                <w:szCs w:val="21"/>
              </w:rPr>
              <w:t>困难帮扶率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3A4C00FB">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0ED68837">
            <w:pPr>
              <w:spacing w:line="420" w:lineRule="exact"/>
              <w:jc w:val="center"/>
              <w:rPr>
                <w:rFonts w:ascii="宋体" w:hAnsi="宋体" w:eastAsia="宋体"/>
                <w:sz w:val="21"/>
                <w:szCs w:val="21"/>
              </w:rPr>
            </w:pPr>
            <w:r>
              <w:rPr>
                <w:rFonts w:ascii="宋体" w:hAnsi="宋体" w:eastAsia="宋体" w:cs="宋体"/>
                <w:sz w:val="21"/>
                <w:szCs w:val="21"/>
              </w:rPr>
              <w:t>5</w:t>
            </w:r>
          </w:p>
        </w:tc>
      </w:tr>
      <w:tr w14:paraId="0739BF7F">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6A8503CE">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019BE995">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62114A22">
            <w:pPr>
              <w:spacing w:line="420" w:lineRule="exact"/>
              <w:jc w:val="center"/>
              <w:rPr>
                <w:rFonts w:ascii="宋体" w:hAnsi="宋体" w:eastAsia="宋体"/>
                <w:sz w:val="21"/>
                <w:szCs w:val="21"/>
              </w:rPr>
            </w:pPr>
            <w:r>
              <w:rPr>
                <w:rFonts w:hint="eastAsia" w:ascii="宋体" w:hAnsi="宋体" w:eastAsia="宋体" w:cs="宋体"/>
                <w:sz w:val="21"/>
                <w:szCs w:val="21"/>
              </w:rPr>
              <w:t>法律援助案件办结率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1D95937D">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416ED4ED">
            <w:pPr>
              <w:spacing w:line="420" w:lineRule="exact"/>
              <w:jc w:val="center"/>
              <w:rPr>
                <w:rFonts w:ascii="宋体" w:hAnsi="宋体" w:eastAsia="宋体"/>
                <w:sz w:val="21"/>
                <w:szCs w:val="21"/>
              </w:rPr>
            </w:pPr>
            <w:r>
              <w:rPr>
                <w:rFonts w:ascii="宋体" w:hAnsi="宋体" w:eastAsia="宋体" w:cs="宋体"/>
                <w:sz w:val="21"/>
                <w:szCs w:val="21"/>
              </w:rPr>
              <w:t>5</w:t>
            </w:r>
          </w:p>
        </w:tc>
      </w:tr>
      <w:tr w14:paraId="0E84808E">
        <w:tblPrEx>
          <w:tblCellMar>
            <w:top w:w="15" w:type="dxa"/>
            <w:left w:w="15" w:type="dxa"/>
            <w:bottom w:w="15" w:type="dxa"/>
            <w:right w:w="15" w:type="dxa"/>
          </w:tblCellMar>
        </w:tblPrEx>
        <w:trPr>
          <w:trHeight w:val="397" w:hRule="exact"/>
          <w:jc w:val="center"/>
        </w:trPr>
        <w:tc>
          <w:tcPr>
            <w:tcW w:w="2581" w:type="dxa"/>
            <w:gridSpan w:val="2"/>
            <w:tcBorders>
              <w:top w:val="single" w:color="000000" w:sz="4" w:space="0"/>
              <w:left w:val="single" w:color="000000" w:sz="4" w:space="0"/>
              <w:bottom w:val="single" w:color="000000" w:sz="4" w:space="0"/>
              <w:right w:val="single" w:color="000000" w:sz="4" w:space="0"/>
            </w:tcBorders>
            <w:vAlign w:val="center"/>
          </w:tcPr>
          <w:p w14:paraId="4B367085">
            <w:pPr>
              <w:spacing w:line="420" w:lineRule="exact"/>
              <w:jc w:val="center"/>
              <w:rPr>
                <w:rFonts w:ascii="宋体" w:hAnsi="宋体" w:eastAsia="宋体"/>
                <w:sz w:val="21"/>
                <w:szCs w:val="21"/>
              </w:rPr>
            </w:pPr>
            <w:r>
              <w:rPr>
                <w:rFonts w:hint="eastAsia" w:ascii="宋体" w:hAnsi="宋体" w:eastAsia="宋体" w:cs="宋体"/>
                <w:sz w:val="21"/>
                <w:szCs w:val="21"/>
              </w:rPr>
              <w:t>合计</w:t>
            </w:r>
          </w:p>
        </w:tc>
        <w:tc>
          <w:tcPr>
            <w:tcW w:w="2536" w:type="dxa"/>
            <w:tcBorders>
              <w:top w:val="single" w:color="000000" w:sz="4" w:space="0"/>
              <w:left w:val="single" w:color="000000" w:sz="4" w:space="0"/>
              <w:bottom w:val="single" w:color="000000" w:sz="4" w:space="0"/>
              <w:right w:val="single" w:color="000000" w:sz="4" w:space="0"/>
            </w:tcBorders>
            <w:vAlign w:val="center"/>
          </w:tcPr>
          <w:p w14:paraId="68235365">
            <w:pPr>
              <w:spacing w:line="420" w:lineRule="exact"/>
              <w:jc w:val="center"/>
              <w:rPr>
                <w:rFonts w:ascii="宋体" w:hAnsi="宋体" w:eastAsia="宋体"/>
                <w:sz w:val="21"/>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64DD0644">
            <w:pPr>
              <w:spacing w:line="420" w:lineRule="exact"/>
              <w:jc w:val="center"/>
              <w:rPr>
                <w:rFonts w:ascii="宋体" w:hAnsi="宋体" w:eastAsia="宋体" w:cs="宋体"/>
                <w:sz w:val="21"/>
                <w:szCs w:val="21"/>
              </w:rPr>
            </w:pPr>
            <w:r>
              <w:rPr>
                <w:rFonts w:ascii="宋体" w:hAnsi="宋体" w:eastAsia="宋体" w:cs="宋体"/>
                <w:sz w:val="21"/>
                <w:szCs w:val="21"/>
              </w:rPr>
              <w:t>25</w:t>
            </w:r>
          </w:p>
        </w:tc>
        <w:tc>
          <w:tcPr>
            <w:tcW w:w="853" w:type="dxa"/>
            <w:tcBorders>
              <w:top w:val="single" w:color="000000" w:sz="4" w:space="0"/>
              <w:left w:val="single" w:color="000000" w:sz="4" w:space="0"/>
              <w:bottom w:val="single" w:color="000000" w:sz="4" w:space="0"/>
              <w:right w:val="single" w:color="000000" w:sz="4" w:space="0"/>
            </w:tcBorders>
            <w:vAlign w:val="center"/>
          </w:tcPr>
          <w:p w14:paraId="1075011B">
            <w:pPr>
              <w:spacing w:line="420" w:lineRule="exact"/>
              <w:jc w:val="center"/>
              <w:rPr>
                <w:rFonts w:ascii="宋体" w:hAnsi="宋体" w:eastAsia="宋体"/>
                <w:sz w:val="21"/>
                <w:szCs w:val="21"/>
              </w:rPr>
            </w:pPr>
            <w:r>
              <w:rPr>
                <w:rFonts w:ascii="宋体" w:hAnsi="宋体" w:eastAsia="宋体" w:cs="宋体"/>
                <w:sz w:val="21"/>
                <w:szCs w:val="21"/>
              </w:rPr>
              <w:t>23</w:t>
            </w:r>
          </w:p>
        </w:tc>
      </w:tr>
    </w:tbl>
    <w:p w14:paraId="5BC79FD0">
      <w:pPr>
        <w:spacing w:after="0" w:line="360" w:lineRule="auto"/>
        <w:ind w:firstLine="640" w:firstLineChars="200"/>
        <w:jc w:val="both"/>
        <w:textAlignment w:val="baseline"/>
        <w:rPr>
          <w:rFonts w:ascii="仿宋_GB2312" w:eastAsia="仿宋_GB2312"/>
          <w:sz w:val="32"/>
          <w:szCs w:val="32"/>
        </w:rPr>
      </w:pPr>
      <w:bookmarkStart w:id="64" w:name="_Toc464638518"/>
      <w:bookmarkStart w:id="65" w:name="_Toc465149515"/>
      <w:r>
        <w:rPr>
          <w:rFonts w:ascii="仿宋_GB2312" w:eastAsia="仿宋_GB2312" w:cs="仿宋_GB2312"/>
          <w:sz w:val="32"/>
          <w:szCs w:val="32"/>
        </w:rPr>
        <w:t>1.</w:t>
      </w:r>
      <w:r>
        <w:rPr>
          <w:rFonts w:hint="eastAsia" w:ascii="仿宋_GB2312" w:eastAsia="仿宋_GB2312" w:cs="仿宋_GB2312"/>
          <w:sz w:val="32"/>
          <w:szCs w:val="32"/>
        </w:rPr>
        <w:t>结转结余率（</w:t>
      </w:r>
      <w:r>
        <w:rPr>
          <w:rFonts w:ascii="仿宋_GB2312" w:eastAsia="仿宋_GB2312" w:cs="仿宋_GB2312"/>
          <w:sz w:val="32"/>
          <w:szCs w:val="32"/>
        </w:rPr>
        <w:t>5</w:t>
      </w:r>
      <w:r>
        <w:rPr>
          <w:rFonts w:hint="eastAsia" w:ascii="仿宋_GB2312" w:eastAsia="仿宋_GB2312" w:cs="仿宋_GB2312"/>
          <w:sz w:val="32"/>
          <w:szCs w:val="32"/>
        </w:rPr>
        <w:t>分）</w:t>
      </w:r>
    </w:p>
    <w:p w14:paraId="0DCCB69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该指标主要评价部门的结转结余情况，通过结转结余率衡量。</w:t>
      </w:r>
    </w:p>
    <w:p w14:paraId="6DA0927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结转结余率</w:t>
      </w:r>
      <w:r>
        <w:rPr>
          <w:rFonts w:ascii="仿宋_GB2312" w:eastAsia="仿宋_GB2312" w:cs="仿宋_GB2312"/>
          <w:sz w:val="32"/>
          <w:szCs w:val="32"/>
        </w:rPr>
        <w:t>=</w:t>
      </w:r>
      <w:r>
        <w:rPr>
          <w:rFonts w:hint="eastAsia" w:ascii="仿宋_GB2312" w:eastAsia="仿宋_GB2312" w:cs="仿宋_GB2312"/>
          <w:sz w:val="32"/>
          <w:szCs w:val="32"/>
        </w:rPr>
        <w:t>（本年结转结余数</w:t>
      </w:r>
      <w:r>
        <w:rPr>
          <w:rFonts w:ascii="仿宋_GB2312" w:eastAsia="仿宋_GB2312" w:cs="仿宋_GB2312"/>
          <w:sz w:val="32"/>
          <w:szCs w:val="32"/>
        </w:rPr>
        <w:t>/</w:t>
      </w:r>
      <w:r>
        <w:rPr>
          <w:rFonts w:hint="eastAsia" w:ascii="仿宋_GB2312" w:eastAsia="仿宋_GB2312" w:cs="仿宋_GB2312"/>
          <w:sz w:val="32"/>
          <w:szCs w:val="32"/>
        </w:rPr>
        <w:t>决算收入数）</w:t>
      </w:r>
      <w:r>
        <w:rPr>
          <w:rFonts w:ascii="仿宋_GB2312" w:eastAsia="仿宋_GB2312" w:cs="仿宋_GB2312"/>
          <w:sz w:val="32"/>
          <w:szCs w:val="32"/>
        </w:rPr>
        <w:t>*100%</w:t>
      </w:r>
      <w:r>
        <w:rPr>
          <w:rFonts w:hint="eastAsia" w:ascii="仿宋_GB2312" w:eastAsia="仿宋_GB2312" w:cs="仿宋_GB2312"/>
          <w:sz w:val="32"/>
          <w:szCs w:val="32"/>
        </w:rPr>
        <w:t>。</w:t>
      </w:r>
    </w:p>
    <w:p w14:paraId="5081B31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根据区总工会单位</w:t>
      </w:r>
      <w:r>
        <w:rPr>
          <w:rFonts w:ascii="仿宋_GB2312" w:eastAsia="仿宋_GB2312" w:cs="仿宋_GB2312"/>
          <w:sz w:val="32"/>
          <w:szCs w:val="32"/>
        </w:rPr>
        <w:t>2021</w:t>
      </w:r>
      <w:r>
        <w:rPr>
          <w:rFonts w:hint="eastAsia" w:ascii="仿宋_GB2312" w:eastAsia="仿宋_GB2312" w:cs="仿宋_GB2312"/>
          <w:sz w:val="32"/>
          <w:szCs w:val="32"/>
        </w:rPr>
        <w:t>年决算文本及相关资料，区总工会单位</w:t>
      </w:r>
      <w:r>
        <w:rPr>
          <w:rFonts w:ascii="仿宋_GB2312" w:eastAsia="仿宋_GB2312" w:cs="仿宋_GB2312"/>
          <w:sz w:val="32"/>
          <w:szCs w:val="32"/>
        </w:rPr>
        <w:t>2021</w:t>
      </w:r>
      <w:r>
        <w:rPr>
          <w:rFonts w:hint="eastAsia" w:ascii="仿宋_GB2312" w:eastAsia="仿宋_GB2312" w:cs="仿宋_GB2312"/>
          <w:sz w:val="32"/>
          <w:szCs w:val="32"/>
        </w:rPr>
        <w:t>年结转结余资金</w:t>
      </w:r>
      <w:r>
        <w:rPr>
          <w:rFonts w:ascii="仿宋_GB2312" w:eastAsia="仿宋_GB2312" w:cs="仿宋_GB2312"/>
          <w:sz w:val="32"/>
          <w:szCs w:val="32"/>
        </w:rPr>
        <w:t>0</w:t>
      </w:r>
      <w:r>
        <w:rPr>
          <w:rFonts w:hint="eastAsia" w:ascii="仿宋_GB2312" w:eastAsia="仿宋_GB2312" w:cs="仿宋_GB2312"/>
          <w:sz w:val="32"/>
          <w:szCs w:val="32"/>
        </w:rPr>
        <w:t>万元，决算收入</w:t>
      </w:r>
      <w:r>
        <w:rPr>
          <w:rFonts w:ascii="仿宋_GB2312" w:eastAsia="仿宋_GB2312" w:cs="仿宋_GB2312"/>
          <w:sz w:val="32"/>
          <w:szCs w:val="32"/>
        </w:rPr>
        <w:t>54.57</w:t>
      </w:r>
      <w:r>
        <w:rPr>
          <w:rFonts w:hint="eastAsia" w:ascii="仿宋_GB2312" w:eastAsia="仿宋_GB2312" w:cs="仿宋_GB2312"/>
          <w:sz w:val="32"/>
          <w:szCs w:val="32"/>
        </w:rPr>
        <w:t>万元，结转结余率</w:t>
      </w:r>
      <w:r>
        <w:rPr>
          <w:rFonts w:ascii="仿宋_GB2312" w:eastAsia="仿宋_GB2312" w:cs="仿宋_GB2312"/>
          <w:sz w:val="32"/>
          <w:szCs w:val="32"/>
        </w:rPr>
        <w:t>0%.</w:t>
      </w:r>
    </w:p>
    <w:p w14:paraId="4B0B813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75EFB51C">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项目资金使用率（</w:t>
      </w:r>
      <w:r>
        <w:rPr>
          <w:rFonts w:ascii="仿宋_GB2312" w:eastAsia="仿宋_GB2312" w:cs="仿宋_GB2312"/>
          <w:sz w:val="32"/>
          <w:szCs w:val="32"/>
        </w:rPr>
        <w:t>5</w:t>
      </w:r>
      <w:r>
        <w:rPr>
          <w:rFonts w:hint="eastAsia" w:ascii="仿宋_GB2312" w:eastAsia="仿宋_GB2312" w:cs="仿宋_GB2312"/>
          <w:sz w:val="32"/>
          <w:szCs w:val="32"/>
        </w:rPr>
        <w:t>分）</w:t>
      </w:r>
    </w:p>
    <w:p w14:paraId="47D014B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该指标主要评价项目资金的使用效率，通过项目资金使用率来衡量。</w:t>
      </w:r>
    </w:p>
    <w:p w14:paraId="618554B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项目资金使用率</w:t>
      </w:r>
      <w:r>
        <w:rPr>
          <w:rFonts w:ascii="仿宋_GB2312" w:eastAsia="仿宋_GB2312" w:cs="仿宋_GB2312"/>
          <w:sz w:val="32"/>
          <w:szCs w:val="32"/>
        </w:rPr>
        <w:t>=</w:t>
      </w:r>
      <w:r>
        <w:rPr>
          <w:rFonts w:hint="eastAsia" w:ascii="仿宋_GB2312" w:eastAsia="仿宋_GB2312" w:cs="仿宋_GB2312"/>
          <w:sz w:val="32"/>
          <w:szCs w:val="32"/>
        </w:rPr>
        <w:t>（实际支出项目资金总额</w:t>
      </w:r>
      <w:r>
        <w:rPr>
          <w:rFonts w:ascii="仿宋_GB2312" w:eastAsia="仿宋_GB2312" w:cs="仿宋_GB2312"/>
          <w:sz w:val="32"/>
          <w:szCs w:val="32"/>
        </w:rPr>
        <w:t>/</w:t>
      </w:r>
      <w:r>
        <w:rPr>
          <w:rFonts w:hint="eastAsia" w:ascii="仿宋_GB2312" w:eastAsia="仿宋_GB2312" w:cs="仿宋_GB2312"/>
          <w:sz w:val="32"/>
          <w:szCs w:val="32"/>
        </w:rPr>
        <w:t>计划完整项目资金总数）</w:t>
      </w:r>
      <w:r>
        <w:rPr>
          <w:rFonts w:ascii="仿宋_GB2312" w:eastAsia="仿宋_GB2312" w:cs="仿宋_GB2312"/>
          <w:sz w:val="32"/>
          <w:szCs w:val="32"/>
        </w:rPr>
        <w:t>*100%</w:t>
      </w:r>
      <w:r>
        <w:rPr>
          <w:rFonts w:hint="eastAsia" w:ascii="仿宋_GB2312" w:eastAsia="仿宋_GB2312" w:cs="仿宋_GB2312"/>
          <w:sz w:val="32"/>
          <w:szCs w:val="32"/>
        </w:rPr>
        <w:t>。</w:t>
      </w:r>
    </w:p>
    <w:p w14:paraId="6768512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w:t>
      </w:r>
      <w:r>
        <w:rPr>
          <w:rFonts w:ascii="仿宋_GB2312" w:eastAsia="仿宋_GB2312" w:cs="仿宋_GB2312"/>
          <w:sz w:val="32"/>
          <w:szCs w:val="32"/>
        </w:rPr>
        <w:t>2021</w:t>
      </w:r>
      <w:r>
        <w:rPr>
          <w:rFonts w:hint="eastAsia" w:ascii="仿宋_GB2312" w:eastAsia="仿宋_GB2312" w:cs="仿宋_GB2312"/>
          <w:sz w:val="32"/>
          <w:szCs w:val="32"/>
        </w:rPr>
        <w:t>年实际支出项目资金总额</w:t>
      </w:r>
      <w:r>
        <w:rPr>
          <w:rFonts w:ascii="仿宋_GB2312" w:eastAsia="仿宋_GB2312" w:cs="仿宋_GB2312"/>
          <w:sz w:val="32"/>
          <w:szCs w:val="32"/>
        </w:rPr>
        <w:t>6.3</w:t>
      </w:r>
      <w:r>
        <w:rPr>
          <w:rFonts w:hint="eastAsia" w:ascii="仿宋_GB2312" w:eastAsia="仿宋_GB2312" w:cs="仿宋_GB2312"/>
          <w:sz w:val="32"/>
          <w:szCs w:val="32"/>
        </w:rPr>
        <w:t>万元，年初预算共</w:t>
      </w:r>
      <w:r>
        <w:rPr>
          <w:rFonts w:ascii="仿宋_GB2312" w:eastAsia="仿宋_GB2312" w:cs="仿宋_GB2312"/>
          <w:sz w:val="32"/>
          <w:szCs w:val="32"/>
        </w:rPr>
        <w:t>1</w:t>
      </w:r>
      <w:r>
        <w:rPr>
          <w:rFonts w:hint="eastAsia" w:ascii="仿宋_GB2312" w:eastAsia="仿宋_GB2312" w:cs="仿宋_GB2312"/>
          <w:sz w:val="32"/>
          <w:szCs w:val="32"/>
        </w:rPr>
        <w:t>个项目，预算数</w:t>
      </w:r>
      <w:r>
        <w:rPr>
          <w:rFonts w:ascii="仿宋_GB2312" w:eastAsia="仿宋_GB2312" w:cs="仿宋_GB2312"/>
          <w:sz w:val="32"/>
          <w:szCs w:val="32"/>
        </w:rPr>
        <w:t>6.3</w:t>
      </w:r>
      <w:r>
        <w:rPr>
          <w:rFonts w:hint="eastAsia" w:ascii="仿宋_GB2312" w:eastAsia="仿宋_GB2312" w:cs="仿宋_GB2312"/>
          <w:sz w:val="32"/>
          <w:szCs w:val="32"/>
        </w:rPr>
        <w:t>万元，该指标实际得分</w:t>
      </w:r>
      <w:r>
        <w:rPr>
          <w:rFonts w:ascii="仿宋_GB2312" w:eastAsia="仿宋_GB2312" w:cs="仿宋_GB2312"/>
          <w:sz w:val="32"/>
          <w:szCs w:val="32"/>
        </w:rPr>
        <w:t>5</w:t>
      </w:r>
      <w:r>
        <w:rPr>
          <w:rFonts w:hint="eastAsia" w:ascii="仿宋_GB2312" w:eastAsia="仿宋_GB2312" w:cs="仿宋_GB2312"/>
          <w:sz w:val="32"/>
          <w:szCs w:val="32"/>
        </w:rPr>
        <w:t>分。</w:t>
      </w:r>
    </w:p>
    <w:p w14:paraId="568C23C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劳模体检率（</w:t>
      </w:r>
      <w:r>
        <w:rPr>
          <w:rFonts w:ascii="仿宋_GB2312" w:eastAsia="仿宋_GB2312" w:cs="仿宋_GB2312"/>
          <w:sz w:val="32"/>
          <w:szCs w:val="32"/>
        </w:rPr>
        <w:t>5</w:t>
      </w:r>
      <w:r>
        <w:rPr>
          <w:rFonts w:hint="eastAsia" w:ascii="仿宋_GB2312" w:eastAsia="仿宋_GB2312" w:cs="仿宋_GB2312"/>
          <w:sz w:val="32"/>
          <w:szCs w:val="32"/>
        </w:rPr>
        <w:t>）</w:t>
      </w:r>
    </w:p>
    <w:p w14:paraId="639C2AD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该指标主要评价劳模体检率，在册劳模已达到体检。财政拨款全部完成。</w:t>
      </w:r>
    </w:p>
    <w:p w14:paraId="7CB6B79C">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困难帮扶率（</w:t>
      </w:r>
      <w:r>
        <w:rPr>
          <w:rFonts w:ascii="仿宋_GB2312" w:eastAsia="仿宋_GB2312" w:cs="仿宋_GB2312"/>
          <w:sz w:val="32"/>
          <w:szCs w:val="32"/>
        </w:rPr>
        <w:t>5</w:t>
      </w:r>
      <w:r>
        <w:rPr>
          <w:rFonts w:hint="eastAsia" w:ascii="仿宋_GB2312" w:eastAsia="仿宋_GB2312" w:cs="仿宋_GB2312"/>
          <w:sz w:val="32"/>
          <w:szCs w:val="32"/>
        </w:rPr>
        <w:t>）</w:t>
      </w:r>
    </w:p>
    <w:p w14:paraId="0CE8409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该指标主要评价劳模体检率，在册困难职工已全部救助。</w:t>
      </w:r>
    </w:p>
    <w:p w14:paraId="34FC83B3">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法律援助案件办结率（</w:t>
      </w:r>
      <w:r>
        <w:rPr>
          <w:rFonts w:ascii="仿宋_GB2312" w:eastAsia="仿宋_GB2312" w:cs="仿宋_GB2312"/>
          <w:sz w:val="32"/>
          <w:szCs w:val="32"/>
        </w:rPr>
        <w:t>5</w:t>
      </w:r>
      <w:r>
        <w:rPr>
          <w:rFonts w:hint="eastAsia" w:ascii="仿宋_GB2312" w:eastAsia="仿宋_GB2312" w:cs="仿宋_GB2312"/>
          <w:sz w:val="32"/>
          <w:szCs w:val="32"/>
        </w:rPr>
        <w:t>）</w:t>
      </w:r>
    </w:p>
    <w:p w14:paraId="6B7D1F4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该指标主要评价法律援助案件办结率，需要援助的职工，按政策已全部结案。</w:t>
      </w:r>
    </w:p>
    <w:p w14:paraId="5C638482">
      <w:pPr>
        <w:pStyle w:val="4"/>
        <w:spacing w:before="0" w:after="0"/>
        <w:ind w:firstLine="643" w:firstLineChars="200"/>
        <w:jc w:val="both"/>
        <w:rPr>
          <w:rFonts w:ascii="楷体" w:hAnsi="楷体" w:eastAsia="楷体" w:cs="Tahoma"/>
          <w:sz w:val="32"/>
          <w:szCs w:val="32"/>
        </w:rPr>
      </w:pPr>
      <w:bookmarkStart w:id="66" w:name="_Toc28363"/>
      <w:r>
        <w:rPr>
          <w:rFonts w:hint="eastAsia" w:ascii="楷体" w:hAnsi="楷体" w:eastAsia="楷体" w:cs="楷体"/>
          <w:sz w:val="32"/>
          <w:szCs w:val="32"/>
        </w:rPr>
        <w:t>（四）效果</w:t>
      </w:r>
      <w:bookmarkEnd w:id="64"/>
      <w:bookmarkEnd w:id="65"/>
      <w:r>
        <w:rPr>
          <w:rFonts w:hint="eastAsia" w:ascii="楷体" w:hAnsi="楷体" w:eastAsia="楷体" w:cs="楷体"/>
          <w:sz w:val="32"/>
          <w:szCs w:val="32"/>
        </w:rPr>
        <w:t>（</w:t>
      </w:r>
      <w:r>
        <w:rPr>
          <w:rFonts w:ascii="楷体" w:hAnsi="楷体" w:eastAsia="楷体" w:cs="楷体"/>
          <w:sz w:val="32"/>
          <w:szCs w:val="32"/>
        </w:rPr>
        <w:t>15</w:t>
      </w:r>
      <w:r>
        <w:rPr>
          <w:rFonts w:hint="eastAsia" w:ascii="楷体" w:hAnsi="楷体" w:eastAsia="楷体" w:cs="楷体"/>
          <w:sz w:val="32"/>
          <w:szCs w:val="32"/>
        </w:rPr>
        <w:t>分）</w:t>
      </w:r>
      <w:bookmarkEnd w:id="66"/>
    </w:p>
    <w:p w14:paraId="331EA751">
      <w:pPr>
        <w:spacing w:after="0" w:line="360" w:lineRule="auto"/>
        <w:ind w:firstLine="640" w:firstLineChars="200"/>
        <w:jc w:val="both"/>
        <w:textAlignment w:val="baseline"/>
        <w:rPr>
          <w:rFonts w:ascii="仿宋_GB2312" w:eastAsia="仿宋_GB2312"/>
          <w:sz w:val="32"/>
          <w:szCs w:val="32"/>
        </w:rPr>
      </w:pPr>
      <w:bookmarkStart w:id="67" w:name="_Toc464638520"/>
      <w:r>
        <w:rPr>
          <w:rFonts w:hint="eastAsia" w:ascii="仿宋_GB2312" w:eastAsia="仿宋_GB2312" w:cs="仿宋_GB2312"/>
          <w:sz w:val="32"/>
          <w:szCs w:val="32"/>
        </w:rPr>
        <w:t>该一级指标包含履职效益一个二级指标。主要反映部门履行职责对社会发展所带来的直接或间接效益及社会公众或部门的服务对象对部门履职效果的满意程度。</w:t>
      </w:r>
    </w:p>
    <w:p w14:paraId="627E5896">
      <w:pPr>
        <w:spacing w:after="0" w:line="360" w:lineRule="auto"/>
        <w:jc w:val="center"/>
        <w:textAlignment w:val="baseline"/>
        <w:rPr>
          <w:rFonts w:ascii="宋体" w:hAnsi="宋体" w:eastAsia="宋体"/>
          <w:b/>
          <w:bCs/>
          <w:sz w:val="32"/>
          <w:szCs w:val="32"/>
        </w:rPr>
      </w:pPr>
      <w:r>
        <w:rPr>
          <w:rFonts w:hint="eastAsia" w:ascii="宋体" w:hAnsi="宋体" w:eastAsia="宋体" w:cs="宋体"/>
          <w:b/>
          <w:bCs/>
          <w:sz w:val="32"/>
          <w:szCs w:val="32"/>
        </w:rPr>
        <w:t>表</w:t>
      </w:r>
      <w:r>
        <w:rPr>
          <w:rFonts w:ascii="宋体" w:hAnsi="宋体" w:eastAsia="宋体" w:cs="宋体"/>
          <w:b/>
          <w:bCs/>
          <w:sz w:val="32"/>
          <w:szCs w:val="32"/>
        </w:rPr>
        <w:t xml:space="preserve">5  </w:t>
      </w:r>
      <w:r>
        <w:rPr>
          <w:rFonts w:hint="eastAsia" w:ascii="宋体" w:hAnsi="宋体" w:eastAsia="宋体" w:cs="宋体"/>
          <w:b/>
          <w:bCs/>
          <w:sz w:val="32"/>
          <w:szCs w:val="32"/>
        </w:rPr>
        <w:t>效果指标及得分情况表</w:t>
      </w:r>
    </w:p>
    <w:tbl>
      <w:tblPr>
        <w:tblStyle w:val="23"/>
        <w:tblW w:w="0" w:type="auto"/>
        <w:jc w:val="center"/>
        <w:tblLayout w:type="fixed"/>
        <w:tblCellMar>
          <w:top w:w="15" w:type="dxa"/>
          <w:left w:w="15" w:type="dxa"/>
          <w:bottom w:w="15" w:type="dxa"/>
          <w:right w:w="15" w:type="dxa"/>
        </w:tblCellMar>
      </w:tblPr>
      <w:tblGrid>
        <w:gridCol w:w="1468"/>
        <w:gridCol w:w="1155"/>
        <w:gridCol w:w="2130"/>
        <w:gridCol w:w="1200"/>
        <w:gridCol w:w="1045"/>
      </w:tblGrid>
      <w:tr w14:paraId="00E1577E">
        <w:tblPrEx>
          <w:tblCellMar>
            <w:top w:w="15" w:type="dxa"/>
            <w:left w:w="15" w:type="dxa"/>
            <w:bottom w:w="15" w:type="dxa"/>
            <w:right w:w="15" w:type="dxa"/>
          </w:tblCellMar>
        </w:tblPrEx>
        <w:trPr>
          <w:trHeight w:val="397" w:hRule="exact"/>
          <w:jc w:val="center"/>
        </w:trPr>
        <w:tc>
          <w:tcPr>
            <w:tcW w:w="1468" w:type="dxa"/>
            <w:tcBorders>
              <w:top w:val="single" w:color="000000" w:sz="4" w:space="0"/>
              <w:left w:val="single" w:color="000000" w:sz="4" w:space="0"/>
              <w:bottom w:val="single" w:color="000000" w:sz="4" w:space="0"/>
              <w:right w:val="single" w:color="000000" w:sz="4" w:space="0"/>
            </w:tcBorders>
            <w:vAlign w:val="center"/>
          </w:tcPr>
          <w:p w14:paraId="554BB351">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一级指标</w:t>
            </w:r>
          </w:p>
        </w:tc>
        <w:tc>
          <w:tcPr>
            <w:tcW w:w="1155" w:type="dxa"/>
            <w:tcBorders>
              <w:top w:val="single" w:color="000000" w:sz="4" w:space="0"/>
              <w:left w:val="single" w:color="000000" w:sz="4" w:space="0"/>
              <w:bottom w:val="single" w:color="000000" w:sz="4" w:space="0"/>
              <w:right w:val="single" w:color="000000" w:sz="4" w:space="0"/>
            </w:tcBorders>
            <w:vAlign w:val="center"/>
          </w:tcPr>
          <w:p w14:paraId="1B7EEAC2">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二级指标</w:t>
            </w:r>
          </w:p>
        </w:tc>
        <w:tc>
          <w:tcPr>
            <w:tcW w:w="2130" w:type="dxa"/>
            <w:tcBorders>
              <w:top w:val="single" w:color="000000" w:sz="4" w:space="0"/>
              <w:left w:val="single" w:color="000000" w:sz="4" w:space="0"/>
              <w:bottom w:val="single" w:color="000000" w:sz="4" w:space="0"/>
              <w:right w:val="single" w:color="000000" w:sz="4" w:space="0"/>
            </w:tcBorders>
            <w:vAlign w:val="center"/>
          </w:tcPr>
          <w:p w14:paraId="797334E4">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三级指标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33314D3C">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分数权重</w:t>
            </w:r>
          </w:p>
        </w:tc>
        <w:tc>
          <w:tcPr>
            <w:tcW w:w="1045" w:type="dxa"/>
            <w:tcBorders>
              <w:top w:val="single" w:color="000000" w:sz="4" w:space="0"/>
              <w:left w:val="single" w:color="000000" w:sz="4" w:space="0"/>
              <w:bottom w:val="single" w:color="000000" w:sz="4" w:space="0"/>
              <w:right w:val="single" w:color="000000" w:sz="4" w:space="0"/>
            </w:tcBorders>
            <w:vAlign w:val="center"/>
          </w:tcPr>
          <w:p w14:paraId="6809FB23">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得分</w:t>
            </w:r>
          </w:p>
        </w:tc>
      </w:tr>
      <w:tr w14:paraId="559D487F">
        <w:tblPrEx>
          <w:tblCellMar>
            <w:top w:w="15" w:type="dxa"/>
            <w:left w:w="15" w:type="dxa"/>
            <w:bottom w:w="15" w:type="dxa"/>
            <w:right w:w="15" w:type="dxa"/>
          </w:tblCellMar>
        </w:tblPrEx>
        <w:trPr>
          <w:trHeight w:val="397" w:hRule="exact"/>
          <w:jc w:val="center"/>
        </w:trPr>
        <w:tc>
          <w:tcPr>
            <w:tcW w:w="1468" w:type="dxa"/>
            <w:vMerge w:val="restart"/>
            <w:tcBorders>
              <w:top w:val="single" w:color="000000" w:sz="4" w:space="0"/>
              <w:left w:val="single" w:color="000000" w:sz="4" w:space="0"/>
              <w:bottom w:val="single" w:color="000000" w:sz="4" w:space="0"/>
              <w:right w:val="single" w:color="000000" w:sz="4" w:space="0"/>
            </w:tcBorders>
            <w:vAlign w:val="center"/>
          </w:tcPr>
          <w:p w14:paraId="58D1BCE1">
            <w:pPr>
              <w:spacing w:after="0" w:line="420" w:lineRule="exact"/>
              <w:jc w:val="center"/>
              <w:rPr>
                <w:rFonts w:ascii="宋体" w:hAnsi="宋体" w:eastAsia="宋体"/>
                <w:sz w:val="21"/>
                <w:szCs w:val="21"/>
              </w:rPr>
            </w:pPr>
            <w:r>
              <w:rPr>
                <w:rFonts w:hint="eastAsia" w:ascii="宋体" w:hAnsi="宋体" w:eastAsia="宋体" w:cs="宋体"/>
                <w:sz w:val="21"/>
                <w:szCs w:val="21"/>
              </w:rPr>
              <w:t>项目效果</w:t>
            </w:r>
          </w:p>
          <w:p w14:paraId="6BF5292A">
            <w:pPr>
              <w:spacing w:after="0"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15</w:t>
            </w:r>
            <w:r>
              <w:rPr>
                <w:rFonts w:hint="eastAsia" w:ascii="宋体" w:hAnsi="宋体" w:eastAsia="宋体" w:cs="宋体"/>
                <w:sz w:val="21"/>
                <w:szCs w:val="21"/>
              </w:rPr>
              <w:t>分）</w:t>
            </w:r>
          </w:p>
        </w:tc>
        <w:tc>
          <w:tcPr>
            <w:tcW w:w="1155" w:type="dxa"/>
            <w:vMerge w:val="restart"/>
            <w:tcBorders>
              <w:top w:val="single" w:color="000000" w:sz="4" w:space="0"/>
              <w:left w:val="single" w:color="000000" w:sz="4" w:space="0"/>
              <w:bottom w:val="single" w:color="000000" w:sz="4" w:space="0"/>
              <w:right w:val="single" w:color="000000" w:sz="4" w:space="0"/>
            </w:tcBorders>
            <w:vAlign w:val="center"/>
          </w:tcPr>
          <w:p w14:paraId="4CCB0032">
            <w:pPr>
              <w:spacing w:after="0" w:line="420" w:lineRule="exact"/>
              <w:jc w:val="center"/>
              <w:rPr>
                <w:rFonts w:ascii="宋体" w:hAnsi="宋体" w:eastAsia="宋体"/>
                <w:sz w:val="21"/>
                <w:szCs w:val="21"/>
              </w:rPr>
            </w:pPr>
            <w:r>
              <w:rPr>
                <w:rFonts w:hint="eastAsia" w:ascii="宋体" w:hAnsi="宋体" w:eastAsia="宋体" w:cs="宋体"/>
                <w:sz w:val="21"/>
                <w:szCs w:val="21"/>
              </w:rPr>
              <w:t>履职效益</w:t>
            </w:r>
          </w:p>
          <w:p w14:paraId="3AEB6BB2">
            <w:pPr>
              <w:spacing w:after="0"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15</w:t>
            </w:r>
            <w:r>
              <w:rPr>
                <w:rFonts w:hint="eastAsia" w:ascii="宋体" w:hAnsi="宋体" w:eastAsia="宋体" w:cs="宋体"/>
                <w:sz w:val="21"/>
                <w:szCs w:val="21"/>
              </w:rPr>
              <w:t>分）</w:t>
            </w:r>
          </w:p>
        </w:tc>
        <w:tc>
          <w:tcPr>
            <w:tcW w:w="2130" w:type="dxa"/>
            <w:tcBorders>
              <w:top w:val="single" w:color="000000" w:sz="4" w:space="0"/>
              <w:left w:val="single" w:color="000000" w:sz="4" w:space="0"/>
              <w:bottom w:val="single" w:color="000000" w:sz="4" w:space="0"/>
              <w:right w:val="single" w:color="000000" w:sz="4" w:space="0"/>
            </w:tcBorders>
            <w:vAlign w:val="center"/>
          </w:tcPr>
          <w:p w14:paraId="6150EEE4">
            <w:pPr>
              <w:spacing w:line="420" w:lineRule="exact"/>
              <w:jc w:val="center"/>
              <w:rPr>
                <w:rFonts w:ascii="宋体" w:hAnsi="宋体" w:eastAsia="宋体"/>
                <w:sz w:val="21"/>
                <w:szCs w:val="21"/>
              </w:rPr>
            </w:pPr>
            <w:r>
              <w:rPr>
                <w:rFonts w:hint="eastAsia" w:ascii="宋体" w:hAnsi="宋体" w:eastAsia="宋体" w:cs="宋体"/>
                <w:sz w:val="21"/>
                <w:szCs w:val="21"/>
              </w:rPr>
              <w:t>部门整体效益</w:t>
            </w:r>
          </w:p>
        </w:tc>
        <w:tc>
          <w:tcPr>
            <w:tcW w:w="1200" w:type="dxa"/>
            <w:tcBorders>
              <w:top w:val="single" w:color="000000" w:sz="4" w:space="0"/>
              <w:left w:val="single" w:color="000000" w:sz="4" w:space="0"/>
              <w:bottom w:val="single" w:color="000000" w:sz="4" w:space="0"/>
              <w:right w:val="single" w:color="000000" w:sz="4" w:space="0"/>
            </w:tcBorders>
            <w:vAlign w:val="center"/>
          </w:tcPr>
          <w:p w14:paraId="26EB6CD8">
            <w:pPr>
              <w:spacing w:line="420" w:lineRule="exact"/>
              <w:jc w:val="center"/>
              <w:rPr>
                <w:rFonts w:ascii="宋体" w:hAnsi="宋体" w:eastAsia="宋体" w:cs="宋体"/>
                <w:sz w:val="21"/>
                <w:szCs w:val="21"/>
              </w:rPr>
            </w:pPr>
            <w:r>
              <w:rPr>
                <w:rFonts w:ascii="宋体" w:hAnsi="宋体" w:eastAsia="宋体" w:cs="宋体"/>
                <w:sz w:val="21"/>
                <w:szCs w:val="21"/>
              </w:rPr>
              <w:t>10</w:t>
            </w:r>
          </w:p>
        </w:tc>
        <w:tc>
          <w:tcPr>
            <w:tcW w:w="1045" w:type="dxa"/>
            <w:tcBorders>
              <w:top w:val="single" w:color="000000" w:sz="4" w:space="0"/>
              <w:left w:val="single" w:color="000000" w:sz="4" w:space="0"/>
              <w:bottom w:val="single" w:color="000000" w:sz="4" w:space="0"/>
              <w:right w:val="single" w:color="000000" w:sz="4" w:space="0"/>
            </w:tcBorders>
            <w:vAlign w:val="center"/>
          </w:tcPr>
          <w:p w14:paraId="3566B4CB">
            <w:pPr>
              <w:spacing w:line="420" w:lineRule="exact"/>
              <w:jc w:val="center"/>
              <w:rPr>
                <w:rFonts w:ascii="宋体" w:hAnsi="宋体" w:eastAsia="宋体"/>
                <w:sz w:val="21"/>
                <w:szCs w:val="21"/>
              </w:rPr>
            </w:pPr>
            <w:r>
              <w:rPr>
                <w:rFonts w:ascii="宋体" w:hAnsi="宋体" w:eastAsia="宋体" w:cs="宋体"/>
                <w:sz w:val="21"/>
                <w:szCs w:val="21"/>
              </w:rPr>
              <w:t>10</w:t>
            </w:r>
          </w:p>
        </w:tc>
      </w:tr>
      <w:tr w14:paraId="0894D6E1">
        <w:tblPrEx>
          <w:tblCellMar>
            <w:top w:w="15" w:type="dxa"/>
            <w:left w:w="15" w:type="dxa"/>
            <w:bottom w:w="15" w:type="dxa"/>
            <w:right w:w="15" w:type="dxa"/>
          </w:tblCellMar>
        </w:tblPrEx>
        <w:trPr>
          <w:trHeight w:val="397" w:hRule="exact"/>
          <w:jc w:val="center"/>
        </w:trPr>
        <w:tc>
          <w:tcPr>
            <w:tcW w:w="1468" w:type="dxa"/>
            <w:vMerge w:val="continue"/>
            <w:tcBorders>
              <w:top w:val="single" w:color="000000" w:sz="4" w:space="0"/>
              <w:left w:val="single" w:color="000000" w:sz="4" w:space="0"/>
              <w:bottom w:val="single" w:color="000000" w:sz="4" w:space="0"/>
              <w:right w:val="single" w:color="000000" w:sz="4" w:space="0"/>
            </w:tcBorders>
            <w:vAlign w:val="center"/>
          </w:tcPr>
          <w:p w14:paraId="42E21EAA">
            <w:pPr>
              <w:spacing w:line="420" w:lineRule="exact"/>
              <w:jc w:val="center"/>
              <w:rPr>
                <w:rFonts w:ascii="宋体" w:hAnsi="宋体" w:eastAsia="宋体"/>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vAlign w:val="center"/>
          </w:tcPr>
          <w:p w14:paraId="4DCE8F31">
            <w:pPr>
              <w:spacing w:line="420" w:lineRule="exact"/>
              <w:jc w:val="center"/>
              <w:rPr>
                <w:rFonts w:ascii="宋体" w:hAnsi="宋体" w:eastAsia="宋体"/>
                <w:sz w:val="21"/>
                <w:szCs w:val="21"/>
              </w:rPr>
            </w:pPr>
          </w:p>
        </w:tc>
        <w:tc>
          <w:tcPr>
            <w:tcW w:w="2130" w:type="dxa"/>
            <w:tcBorders>
              <w:top w:val="single" w:color="000000" w:sz="4" w:space="0"/>
              <w:left w:val="single" w:color="000000" w:sz="4" w:space="0"/>
              <w:bottom w:val="single" w:color="000000" w:sz="4" w:space="0"/>
              <w:right w:val="single" w:color="000000" w:sz="4" w:space="0"/>
            </w:tcBorders>
            <w:vAlign w:val="center"/>
          </w:tcPr>
          <w:p w14:paraId="6121D3BF">
            <w:pPr>
              <w:spacing w:line="420" w:lineRule="exact"/>
              <w:jc w:val="center"/>
              <w:rPr>
                <w:rFonts w:ascii="宋体" w:hAnsi="宋体" w:eastAsia="宋体"/>
                <w:sz w:val="21"/>
                <w:szCs w:val="21"/>
              </w:rPr>
            </w:pPr>
            <w:r>
              <w:rPr>
                <w:rFonts w:hint="eastAsia" w:ascii="宋体" w:hAnsi="宋体" w:eastAsia="宋体" w:cs="宋体"/>
                <w:sz w:val="21"/>
                <w:szCs w:val="21"/>
              </w:rPr>
              <w:t>考评满意度</w:t>
            </w:r>
          </w:p>
        </w:tc>
        <w:tc>
          <w:tcPr>
            <w:tcW w:w="1200" w:type="dxa"/>
            <w:tcBorders>
              <w:top w:val="single" w:color="000000" w:sz="4" w:space="0"/>
              <w:left w:val="single" w:color="000000" w:sz="4" w:space="0"/>
              <w:bottom w:val="single" w:color="000000" w:sz="4" w:space="0"/>
              <w:right w:val="single" w:color="000000" w:sz="4" w:space="0"/>
            </w:tcBorders>
            <w:vAlign w:val="center"/>
          </w:tcPr>
          <w:p w14:paraId="6C32B507">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1045" w:type="dxa"/>
            <w:tcBorders>
              <w:top w:val="single" w:color="000000" w:sz="4" w:space="0"/>
              <w:left w:val="single" w:color="000000" w:sz="4" w:space="0"/>
              <w:bottom w:val="single" w:color="000000" w:sz="4" w:space="0"/>
              <w:right w:val="single" w:color="000000" w:sz="4" w:space="0"/>
            </w:tcBorders>
            <w:vAlign w:val="center"/>
          </w:tcPr>
          <w:p w14:paraId="29BB2A2E">
            <w:pPr>
              <w:spacing w:line="420" w:lineRule="exact"/>
              <w:jc w:val="center"/>
              <w:rPr>
                <w:rFonts w:ascii="宋体" w:hAnsi="宋体" w:eastAsia="宋体"/>
                <w:sz w:val="21"/>
                <w:szCs w:val="21"/>
              </w:rPr>
            </w:pPr>
            <w:r>
              <w:rPr>
                <w:rFonts w:ascii="宋体" w:hAnsi="宋体" w:eastAsia="宋体" w:cs="宋体"/>
                <w:sz w:val="21"/>
                <w:szCs w:val="21"/>
              </w:rPr>
              <w:t>5</w:t>
            </w:r>
          </w:p>
        </w:tc>
      </w:tr>
      <w:tr w14:paraId="6A8256F2">
        <w:tblPrEx>
          <w:tblCellMar>
            <w:top w:w="15" w:type="dxa"/>
            <w:left w:w="15" w:type="dxa"/>
            <w:bottom w:w="15" w:type="dxa"/>
            <w:right w:w="15" w:type="dxa"/>
          </w:tblCellMar>
        </w:tblPrEx>
        <w:trPr>
          <w:trHeight w:val="397" w:hRule="exact"/>
          <w:jc w:val="center"/>
        </w:trPr>
        <w:tc>
          <w:tcPr>
            <w:tcW w:w="2623" w:type="dxa"/>
            <w:gridSpan w:val="2"/>
            <w:tcBorders>
              <w:top w:val="single" w:color="000000" w:sz="4" w:space="0"/>
              <w:left w:val="single" w:color="000000" w:sz="4" w:space="0"/>
              <w:bottom w:val="single" w:color="000000" w:sz="4" w:space="0"/>
              <w:right w:val="single" w:color="000000" w:sz="4" w:space="0"/>
            </w:tcBorders>
            <w:vAlign w:val="center"/>
          </w:tcPr>
          <w:p w14:paraId="68620E95">
            <w:pPr>
              <w:spacing w:line="420" w:lineRule="exact"/>
              <w:jc w:val="center"/>
              <w:rPr>
                <w:rFonts w:ascii="宋体" w:hAnsi="宋体" w:eastAsia="宋体"/>
                <w:sz w:val="21"/>
                <w:szCs w:val="21"/>
              </w:rPr>
            </w:pPr>
            <w:r>
              <w:rPr>
                <w:rFonts w:hint="eastAsia" w:ascii="宋体" w:hAnsi="宋体" w:eastAsia="宋体" w:cs="宋体"/>
                <w:sz w:val="21"/>
                <w:szCs w:val="21"/>
              </w:rPr>
              <w:t>合计</w:t>
            </w:r>
          </w:p>
        </w:tc>
        <w:tc>
          <w:tcPr>
            <w:tcW w:w="2130" w:type="dxa"/>
            <w:tcBorders>
              <w:top w:val="single" w:color="000000" w:sz="4" w:space="0"/>
              <w:left w:val="single" w:color="000000" w:sz="4" w:space="0"/>
              <w:bottom w:val="single" w:color="000000" w:sz="4" w:space="0"/>
              <w:right w:val="single" w:color="000000" w:sz="4" w:space="0"/>
            </w:tcBorders>
            <w:vAlign w:val="center"/>
          </w:tcPr>
          <w:p w14:paraId="5CFF7979">
            <w:pPr>
              <w:spacing w:line="420" w:lineRule="exact"/>
              <w:jc w:val="center"/>
              <w:rPr>
                <w:rFonts w:ascii="宋体" w:hAnsi="宋体" w:eastAsia="宋体"/>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F90FCC9">
            <w:pPr>
              <w:spacing w:line="420" w:lineRule="exact"/>
              <w:jc w:val="center"/>
              <w:rPr>
                <w:rFonts w:ascii="宋体" w:hAnsi="宋体" w:eastAsia="宋体" w:cs="宋体"/>
                <w:sz w:val="21"/>
                <w:szCs w:val="21"/>
              </w:rPr>
            </w:pPr>
            <w:r>
              <w:rPr>
                <w:rFonts w:ascii="宋体" w:hAnsi="宋体" w:eastAsia="宋体" w:cs="宋体"/>
                <w:sz w:val="21"/>
                <w:szCs w:val="21"/>
              </w:rPr>
              <w:t>15</w:t>
            </w:r>
          </w:p>
        </w:tc>
        <w:tc>
          <w:tcPr>
            <w:tcW w:w="1045" w:type="dxa"/>
            <w:tcBorders>
              <w:top w:val="single" w:color="000000" w:sz="4" w:space="0"/>
              <w:left w:val="single" w:color="000000" w:sz="4" w:space="0"/>
              <w:bottom w:val="single" w:color="000000" w:sz="4" w:space="0"/>
              <w:right w:val="single" w:color="000000" w:sz="4" w:space="0"/>
            </w:tcBorders>
            <w:vAlign w:val="center"/>
          </w:tcPr>
          <w:p w14:paraId="0EEBCF22">
            <w:pPr>
              <w:spacing w:line="420" w:lineRule="exact"/>
              <w:jc w:val="center"/>
              <w:rPr>
                <w:rFonts w:ascii="宋体" w:hAnsi="宋体" w:eastAsia="宋体"/>
                <w:sz w:val="21"/>
                <w:szCs w:val="21"/>
              </w:rPr>
            </w:pPr>
            <w:r>
              <w:rPr>
                <w:rFonts w:ascii="宋体" w:hAnsi="宋体" w:eastAsia="宋体" w:cs="宋体"/>
                <w:sz w:val="21"/>
                <w:szCs w:val="21"/>
              </w:rPr>
              <w:t>15</w:t>
            </w:r>
          </w:p>
        </w:tc>
      </w:tr>
      <w:bookmarkEnd w:id="67"/>
    </w:tbl>
    <w:p w14:paraId="5E2C9316">
      <w:pPr>
        <w:spacing w:after="0" w:line="360" w:lineRule="auto"/>
        <w:ind w:firstLine="640" w:firstLineChars="200"/>
        <w:jc w:val="both"/>
        <w:textAlignment w:val="baseline"/>
        <w:rPr>
          <w:rFonts w:ascii="仿宋_GB2312" w:eastAsia="仿宋_GB2312"/>
          <w:sz w:val="32"/>
          <w:szCs w:val="32"/>
        </w:rPr>
      </w:pPr>
      <w:bookmarkStart w:id="68" w:name="_Toc465149516"/>
      <w:bookmarkStart w:id="69" w:name="_Toc464638561"/>
      <w:bookmarkStart w:id="70" w:name="_Toc492652784"/>
      <w:r>
        <w:rPr>
          <w:rFonts w:ascii="仿宋_GB2312" w:eastAsia="仿宋_GB2312" w:cs="仿宋_GB2312"/>
          <w:sz w:val="32"/>
          <w:szCs w:val="32"/>
        </w:rPr>
        <w:t>1.</w:t>
      </w:r>
      <w:r>
        <w:rPr>
          <w:rFonts w:hint="eastAsia" w:ascii="仿宋_GB2312" w:eastAsia="仿宋_GB2312" w:cs="仿宋_GB2312"/>
          <w:sz w:val="32"/>
          <w:szCs w:val="32"/>
        </w:rPr>
        <w:t>部门整体效益（</w:t>
      </w:r>
      <w:r>
        <w:rPr>
          <w:rFonts w:ascii="仿宋_GB2312" w:eastAsia="仿宋_GB2312" w:cs="仿宋_GB2312"/>
          <w:sz w:val="32"/>
          <w:szCs w:val="32"/>
        </w:rPr>
        <w:t>10</w:t>
      </w:r>
      <w:r>
        <w:rPr>
          <w:rFonts w:hint="eastAsia" w:ascii="仿宋_GB2312" w:eastAsia="仿宋_GB2312" w:cs="仿宋_GB2312"/>
          <w:sz w:val="32"/>
          <w:szCs w:val="32"/>
        </w:rPr>
        <w:t>分）</w:t>
      </w:r>
    </w:p>
    <w:p w14:paraId="5BCEF7D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该指标主要评价部门履行职责对社会发展所带来的直接或间接效益。</w:t>
      </w:r>
    </w:p>
    <w:p w14:paraId="0DC6227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经查看区总工会提供的相关资料，区总工会履行职责对社会发展所带来的社会效益较显著，有效的提高了社会公众的大局意识，减少了社会不稳定因素。</w:t>
      </w:r>
    </w:p>
    <w:p w14:paraId="5E7443A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10</w:t>
      </w:r>
      <w:r>
        <w:rPr>
          <w:rFonts w:hint="eastAsia" w:ascii="仿宋_GB2312" w:eastAsia="仿宋_GB2312" w:cs="仿宋_GB2312"/>
          <w:sz w:val="32"/>
          <w:szCs w:val="32"/>
        </w:rPr>
        <w:t>分。</w:t>
      </w:r>
    </w:p>
    <w:p w14:paraId="2FB4AA75">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考评满意度（</w:t>
      </w:r>
      <w:r>
        <w:rPr>
          <w:rFonts w:ascii="仿宋_GB2312" w:eastAsia="仿宋_GB2312" w:cs="仿宋_GB2312"/>
          <w:sz w:val="32"/>
          <w:szCs w:val="32"/>
        </w:rPr>
        <w:t>5</w:t>
      </w:r>
      <w:r>
        <w:rPr>
          <w:rFonts w:hint="eastAsia" w:ascii="仿宋_GB2312" w:eastAsia="仿宋_GB2312" w:cs="仿宋_GB2312"/>
          <w:sz w:val="32"/>
          <w:szCs w:val="32"/>
        </w:rPr>
        <w:t>分）</w:t>
      </w:r>
    </w:p>
    <w:p w14:paraId="01B52128">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该指标主要评价社会公众或部门的服务对象对部门履职效果的满意程度。</w:t>
      </w:r>
    </w:p>
    <w:p w14:paraId="7B7211C0">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针对该指标，我们随机选取了</w:t>
      </w:r>
      <w:r>
        <w:rPr>
          <w:rFonts w:ascii="仿宋_GB2312" w:hAnsi="宋体" w:eastAsia="仿宋_GB2312" w:cs="仿宋_GB2312"/>
          <w:sz w:val="32"/>
          <w:szCs w:val="32"/>
          <w:u w:color="000000"/>
        </w:rPr>
        <w:t>50</w:t>
      </w:r>
      <w:r>
        <w:rPr>
          <w:rFonts w:hint="eastAsia" w:ascii="仿宋_GB2312" w:hAnsi="宋体" w:eastAsia="仿宋_GB2312" w:cs="仿宋_GB2312"/>
          <w:sz w:val="32"/>
          <w:szCs w:val="32"/>
          <w:u w:color="000000"/>
        </w:rPr>
        <w:t>个调查对象进行了问卷调查，具体调查情况如下：</w:t>
      </w:r>
    </w:p>
    <w:p w14:paraId="75C326BA">
      <w:pPr>
        <w:spacing w:after="0" w:line="360" w:lineRule="auto"/>
        <w:jc w:val="center"/>
        <w:textAlignment w:val="baseline"/>
        <w:rPr>
          <w:rFonts w:ascii="宋体" w:hAnsi="宋体" w:eastAsia="宋体"/>
          <w:b/>
          <w:bCs/>
          <w:sz w:val="32"/>
          <w:szCs w:val="32"/>
          <w:u w:color="000000"/>
        </w:rPr>
      </w:pPr>
      <w:r>
        <w:rPr>
          <w:rFonts w:hint="eastAsia" w:ascii="宋体" w:hAnsi="宋体" w:eastAsia="宋体" w:cs="宋体"/>
          <w:b/>
          <w:bCs/>
          <w:sz w:val="32"/>
          <w:szCs w:val="32"/>
          <w:u w:color="000000"/>
        </w:rPr>
        <w:t>表</w:t>
      </w:r>
      <w:r>
        <w:rPr>
          <w:rFonts w:ascii="宋体" w:hAnsi="宋体" w:eastAsia="宋体" w:cs="宋体"/>
          <w:b/>
          <w:bCs/>
          <w:sz w:val="32"/>
          <w:szCs w:val="32"/>
          <w:u w:color="000000"/>
        </w:rPr>
        <w:t xml:space="preserve">6  </w:t>
      </w:r>
      <w:r>
        <w:rPr>
          <w:rFonts w:hint="eastAsia" w:ascii="宋体" w:hAnsi="宋体" w:eastAsia="宋体" w:cs="宋体"/>
          <w:b/>
          <w:bCs/>
          <w:sz w:val="32"/>
          <w:szCs w:val="32"/>
          <w:u w:color="000000"/>
        </w:rPr>
        <w:t>服务对象满意度调查问卷汇总表</w:t>
      </w:r>
    </w:p>
    <w:p w14:paraId="29104D4E">
      <w:pPr>
        <w:spacing w:after="0" w:line="540" w:lineRule="exact"/>
        <w:ind w:firstLine="6930" w:firstLineChars="3300"/>
        <w:jc w:val="both"/>
        <w:textAlignment w:val="baseline"/>
        <w:rPr>
          <w:rFonts w:ascii="仿宋_GB2312" w:hAnsi="宋体" w:eastAsia="仿宋_GB2312"/>
          <w:sz w:val="32"/>
          <w:szCs w:val="32"/>
          <w:u w:color="000000"/>
        </w:rPr>
      </w:pPr>
      <w:r>
        <w:rPr>
          <w:rFonts w:hint="eastAsia" w:ascii="宋体" w:hAnsi="宋体" w:eastAsia="宋体" w:cs="宋体"/>
          <w:sz w:val="21"/>
          <w:szCs w:val="21"/>
          <w:u w:color="000000"/>
        </w:rPr>
        <w:t>单位：人次</w:t>
      </w:r>
    </w:p>
    <w:tbl>
      <w:tblPr>
        <w:tblStyle w:val="23"/>
        <w:tblW w:w="7948" w:type="dxa"/>
        <w:jc w:val="center"/>
        <w:tblLayout w:type="fixed"/>
        <w:tblCellMar>
          <w:top w:w="15" w:type="dxa"/>
          <w:left w:w="15" w:type="dxa"/>
          <w:bottom w:w="15" w:type="dxa"/>
          <w:right w:w="15" w:type="dxa"/>
        </w:tblCellMar>
      </w:tblPr>
      <w:tblGrid>
        <w:gridCol w:w="2834"/>
        <w:gridCol w:w="1114"/>
        <w:gridCol w:w="1134"/>
        <w:gridCol w:w="1218"/>
        <w:gridCol w:w="767"/>
        <w:gridCol w:w="881"/>
      </w:tblGrid>
      <w:tr w14:paraId="527B2015">
        <w:tblPrEx>
          <w:tblCellMar>
            <w:top w:w="15" w:type="dxa"/>
            <w:left w:w="15" w:type="dxa"/>
            <w:bottom w:w="15" w:type="dxa"/>
            <w:right w:w="15" w:type="dxa"/>
          </w:tblCellMar>
        </w:tblPrEx>
        <w:trPr>
          <w:trHeight w:val="525" w:hRule="atLeast"/>
          <w:jc w:val="center"/>
        </w:trPr>
        <w:tc>
          <w:tcPr>
            <w:tcW w:w="2834" w:type="dxa"/>
            <w:tcBorders>
              <w:top w:val="single" w:color="auto" w:sz="4" w:space="0"/>
              <w:left w:val="single" w:color="auto" w:sz="4" w:space="0"/>
              <w:bottom w:val="single" w:color="auto" w:sz="4" w:space="0"/>
              <w:right w:val="single" w:color="auto" w:sz="4" w:space="0"/>
            </w:tcBorders>
            <w:vAlign w:val="center"/>
          </w:tcPr>
          <w:p w14:paraId="3BC1C7BF">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调查项目</w:t>
            </w:r>
          </w:p>
        </w:tc>
        <w:tc>
          <w:tcPr>
            <w:tcW w:w="1114" w:type="dxa"/>
            <w:tcBorders>
              <w:top w:val="single" w:color="auto" w:sz="4" w:space="0"/>
              <w:left w:val="single" w:color="auto" w:sz="4" w:space="0"/>
              <w:bottom w:val="single" w:color="auto" w:sz="4" w:space="0"/>
              <w:right w:val="single" w:color="auto" w:sz="4" w:space="0"/>
            </w:tcBorders>
            <w:vAlign w:val="center"/>
          </w:tcPr>
          <w:p w14:paraId="441C6215">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满意</w:t>
            </w:r>
          </w:p>
        </w:tc>
        <w:tc>
          <w:tcPr>
            <w:tcW w:w="1134" w:type="dxa"/>
            <w:tcBorders>
              <w:top w:val="single" w:color="auto" w:sz="4" w:space="0"/>
              <w:left w:val="single" w:color="auto" w:sz="4" w:space="0"/>
              <w:bottom w:val="single" w:color="auto" w:sz="4" w:space="0"/>
              <w:right w:val="single" w:color="auto" w:sz="4" w:space="0"/>
            </w:tcBorders>
            <w:vAlign w:val="center"/>
          </w:tcPr>
          <w:p w14:paraId="5D2EDA52">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一般</w:t>
            </w:r>
          </w:p>
        </w:tc>
        <w:tc>
          <w:tcPr>
            <w:tcW w:w="1218" w:type="dxa"/>
            <w:tcBorders>
              <w:top w:val="single" w:color="auto" w:sz="4" w:space="0"/>
              <w:left w:val="single" w:color="auto" w:sz="4" w:space="0"/>
              <w:bottom w:val="single" w:color="auto" w:sz="4" w:space="0"/>
              <w:right w:val="single" w:color="auto" w:sz="4" w:space="0"/>
            </w:tcBorders>
            <w:vAlign w:val="center"/>
          </w:tcPr>
          <w:p w14:paraId="1246D02B">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不满意</w:t>
            </w:r>
          </w:p>
        </w:tc>
        <w:tc>
          <w:tcPr>
            <w:tcW w:w="767" w:type="dxa"/>
            <w:tcBorders>
              <w:top w:val="single" w:color="auto" w:sz="4" w:space="0"/>
              <w:left w:val="single" w:color="auto" w:sz="4" w:space="0"/>
              <w:bottom w:val="single" w:color="auto" w:sz="4" w:space="0"/>
              <w:right w:val="single" w:color="auto" w:sz="4" w:space="0"/>
            </w:tcBorders>
            <w:vAlign w:val="center"/>
          </w:tcPr>
          <w:p w14:paraId="7F7B82C1">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合计</w:t>
            </w:r>
          </w:p>
        </w:tc>
        <w:tc>
          <w:tcPr>
            <w:tcW w:w="881" w:type="dxa"/>
            <w:tcBorders>
              <w:top w:val="single" w:color="auto" w:sz="4" w:space="0"/>
              <w:left w:val="single" w:color="auto" w:sz="4" w:space="0"/>
              <w:bottom w:val="single" w:color="auto" w:sz="4" w:space="0"/>
              <w:right w:val="single" w:color="auto" w:sz="4" w:space="0"/>
            </w:tcBorders>
            <w:vAlign w:val="center"/>
          </w:tcPr>
          <w:p w14:paraId="5AC05F10">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单项得分</w:t>
            </w:r>
          </w:p>
        </w:tc>
      </w:tr>
      <w:tr w14:paraId="174F998B">
        <w:tblPrEx>
          <w:tblCellMar>
            <w:top w:w="15" w:type="dxa"/>
            <w:left w:w="15" w:type="dxa"/>
            <w:bottom w:w="15" w:type="dxa"/>
            <w:right w:w="15" w:type="dxa"/>
          </w:tblCellMar>
        </w:tblPrEx>
        <w:trPr>
          <w:trHeight w:val="590"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3001DE5B">
            <w:pPr>
              <w:spacing w:after="0" w:line="360" w:lineRule="auto"/>
              <w:jc w:val="both"/>
              <w:textAlignment w:val="baseline"/>
              <w:rPr>
                <w:rFonts w:ascii="宋体" w:hAnsi="宋体" w:eastAsia="宋体"/>
                <w:sz w:val="21"/>
                <w:szCs w:val="21"/>
                <w:u w:color="000000"/>
              </w:rPr>
            </w:pPr>
            <w:r>
              <w:rPr>
                <w:rFonts w:hint="eastAsia" w:ascii="宋体" w:hAnsi="宋体" w:eastAsia="宋体" w:cs="宋体"/>
                <w:sz w:val="21"/>
                <w:szCs w:val="21"/>
                <w:u w:color="000000"/>
              </w:rPr>
              <w:t>某项具体工作</w:t>
            </w:r>
          </w:p>
        </w:tc>
        <w:tc>
          <w:tcPr>
            <w:tcW w:w="1114" w:type="dxa"/>
            <w:tcBorders>
              <w:top w:val="single" w:color="000000" w:sz="4" w:space="0"/>
              <w:left w:val="single" w:color="000000" w:sz="4" w:space="0"/>
              <w:bottom w:val="single" w:color="000000" w:sz="4" w:space="0"/>
              <w:right w:val="single" w:color="000000" w:sz="4" w:space="0"/>
            </w:tcBorders>
            <w:vAlign w:val="center"/>
          </w:tcPr>
          <w:p w14:paraId="1DE21629">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c>
          <w:tcPr>
            <w:tcW w:w="1134" w:type="dxa"/>
            <w:tcBorders>
              <w:top w:val="single" w:color="000000" w:sz="4" w:space="0"/>
              <w:left w:val="single" w:color="000000" w:sz="4" w:space="0"/>
              <w:bottom w:val="single" w:color="000000" w:sz="4" w:space="0"/>
              <w:right w:val="single" w:color="000000" w:sz="4" w:space="0"/>
            </w:tcBorders>
            <w:vAlign w:val="center"/>
          </w:tcPr>
          <w:p w14:paraId="4FEC005B">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1218" w:type="dxa"/>
            <w:tcBorders>
              <w:top w:val="single" w:color="000000" w:sz="4" w:space="0"/>
              <w:left w:val="single" w:color="000000" w:sz="4" w:space="0"/>
              <w:bottom w:val="single" w:color="000000" w:sz="4" w:space="0"/>
              <w:right w:val="single" w:color="000000" w:sz="4" w:space="0"/>
            </w:tcBorders>
            <w:vAlign w:val="center"/>
          </w:tcPr>
          <w:p w14:paraId="5FCADB65">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767" w:type="dxa"/>
            <w:tcBorders>
              <w:top w:val="single" w:color="000000" w:sz="4" w:space="0"/>
              <w:left w:val="single" w:color="000000" w:sz="4" w:space="0"/>
              <w:bottom w:val="single" w:color="000000" w:sz="4" w:space="0"/>
              <w:right w:val="single" w:color="000000" w:sz="4" w:space="0"/>
            </w:tcBorders>
            <w:vAlign w:val="center"/>
          </w:tcPr>
          <w:p w14:paraId="3870C7AB">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7115008A">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r>
      <w:tr w14:paraId="2E02BDA3">
        <w:tblPrEx>
          <w:tblCellMar>
            <w:top w:w="15" w:type="dxa"/>
            <w:left w:w="15" w:type="dxa"/>
            <w:bottom w:w="15" w:type="dxa"/>
            <w:right w:w="15" w:type="dxa"/>
          </w:tblCellMar>
        </w:tblPrEx>
        <w:trPr>
          <w:trHeight w:val="510"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59919C60">
            <w:pPr>
              <w:spacing w:after="0" w:line="360" w:lineRule="auto"/>
              <w:jc w:val="both"/>
              <w:textAlignment w:val="baseline"/>
              <w:rPr>
                <w:rFonts w:ascii="宋体" w:hAnsi="宋体" w:eastAsia="宋体"/>
                <w:sz w:val="21"/>
                <w:szCs w:val="21"/>
                <w:u w:color="000000"/>
              </w:rPr>
            </w:pPr>
            <w:r>
              <w:rPr>
                <w:rFonts w:hint="eastAsia" w:ascii="宋体" w:hAnsi="宋体" w:eastAsia="宋体" w:cs="宋体"/>
                <w:sz w:val="21"/>
                <w:szCs w:val="21"/>
                <w:u w:color="000000"/>
              </w:rPr>
              <w:t>某项具体工作是否满意</w:t>
            </w:r>
          </w:p>
        </w:tc>
        <w:tc>
          <w:tcPr>
            <w:tcW w:w="1114" w:type="dxa"/>
            <w:tcBorders>
              <w:top w:val="single" w:color="000000" w:sz="4" w:space="0"/>
              <w:left w:val="single" w:color="000000" w:sz="4" w:space="0"/>
              <w:bottom w:val="single" w:color="000000" w:sz="4" w:space="0"/>
              <w:right w:val="single" w:color="000000" w:sz="4" w:space="0"/>
            </w:tcBorders>
            <w:vAlign w:val="center"/>
          </w:tcPr>
          <w:p w14:paraId="1AF31604">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c>
          <w:tcPr>
            <w:tcW w:w="1134" w:type="dxa"/>
            <w:tcBorders>
              <w:top w:val="single" w:color="000000" w:sz="4" w:space="0"/>
              <w:left w:val="single" w:color="000000" w:sz="4" w:space="0"/>
              <w:bottom w:val="single" w:color="000000" w:sz="4" w:space="0"/>
              <w:right w:val="single" w:color="000000" w:sz="4" w:space="0"/>
            </w:tcBorders>
            <w:vAlign w:val="center"/>
          </w:tcPr>
          <w:p w14:paraId="148701BF">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1218" w:type="dxa"/>
            <w:tcBorders>
              <w:top w:val="single" w:color="000000" w:sz="4" w:space="0"/>
              <w:left w:val="single" w:color="000000" w:sz="4" w:space="0"/>
              <w:bottom w:val="single" w:color="000000" w:sz="4" w:space="0"/>
              <w:right w:val="single" w:color="000000" w:sz="4" w:space="0"/>
            </w:tcBorders>
            <w:vAlign w:val="center"/>
          </w:tcPr>
          <w:p w14:paraId="058349F3">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767" w:type="dxa"/>
            <w:tcBorders>
              <w:top w:val="single" w:color="000000" w:sz="4" w:space="0"/>
              <w:left w:val="single" w:color="000000" w:sz="4" w:space="0"/>
              <w:bottom w:val="single" w:color="000000" w:sz="4" w:space="0"/>
              <w:right w:val="single" w:color="000000" w:sz="4" w:space="0"/>
            </w:tcBorders>
            <w:vAlign w:val="center"/>
          </w:tcPr>
          <w:p w14:paraId="7A3B46CC">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35401BA5">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r>
      <w:tr w14:paraId="0D3614A7">
        <w:tblPrEx>
          <w:tblCellMar>
            <w:top w:w="15" w:type="dxa"/>
            <w:left w:w="15" w:type="dxa"/>
            <w:bottom w:w="15" w:type="dxa"/>
            <w:right w:w="15" w:type="dxa"/>
          </w:tblCellMar>
        </w:tblPrEx>
        <w:trPr>
          <w:trHeight w:val="585"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4BAAB6D6">
            <w:pPr>
              <w:spacing w:after="0" w:line="360" w:lineRule="auto"/>
              <w:jc w:val="both"/>
              <w:textAlignment w:val="baseline"/>
              <w:rPr>
                <w:rFonts w:ascii="宋体" w:hAnsi="宋体" w:eastAsia="宋体"/>
                <w:sz w:val="21"/>
                <w:szCs w:val="21"/>
                <w:u w:color="000000"/>
              </w:rPr>
            </w:pPr>
            <w:r>
              <w:rPr>
                <w:rFonts w:hint="eastAsia" w:ascii="宋体" w:hAnsi="宋体" w:eastAsia="宋体" w:cs="宋体"/>
                <w:sz w:val="21"/>
                <w:szCs w:val="21"/>
                <w:u w:color="000000"/>
              </w:rPr>
              <w:t>您对某项具体工作了解程度如何</w:t>
            </w:r>
          </w:p>
        </w:tc>
        <w:tc>
          <w:tcPr>
            <w:tcW w:w="1114" w:type="dxa"/>
            <w:tcBorders>
              <w:top w:val="single" w:color="000000" w:sz="4" w:space="0"/>
              <w:left w:val="single" w:color="000000" w:sz="4" w:space="0"/>
              <w:bottom w:val="single" w:color="000000" w:sz="4" w:space="0"/>
              <w:right w:val="single" w:color="000000" w:sz="4" w:space="0"/>
            </w:tcBorders>
            <w:vAlign w:val="center"/>
          </w:tcPr>
          <w:p w14:paraId="49DCED27">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c>
          <w:tcPr>
            <w:tcW w:w="1134" w:type="dxa"/>
            <w:tcBorders>
              <w:top w:val="single" w:color="000000" w:sz="4" w:space="0"/>
              <w:left w:val="single" w:color="000000" w:sz="4" w:space="0"/>
              <w:bottom w:val="single" w:color="000000" w:sz="4" w:space="0"/>
              <w:right w:val="single" w:color="000000" w:sz="4" w:space="0"/>
            </w:tcBorders>
            <w:vAlign w:val="center"/>
          </w:tcPr>
          <w:p w14:paraId="5304EBB0">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1218" w:type="dxa"/>
            <w:tcBorders>
              <w:top w:val="single" w:color="000000" w:sz="4" w:space="0"/>
              <w:left w:val="single" w:color="000000" w:sz="4" w:space="0"/>
              <w:bottom w:val="single" w:color="000000" w:sz="4" w:space="0"/>
              <w:right w:val="single" w:color="000000" w:sz="4" w:space="0"/>
            </w:tcBorders>
            <w:vAlign w:val="center"/>
          </w:tcPr>
          <w:p w14:paraId="70C77EAE">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767" w:type="dxa"/>
            <w:tcBorders>
              <w:top w:val="single" w:color="000000" w:sz="4" w:space="0"/>
              <w:left w:val="single" w:color="000000" w:sz="4" w:space="0"/>
              <w:bottom w:val="single" w:color="000000" w:sz="4" w:space="0"/>
              <w:right w:val="single" w:color="000000" w:sz="4" w:space="0"/>
            </w:tcBorders>
            <w:vAlign w:val="center"/>
          </w:tcPr>
          <w:p w14:paraId="0EF2E1FC">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2A91260E">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r>
    </w:tbl>
    <w:p w14:paraId="41AC3EB1">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调查问卷共分为</w:t>
      </w:r>
      <w:r>
        <w:rPr>
          <w:rFonts w:ascii="仿宋_GB2312" w:hAnsi="宋体" w:eastAsia="仿宋_GB2312" w:cs="仿宋_GB2312"/>
          <w:sz w:val="32"/>
          <w:szCs w:val="32"/>
          <w:u w:color="000000"/>
        </w:rPr>
        <w:t>3</w:t>
      </w:r>
      <w:r>
        <w:rPr>
          <w:rFonts w:hint="eastAsia" w:ascii="仿宋_GB2312" w:hAnsi="宋体" w:eastAsia="仿宋_GB2312" w:cs="仿宋_GB2312"/>
          <w:sz w:val="32"/>
          <w:szCs w:val="32"/>
          <w:u w:color="000000"/>
        </w:rPr>
        <w:t>个单项，每个单项满分为</w:t>
      </w:r>
      <w:r>
        <w:rPr>
          <w:rFonts w:ascii="仿宋_GB2312" w:hAnsi="宋体" w:eastAsia="仿宋_GB2312" w:cs="仿宋_GB2312"/>
          <w:sz w:val="32"/>
          <w:szCs w:val="32"/>
          <w:u w:color="000000"/>
        </w:rPr>
        <w:t>100</w:t>
      </w:r>
      <w:r>
        <w:rPr>
          <w:rFonts w:hint="eastAsia" w:ascii="仿宋_GB2312" w:hAnsi="宋体" w:eastAsia="仿宋_GB2312" w:cs="仿宋_GB2312"/>
          <w:sz w:val="32"/>
          <w:szCs w:val="32"/>
          <w:u w:color="000000"/>
        </w:rPr>
        <w:t>分。其中：每一单项满分为</w:t>
      </w:r>
      <w:r>
        <w:rPr>
          <w:rFonts w:ascii="仿宋_GB2312" w:hAnsi="宋体" w:eastAsia="仿宋_GB2312" w:cs="仿宋_GB2312"/>
          <w:sz w:val="32"/>
          <w:szCs w:val="32"/>
          <w:u w:color="000000"/>
        </w:rPr>
        <w:t>100</w:t>
      </w:r>
      <w:r>
        <w:rPr>
          <w:rFonts w:hint="eastAsia" w:ascii="仿宋_GB2312" w:hAnsi="宋体" w:eastAsia="仿宋_GB2312" w:cs="仿宋_GB2312"/>
          <w:sz w:val="32"/>
          <w:szCs w:val="32"/>
          <w:u w:color="000000"/>
        </w:rPr>
        <w:t>分：满意为</w:t>
      </w:r>
      <w:r>
        <w:rPr>
          <w:rFonts w:ascii="仿宋_GB2312" w:hAnsi="宋体" w:eastAsia="仿宋_GB2312" w:cs="仿宋_GB2312"/>
          <w:sz w:val="32"/>
          <w:szCs w:val="32"/>
          <w:u w:color="000000"/>
        </w:rPr>
        <w:t>100</w:t>
      </w:r>
      <w:r>
        <w:rPr>
          <w:rFonts w:hint="eastAsia" w:ascii="仿宋_GB2312" w:hAnsi="宋体" w:eastAsia="仿宋_GB2312" w:cs="仿宋_GB2312"/>
          <w:sz w:val="32"/>
          <w:szCs w:val="32"/>
          <w:u w:color="000000"/>
        </w:rPr>
        <w:t>分，一般为</w:t>
      </w:r>
      <w:r>
        <w:rPr>
          <w:rFonts w:ascii="仿宋_GB2312" w:hAnsi="宋体" w:eastAsia="仿宋_GB2312" w:cs="仿宋_GB2312"/>
          <w:sz w:val="32"/>
          <w:szCs w:val="32"/>
          <w:u w:color="000000"/>
        </w:rPr>
        <w:t>50</w:t>
      </w:r>
      <w:r>
        <w:rPr>
          <w:rFonts w:hint="eastAsia" w:ascii="仿宋_GB2312" w:hAnsi="宋体" w:eastAsia="仿宋_GB2312" w:cs="仿宋_GB2312"/>
          <w:sz w:val="32"/>
          <w:szCs w:val="32"/>
          <w:u w:color="000000"/>
        </w:rPr>
        <w:t>分，不满意为</w:t>
      </w:r>
      <w:r>
        <w:rPr>
          <w:rFonts w:ascii="仿宋_GB2312" w:hAnsi="宋体" w:eastAsia="仿宋_GB2312" w:cs="仿宋_GB2312"/>
          <w:sz w:val="32"/>
          <w:szCs w:val="32"/>
          <w:u w:color="000000"/>
        </w:rPr>
        <w:t>0</w:t>
      </w:r>
      <w:r>
        <w:rPr>
          <w:rFonts w:hint="eastAsia" w:ascii="仿宋_GB2312" w:hAnsi="宋体" w:eastAsia="仿宋_GB2312" w:cs="仿宋_GB2312"/>
          <w:sz w:val="32"/>
          <w:szCs w:val="32"/>
          <w:u w:color="000000"/>
        </w:rPr>
        <w:t>分。</w:t>
      </w:r>
    </w:p>
    <w:p w14:paraId="4A242863">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单项满意度得分</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总分数</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总人数</w:t>
      </w:r>
    </w:p>
    <w:p w14:paraId="1DB97D51">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总体满意度得分</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w:t>
      </w:r>
      <w:r>
        <w:rPr>
          <w:rFonts w:ascii="仿宋_GB2312" w:hAnsi="宋体" w:eastAsia="仿宋_GB2312" w:cs="仿宋_GB2312"/>
          <w:sz w:val="32"/>
          <w:szCs w:val="32"/>
          <w:u w:color="000000"/>
        </w:rPr>
        <w:t>1/3</w:t>
      </w:r>
      <w:r>
        <w:rPr>
          <w:rFonts w:hint="eastAsia" w:ascii="仿宋_GB2312" w:hAnsi="宋体" w:eastAsia="仿宋_GB2312" w:cs="仿宋_GB2312"/>
          <w:sz w:val="32"/>
          <w:szCs w:val="32"/>
          <w:u w:color="000000"/>
        </w:rPr>
        <w:t>各单项满意度得分</w:t>
      </w:r>
    </w:p>
    <w:p w14:paraId="572B7A51">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经计算，总体得分为</w:t>
      </w:r>
      <w:r>
        <w:rPr>
          <w:rFonts w:ascii="仿宋_GB2312" w:hAnsi="宋体" w:eastAsia="仿宋_GB2312" w:cs="仿宋_GB2312"/>
          <w:sz w:val="32"/>
          <w:szCs w:val="32"/>
          <w:u w:color="000000"/>
        </w:rPr>
        <w:t>94</w:t>
      </w:r>
      <w:r>
        <w:rPr>
          <w:rFonts w:hint="eastAsia" w:ascii="仿宋_GB2312" w:hAnsi="宋体" w:eastAsia="仿宋_GB2312" w:cs="仿宋_GB2312"/>
          <w:sz w:val="32"/>
          <w:szCs w:val="32"/>
          <w:u w:color="000000"/>
        </w:rPr>
        <w:t>分，小于</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大于）</w:t>
      </w:r>
      <w:r>
        <w:rPr>
          <w:rFonts w:ascii="仿宋_GB2312" w:hAnsi="宋体" w:eastAsia="仿宋_GB2312" w:cs="仿宋_GB2312"/>
          <w:sz w:val="32"/>
          <w:szCs w:val="32"/>
          <w:u w:color="000000"/>
        </w:rPr>
        <w:t>90</w:t>
      </w:r>
      <w:r>
        <w:rPr>
          <w:rFonts w:hint="eastAsia" w:ascii="仿宋_GB2312" w:hAnsi="宋体" w:eastAsia="仿宋_GB2312" w:cs="仿宋_GB2312"/>
          <w:sz w:val="32"/>
          <w:szCs w:val="32"/>
          <w:u w:color="000000"/>
        </w:rPr>
        <w:t>分，评价等级为“优”。</w:t>
      </w:r>
    </w:p>
    <w:p w14:paraId="32EE16FD">
      <w:pPr>
        <w:spacing w:after="0" w:line="360" w:lineRule="auto"/>
        <w:ind w:firstLine="640" w:firstLineChars="200"/>
        <w:jc w:val="both"/>
        <w:rPr>
          <w:rFonts w:ascii="仿宋_GB2312" w:hAnsi="宋体" w:eastAsia="仿宋_GB2312"/>
          <w:sz w:val="32"/>
          <w:szCs w:val="32"/>
          <w:u w:color="000000"/>
        </w:rPr>
      </w:pPr>
      <w:r>
        <w:rPr>
          <w:rFonts w:hint="eastAsia" w:ascii="仿宋_GB2312" w:hAnsi="宋体" w:eastAsia="仿宋_GB2312" w:cs="仿宋_GB2312"/>
          <w:sz w:val="32"/>
          <w:szCs w:val="32"/>
          <w:u w:color="000000"/>
        </w:rPr>
        <w:t>该指标实际得分</w:t>
      </w:r>
      <w:r>
        <w:rPr>
          <w:rFonts w:ascii="仿宋_GB2312" w:hAnsi="宋体" w:eastAsia="仿宋_GB2312" w:cs="仿宋_GB2312"/>
          <w:sz w:val="32"/>
          <w:szCs w:val="32"/>
          <w:u w:color="000000"/>
        </w:rPr>
        <w:t>5</w:t>
      </w:r>
      <w:r>
        <w:rPr>
          <w:rFonts w:hint="eastAsia" w:ascii="仿宋_GB2312" w:hAnsi="宋体" w:eastAsia="仿宋_GB2312" w:cs="仿宋_GB2312"/>
          <w:sz w:val="32"/>
          <w:szCs w:val="32"/>
          <w:u w:color="000000"/>
        </w:rPr>
        <w:t>分。</w:t>
      </w:r>
    </w:p>
    <w:p w14:paraId="22A29607">
      <w:pPr>
        <w:pStyle w:val="3"/>
        <w:keepNext w:val="0"/>
        <w:keepLines w:val="0"/>
        <w:suppressLineNumbers/>
        <w:spacing w:before="0" w:after="0" w:line="360" w:lineRule="auto"/>
        <w:ind w:firstLine="643" w:firstLineChars="200"/>
        <w:rPr>
          <w:rFonts w:ascii="黑体" w:cs="Tahoma"/>
        </w:rPr>
      </w:pPr>
      <w:bookmarkStart w:id="71" w:name="_Toc13757"/>
      <w:r>
        <w:rPr>
          <w:rFonts w:hint="eastAsia" w:ascii="黑体" w:cs="黑体"/>
        </w:rPr>
        <w:t>五、绩效评价发现的问题</w:t>
      </w:r>
      <w:bookmarkEnd w:id="68"/>
      <w:bookmarkEnd w:id="69"/>
      <w:bookmarkEnd w:id="70"/>
      <w:bookmarkEnd w:id="71"/>
      <w:bookmarkStart w:id="72" w:name="_Toc492652789"/>
    </w:p>
    <w:p w14:paraId="59D8B089">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通过对各指标得分及扣分原因的分析，</w:t>
      </w:r>
      <w:r>
        <w:rPr>
          <w:rFonts w:hint="eastAsia" w:ascii="仿宋_GB2312" w:eastAsia="仿宋_GB2312" w:cs="仿宋_GB2312"/>
          <w:sz w:val="32"/>
          <w:szCs w:val="32"/>
        </w:rPr>
        <w:t>区总工会</w:t>
      </w:r>
      <w:r>
        <w:rPr>
          <w:rFonts w:ascii="仿宋_GB2312" w:hAnsi="宋体" w:eastAsia="仿宋_GB2312" w:cs="仿宋_GB2312"/>
          <w:sz w:val="32"/>
          <w:szCs w:val="32"/>
          <w:u w:color="000000"/>
        </w:rPr>
        <w:t>2021</w:t>
      </w:r>
      <w:r>
        <w:rPr>
          <w:rFonts w:hint="eastAsia" w:ascii="仿宋_GB2312" w:hAnsi="宋体" w:eastAsia="仿宋_GB2312" w:cs="仿宋_GB2312"/>
          <w:sz w:val="32"/>
          <w:szCs w:val="32"/>
          <w:u w:color="000000"/>
        </w:rPr>
        <w:t>年部门整体支出基本按相关要求执行预算、决算，完成了绩效目标，资金使用效益良好。通过评价，也发现一些不足之处，具体情况如下：</w:t>
      </w:r>
      <w:bookmarkStart w:id="73" w:name="_Toc20723"/>
    </w:p>
    <w:p w14:paraId="2055C8E4">
      <w:pPr>
        <w:spacing w:after="0" w:line="360" w:lineRule="auto"/>
        <w:ind w:firstLine="640" w:firstLineChars="200"/>
        <w:jc w:val="both"/>
        <w:textAlignment w:val="baseline"/>
        <w:rPr>
          <w:rFonts w:ascii="仿宋_GB2312" w:hAnsi="宋体" w:eastAsia="仿宋_GB2312"/>
          <w:sz w:val="32"/>
          <w:szCs w:val="32"/>
          <w:u w:color="000000"/>
        </w:rPr>
      </w:pPr>
      <w:r>
        <w:rPr>
          <w:rFonts w:ascii="仿宋_GB2312" w:hAnsi="宋体" w:eastAsia="仿宋_GB2312" w:cs="仿宋_GB2312"/>
          <w:sz w:val="32"/>
          <w:szCs w:val="32"/>
          <w:u w:color="000000"/>
        </w:rPr>
        <w:t>1.</w:t>
      </w:r>
      <w:r>
        <w:rPr>
          <w:rFonts w:hint="eastAsia" w:ascii="仿宋_GB2312" w:hAnsi="宋体" w:eastAsia="仿宋_GB2312" w:cs="仿宋_GB2312"/>
          <w:sz w:val="32"/>
          <w:szCs w:val="32"/>
          <w:u w:color="000000"/>
        </w:rPr>
        <w:t>部分绩效指标方面：部分绩效指标完成不理想，有待提高。</w:t>
      </w:r>
    </w:p>
    <w:p w14:paraId="1D44D013">
      <w:pPr>
        <w:spacing w:after="0" w:line="360" w:lineRule="auto"/>
        <w:ind w:firstLine="640" w:firstLineChars="200"/>
        <w:jc w:val="both"/>
        <w:textAlignment w:val="baseline"/>
        <w:rPr>
          <w:rFonts w:ascii="仿宋_GB2312" w:eastAsia="仿宋_GB2312"/>
          <w:sz w:val="32"/>
          <w:szCs w:val="32"/>
        </w:rPr>
      </w:pPr>
      <w:r>
        <w:rPr>
          <w:rFonts w:ascii="仿宋_GB2312" w:hAnsi="宋体" w:eastAsia="仿宋_GB2312" w:cs="仿宋_GB2312"/>
          <w:sz w:val="32"/>
          <w:szCs w:val="32"/>
          <w:u w:color="000000"/>
        </w:rPr>
        <w:t>2.</w:t>
      </w:r>
      <w:r>
        <w:rPr>
          <w:rFonts w:hint="eastAsia" w:ascii="仿宋_GB2312" w:hAnsi="宋体" w:eastAsia="仿宋_GB2312" w:cs="仿宋_GB2312"/>
          <w:sz w:val="32"/>
          <w:szCs w:val="32"/>
          <w:u w:color="000000"/>
        </w:rPr>
        <w:t>预算决算比较：</w:t>
      </w:r>
      <w:r>
        <w:rPr>
          <w:rFonts w:hint="eastAsia" w:ascii="仿宋_GB2312" w:eastAsia="仿宋_GB2312" w:cs="仿宋_GB2312"/>
          <w:sz w:val="32"/>
          <w:szCs w:val="32"/>
        </w:rPr>
        <w:t>预算决算比较决算小于预算，有待提高执行预算率。</w:t>
      </w:r>
    </w:p>
    <w:p w14:paraId="4EFF9E95">
      <w:pPr>
        <w:spacing w:after="0" w:line="360" w:lineRule="auto"/>
        <w:ind w:firstLine="640" w:firstLineChars="200"/>
        <w:jc w:val="both"/>
        <w:textAlignment w:val="baseline"/>
        <w:rPr>
          <w:rFonts w:ascii="仿宋_GB2312" w:eastAsia="仿宋_GB2312"/>
          <w:sz w:val="32"/>
          <w:szCs w:val="32"/>
        </w:rPr>
      </w:pPr>
      <w:r>
        <w:rPr>
          <w:rFonts w:ascii="仿宋_GB2312" w:hAnsi="宋体" w:eastAsia="仿宋_GB2312" w:cs="仿宋_GB2312"/>
          <w:sz w:val="32"/>
          <w:szCs w:val="32"/>
          <w:u w:color="000000"/>
        </w:rPr>
        <w:t>3.</w:t>
      </w:r>
      <w:r>
        <w:rPr>
          <w:rFonts w:hint="eastAsia" w:ascii="仿宋_GB2312" w:hAnsi="宋体" w:eastAsia="仿宋_GB2312" w:cs="仿宋_GB2312"/>
          <w:sz w:val="32"/>
          <w:szCs w:val="32"/>
          <w:u w:color="000000"/>
        </w:rPr>
        <w:t>项目资金使用率方面：</w:t>
      </w:r>
      <w:r>
        <w:rPr>
          <w:rFonts w:hint="eastAsia" w:ascii="仿宋_GB2312" w:eastAsia="仿宋_GB2312" w:cs="仿宋_GB2312"/>
          <w:sz w:val="32"/>
          <w:szCs w:val="32"/>
        </w:rPr>
        <w:t>劳模体检率</w:t>
      </w:r>
      <w:r>
        <w:rPr>
          <w:rFonts w:ascii="仿宋_GB2312" w:eastAsia="仿宋_GB2312" w:cs="仿宋_GB2312"/>
          <w:sz w:val="32"/>
          <w:szCs w:val="32"/>
        </w:rPr>
        <w:t>100%</w:t>
      </w:r>
      <w:r>
        <w:rPr>
          <w:rFonts w:hint="eastAsia" w:ascii="仿宋_GB2312" w:eastAsia="仿宋_GB2312" w:cs="仿宋_GB2312"/>
          <w:sz w:val="32"/>
          <w:szCs w:val="32"/>
        </w:rPr>
        <w:t>，由于困难职工脱贫，导致帮扶资金执行没到位，有待提高使用率。</w:t>
      </w:r>
    </w:p>
    <w:bookmarkEnd w:id="72"/>
    <w:bookmarkEnd w:id="73"/>
    <w:p w14:paraId="61FC4929">
      <w:pPr>
        <w:spacing w:after="0" w:line="360" w:lineRule="auto"/>
        <w:jc w:val="both"/>
        <w:textAlignment w:val="baseline"/>
        <w:rPr>
          <w:rFonts w:ascii="仿宋_GB2312" w:hAnsi="宋体" w:eastAsia="仿宋_GB2312"/>
          <w:sz w:val="32"/>
          <w:szCs w:val="32"/>
          <w:u w:color="000000"/>
        </w:rPr>
      </w:pPr>
      <w:bookmarkStart w:id="74" w:name="_Toc465149521"/>
      <w:r>
        <w:rPr>
          <w:rFonts w:hint="eastAsia" w:ascii="仿宋_GB2312" w:hAnsi="宋体" w:eastAsia="仿宋_GB2312" w:cs="仿宋_GB2312"/>
          <w:sz w:val="32"/>
          <w:szCs w:val="32"/>
          <w:u w:color="000000"/>
        </w:rPr>
        <w:t>附件：</w:t>
      </w:r>
      <w:r>
        <w:rPr>
          <w:rFonts w:ascii="仿宋_GB2312" w:hAnsi="宋体" w:eastAsia="仿宋_GB2312" w:cs="仿宋_GB2312"/>
          <w:sz w:val="32"/>
          <w:szCs w:val="32"/>
          <w:u w:color="000000"/>
        </w:rPr>
        <w:t>1.</w:t>
      </w:r>
      <w:r>
        <w:rPr>
          <w:rFonts w:hint="eastAsia" w:ascii="仿宋_GB2312" w:hAnsi="宋体" w:eastAsia="仿宋_GB2312" w:cs="仿宋_GB2312"/>
          <w:sz w:val="32"/>
          <w:szCs w:val="32"/>
          <w:u w:color="000000"/>
        </w:rPr>
        <w:t>保定市徐水</w:t>
      </w:r>
      <w:r>
        <w:rPr>
          <w:rFonts w:hint="eastAsia" w:ascii="仿宋_GB2312" w:eastAsia="仿宋_GB2312" w:cs="仿宋_GB2312"/>
          <w:sz w:val="32"/>
          <w:szCs w:val="32"/>
        </w:rPr>
        <w:t>区总工会</w:t>
      </w:r>
      <w:r>
        <w:rPr>
          <w:rFonts w:hint="eastAsia" w:ascii="仿宋_GB2312" w:hAnsi="宋体" w:eastAsia="仿宋_GB2312" w:cs="仿宋_GB2312"/>
          <w:sz w:val="32"/>
          <w:szCs w:val="32"/>
          <w:u w:color="000000"/>
        </w:rPr>
        <w:t>部门基本情况及主要职责</w:t>
      </w:r>
    </w:p>
    <w:p w14:paraId="28CF593A">
      <w:pPr>
        <w:spacing w:after="0" w:line="540" w:lineRule="exact"/>
        <w:ind w:firstLine="960" w:firstLineChars="300"/>
        <w:jc w:val="both"/>
        <w:textAlignment w:val="baseline"/>
        <w:rPr>
          <w:rFonts w:ascii="仿宋_GB2312" w:hAnsi="宋体" w:eastAsia="仿宋_GB2312"/>
          <w:sz w:val="32"/>
          <w:szCs w:val="32"/>
          <w:u w:color="000000"/>
        </w:rPr>
      </w:pPr>
      <w:r>
        <w:rPr>
          <w:rFonts w:ascii="仿宋_GB2312" w:hAnsi="宋体" w:eastAsia="仿宋_GB2312" w:cs="仿宋_GB2312"/>
          <w:sz w:val="32"/>
          <w:szCs w:val="32"/>
          <w:u w:color="000000"/>
        </w:rPr>
        <w:t>2.2021</w:t>
      </w:r>
      <w:r>
        <w:rPr>
          <w:rFonts w:hint="eastAsia" w:ascii="仿宋_GB2312" w:hAnsi="宋体" w:eastAsia="仿宋_GB2312" w:cs="仿宋_GB2312"/>
          <w:sz w:val="32"/>
          <w:szCs w:val="32"/>
          <w:u w:color="000000"/>
        </w:rPr>
        <w:t>年度保定市徐水区</w:t>
      </w:r>
      <w:r>
        <w:rPr>
          <w:rFonts w:hint="eastAsia" w:ascii="仿宋_GB2312" w:eastAsia="仿宋_GB2312" w:cs="仿宋_GB2312"/>
          <w:sz w:val="32"/>
          <w:szCs w:val="32"/>
        </w:rPr>
        <w:t>区总工会</w:t>
      </w:r>
      <w:r>
        <w:rPr>
          <w:rFonts w:hint="eastAsia" w:ascii="仿宋_GB2312" w:hAnsi="宋体" w:eastAsia="仿宋_GB2312" w:cs="仿宋_GB2312"/>
          <w:sz w:val="32"/>
          <w:szCs w:val="32"/>
          <w:u w:color="000000"/>
        </w:rPr>
        <w:t>收支预算及决算明细表</w:t>
      </w:r>
    </w:p>
    <w:p w14:paraId="75FC931E">
      <w:pPr>
        <w:spacing w:after="0" w:line="540" w:lineRule="exact"/>
        <w:ind w:firstLine="960" w:firstLineChars="300"/>
        <w:jc w:val="both"/>
        <w:textAlignment w:val="baseline"/>
        <w:rPr>
          <w:rFonts w:ascii="仿宋_GB2312" w:hAnsi="宋体" w:eastAsia="仿宋_GB2312"/>
          <w:sz w:val="32"/>
          <w:szCs w:val="32"/>
          <w:u w:color="000000"/>
        </w:rPr>
      </w:pPr>
      <w:bookmarkStart w:id="75" w:name="_Toc465149534"/>
      <w:r>
        <w:rPr>
          <w:rFonts w:ascii="仿宋_GB2312" w:hAnsi="宋体" w:eastAsia="仿宋_GB2312" w:cs="仿宋_GB2312"/>
          <w:sz w:val="32"/>
          <w:szCs w:val="32"/>
          <w:u w:color="000000"/>
        </w:rPr>
        <w:t>3.</w:t>
      </w:r>
      <w:bookmarkEnd w:id="75"/>
      <w:r>
        <w:rPr>
          <w:rFonts w:hint="eastAsia" w:ascii="仿宋_GB2312" w:hAnsi="宋体" w:eastAsia="仿宋_GB2312" w:cs="仿宋_GB2312"/>
          <w:sz w:val="32"/>
          <w:szCs w:val="32"/>
          <w:u w:color="000000"/>
        </w:rPr>
        <w:t>部门整体支出绩效评价指标体系</w:t>
      </w:r>
    </w:p>
    <w:p w14:paraId="7D7D4A89">
      <w:pPr>
        <w:spacing w:after="0" w:line="540" w:lineRule="exact"/>
        <w:ind w:firstLine="960" w:firstLineChars="300"/>
        <w:jc w:val="both"/>
        <w:textAlignment w:val="baseline"/>
        <w:rPr>
          <w:rFonts w:ascii="仿宋_GB2312" w:hAnsi="宋体" w:eastAsia="仿宋_GB2312"/>
          <w:sz w:val="32"/>
          <w:szCs w:val="32"/>
          <w:u w:color="000000"/>
        </w:rPr>
      </w:pPr>
      <w:bookmarkStart w:id="76" w:name="_Toc465149544"/>
      <w:r>
        <w:rPr>
          <w:rFonts w:ascii="仿宋_GB2312" w:hAnsi="宋体" w:eastAsia="仿宋_GB2312" w:cs="仿宋_GB2312"/>
          <w:sz w:val="32"/>
          <w:szCs w:val="32"/>
          <w:u w:color="000000"/>
        </w:rPr>
        <w:t>4.</w:t>
      </w:r>
      <w:bookmarkEnd w:id="76"/>
      <w:r>
        <w:rPr>
          <w:rFonts w:ascii="仿宋_GB2312" w:hAnsi="宋体" w:eastAsia="仿宋_GB2312" w:cs="仿宋_GB2312"/>
          <w:sz w:val="32"/>
          <w:szCs w:val="32"/>
          <w:u w:color="000000"/>
        </w:rPr>
        <w:t>2021</w:t>
      </w:r>
      <w:r>
        <w:rPr>
          <w:rFonts w:hint="eastAsia" w:ascii="仿宋_GB2312" w:hAnsi="宋体" w:eastAsia="仿宋_GB2312" w:cs="仿宋_GB2312"/>
          <w:sz w:val="32"/>
          <w:szCs w:val="32"/>
          <w:u w:color="000000"/>
        </w:rPr>
        <w:t>年徐水区</w:t>
      </w:r>
      <w:r>
        <w:rPr>
          <w:rFonts w:hint="eastAsia" w:ascii="仿宋_GB2312" w:eastAsia="仿宋_GB2312" w:cs="仿宋_GB2312"/>
          <w:sz w:val="32"/>
          <w:szCs w:val="32"/>
        </w:rPr>
        <w:t>总工会</w:t>
      </w:r>
      <w:r>
        <w:rPr>
          <w:rFonts w:hint="eastAsia" w:ascii="仿宋_GB2312" w:hAnsi="宋体" w:eastAsia="仿宋_GB2312" w:cs="仿宋_GB2312"/>
          <w:sz w:val="32"/>
          <w:szCs w:val="32"/>
          <w:u w:color="000000"/>
        </w:rPr>
        <w:t>工作活动绩效目标、绩效指标一览表</w:t>
      </w:r>
      <w:bookmarkEnd w:id="74"/>
    </w:p>
    <w:p w14:paraId="6115C73A">
      <w:pPr>
        <w:spacing w:line="540" w:lineRule="exact"/>
        <w:ind w:firstLine="640" w:firstLineChars="200"/>
        <w:jc w:val="both"/>
        <w:textAlignment w:val="baseline"/>
        <w:rPr>
          <w:rFonts w:ascii="仿宋_GB2312" w:hAnsi="宋体" w:eastAsia="仿宋_GB2312"/>
          <w:sz w:val="32"/>
          <w:szCs w:val="32"/>
          <w:u w:color="000000"/>
        </w:rPr>
      </w:pPr>
    </w:p>
    <w:p w14:paraId="40CB2A31">
      <w:pPr>
        <w:spacing w:line="540" w:lineRule="exact"/>
        <w:ind w:firstLine="640" w:firstLineChars="200"/>
        <w:jc w:val="both"/>
        <w:textAlignment w:val="baseline"/>
        <w:rPr>
          <w:rFonts w:ascii="仿宋_GB2312" w:hAnsi="宋体" w:eastAsia="仿宋_GB2312"/>
          <w:sz w:val="32"/>
          <w:szCs w:val="32"/>
          <w:u w:color="000000"/>
        </w:rPr>
      </w:pPr>
    </w:p>
    <w:p w14:paraId="39A965F5">
      <w:pPr>
        <w:spacing w:line="540" w:lineRule="exact"/>
        <w:ind w:firstLine="640" w:firstLineChars="200"/>
        <w:jc w:val="both"/>
        <w:textAlignment w:val="baseline"/>
        <w:rPr>
          <w:rFonts w:ascii="仿宋_GB2312" w:hAnsi="宋体" w:eastAsia="仿宋_GB2312"/>
          <w:sz w:val="32"/>
          <w:szCs w:val="32"/>
          <w:u w:color="000000"/>
        </w:rPr>
      </w:pPr>
    </w:p>
    <w:p w14:paraId="71758E74">
      <w:pPr>
        <w:spacing w:line="540" w:lineRule="exact"/>
        <w:ind w:firstLine="640" w:firstLineChars="200"/>
        <w:jc w:val="both"/>
        <w:textAlignment w:val="baseline"/>
        <w:rPr>
          <w:rFonts w:ascii="仿宋_GB2312" w:hAnsi="宋体" w:eastAsia="仿宋_GB2312"/>
          <w:sz w:val="32"/>
          <w:szCs w:val="32"/>
          <w:u w:color="000000"/>
        </w:rPr>
      </w:pPr>
    </w:p>
    <w:sectPr>
      <w:footerReference r:id="rId5" w:type="default"/>
      <w:pgSz w:w="11906" w:h="16838"/>
      <w:pgMar w:top="1440" w:right="1797" w:bottom="1191" w:left="1797" w:header="709" w:footer="709"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11146">
    <w:pPr>
      <w:pStyle w:val="14"/>
      <w:jc w:val="center"/>
    </w:pPr>
  </w:p>
  <w:p w14:paraId="617B529B">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805A1">
    <w:pPr>
      <w:pStyle w:val="14"/>
      <w:jc w:val="center"/>
    </w:pPr>
    <w:r>
      <w:fldChar w:fldCharType="begin"/>
    </w:r>
    <w:r>
      <w:instrText xml:space="preserve"> PAGE   \* MERGEFORMAT </w:instrText>
    </w:r>
    <w:r>
      <w:fldChar w:fldCharType="separate"/>
    </w:r>
    <w:r>
      <w:rPr>
        <w:lang w:val="zh-CN"/>
      </w:rPr>
      <w:t>27</w:t>
    </w:r>
    <w:r>
      <w:rPr>
        <w:lang w:val="zh-CN"/>
      </w:rPr>
      <w:fldChar w:fldCharType="end"/>
    </w:r>
  </w:p>
  <w:p w14:paraId="7BBD95F4">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720"/>
  <w:doNotHyphenateCaps/>
  <w:noPunctuationKerning w:val="1"/>
  <w:characterSpacingControl w:val="doNotCompress"/>
  <w:noLineBreaksAfter w:lang="zh-CN" w:val="$([{£¥·‘“〈《「『【〔〖〝﹙﹛﹝＄（．［｛￡￥"/>
  <w:noLineBreaksBefore w:lang="zh-CN" w:val="!%),.:;&gt;?]}¢¨°·ˇˉ―‖’”…‰′″›℃∶、。〃〉》」』】〕〗〞︶︺︾﹀﹄﹚﹜﹞！＂％＇），．：；？］｀｜｝～￠"/>
  <w:doNotValidateAgainstSchema/>
  <w:doNotDemarcateInvalidXml/>
  <w:footnotePr>
    <w:footnote w:id="0"/>
    <w:footnote w:id="1"/>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hjMmIxYWJkODNhYmEwMzRiM2Y2ZTRiM2ZmYThmNTYifQ=="/>
  </w:docVars>
  <w:rsids>
    <w:rsidRoot w:val="00D31D50"/>
    <w:rsid w:val="00004179"/>
    <w:rsid w:val="0000439F"/>
    <w:rsid w:val="00005C45"/>
    <w:rsid w:val="00007CA0"/>
    <w:rsid w:val="00011687"/>
    <w:rsid w:val="000132F3"/>
    <w:rsid w:val="00015C39"/>
    <w:rsid w:val="000174D3"/>
    <w:rsid w:val="0002415F"/>
    <w:rsid w:val="00025620"/>
    <w:rsid w:val="00025DE6"/>
    <w:rsid w:val="0002705B"/>
    <w:rsid w:val="00027F13"/>
    <w:rsid w:val="000317D7"/>
    <w:rsid w:val="00032963"/>
    <w:rsid w:val="00032B03"/>
    <w:rsid w:val="000334C2"/>
    <w:rsid w:val="0003450B"/>
    <w:rsid w:val="0003465E"/>
    <w:rsid w:val="00034910"/>
    <w:rsid w:val="0003506D"/>
    <w:rsid w:val="000409C0"/>
    <w:rsid w:val="0004123E"/>
    <w:rsid w:val="00044599"/>
    <w:rsid w:val="000446E5"/>
    <w:rsid w:val="00044A25"/>
    <w:rsid w:val="00044B0A"/>
    <w:rsid w:val="00047D49"/>
    <w:rsid w:val="00047D7B"/>
    <w:rsid w:val="000509B6"/>
    <w:rsid w:val="00050A62"/>
    <w:rsid w:val="000516BA"/>
    <w:rsid w:val="00051DBC"/>
    <w:rsid w:val="00052010"/>
    <w:rsid w:val="00061096"/>
    <w:rsid w:val="000612A2"/>
    <w:rsid w:val="0006302C"/>
    <w:rsid w:val="00063117"/>
    <w:rsid w:val="000656FA"/>
    <w:rsid w:val="00065DEF"/>
    <w:rsid w:val="0007193D"/>
    <w:rsid w:val="00072BF5"/>
    <w:rsid w:val="00072EE3"/>
    <w:rsid w:val="000752C6"/>
    <w:rsid w:val="00075B78"/>
    <w:rsid w:val="00077648"/>
    <w:rsid w:val="00077CB7"/>
    <w:rsid w:val="000806F0"/>
    <w:rsid w:val="0008095D"/>
    <w:rsid w:val="00080E48"/>
    <w:rsid w:val="000825BA"/>
    <w:rsid w:val="00090C2D"/>
    <w:rsid w:val="00091D50"/>
    <w:rsid w:val="000935D5"/>
    <w:rsid w:val="0009618D"/>
    <w:rsid w:val="00096195"/>
    <w:rsid w:val="00096682"/>
    <w:rsid w:val="0009756F"/>
    <w:rsid w:val="000A1F67"/>
    <w:rsid w:val="000A2079"/>
    <w:rsid w:val="000A3052"/>
    <w:rsid w:val="000A5467"/>
    <w:rsid w:val="000B09F3"/>
    <w:rsid w:val="000B0C4A"/>
    <w:rsid w:val="000B23E8"/>
    <w:rsid w:val="000B62FE"/>
    <w:rsid w:val="000B72BC"/>
    <w:rsid w:val="000B72D7"/>
    <w:rsid w:val="000B78D7"/>
    <w:rsid w:val="000C1EA5"/>
    <w:rsid w:val="000C36B8"/>
    <w:rsid w:val="000C52FB"/>
    <w:rsid w:val="000C55E6"/>
    <w:rsid w:val="000C6D5A"/>
    <w:rsid w:val="000D09B2"/>
    <w:rsid w:val="000D510F"/>
    <w:rsid w:val="000D7C38"/>
    <w:rsid w:val="000E0902"/>
    <w:rsid w:val="000E1A0B"/>
    <w:rsid w:val="000E3830"/>
    <w:rsid w:val="000E4098"/>
    <w:rsid w:val="000F070B"/>
    <w:rsid w:val="000F0C40"/>
    <w:rsid w:val="000F3158"/>
    <w:rsid w:val="000F364D"/>
    <w:rsid w:val="000F4432"/>
    <w:rsid w:val="000F465E"/>
    <w:rsid w:val="000F5E8C"/>
    <w:rsid w:val="001000B2"/>
    <w:rsid w:val="0010435E"/>
    <w:rsid w:val="00104C6C"/>
    <w:rsid w:val="0010560E"/>
    <w:rsid w:val="0010612A"/>
    <w:rsid w:val="00106FF7"/>
    <w:rsid w:val="00107111"/>
    <w:rsid w:val="001073D6"/>
    <w:rsid w:val="00107819"/>
    <w:rsid w:val="00110850"/>
    <w:rsid w:val="0011574B"/>
    <w:rsid w:val="00116132"/>
    <w:rsid w:val="00117B9C"/>
    <w:rsid w:val="00117E7D"/>
    <w:rsid w:val="00120EA6"/>
    <w:rsid w:val="00122196"/>
    <w:rsid w:val="0012439D"/>
    <w:rsid w:val="0012587C"/>
    <w:rsid w:val="0013591D"/>
    <w:rsid w:val="00141463"/>
    <w:rsid w:val="001417AB"/>
    <w:rsid w:val="00141DE8"/>
    <w:rsid w:val="00144105"/>
    <w:rsid w:val="00145B4E"/>
    <w:rsid w:val="001544E1"/>
    <w:rsid w:val="001551CE"/>
    <w:rsid w:val="00164732"/>
    <w:rsid w:val="00164905"/>
    <w:rsid w:val="00164FE1"/>
    <w:rsid w:val="001703D7"/>
    <w:rsid w:val="0017130D"/>
    <w:rsid w:val="001719D0"/>
    <w:rsid w:val="00172245"/>
    <w:rsid w:val="0017403C"/>
    <w:rsid w:val="001741E8"/>
    <w:rsid w:val="00174241"/>
    <w:rsid w:val="001751E6"/>
    <w:rsid w:val="00176E7D"/>
    <w:rsid w:val="001804B7"/>
    <w:rsid w:val="001827F5"/>
    <w:rsid w:val="00183C43"/>
    <w:rsid w:val="00184F8E"/>
    <w:rsid w:val="00185652"/>
    <w:rsid w:val="00187750"/>
    <w:rsid w:val="00190292"/>
    <w:rsid w:val="001926B8"/>
    <w:rsid w:val="0019341A"/>
    <w:rsid w:val="001952EC"/>
    <w:rsid w:val="001A0F7A"/>
    <w:rsid w:val="001A1677"/>
    <w:rsid w:val="001A402E"/>
    <w:rsid w:val="001A5FD3"/>
    <w:rsid w:val="001B0380"/>
    <w:rsid w:val="001B04A4"/>
    <w:rsid w:val="001B0A74"/>
    <w:rsid w:val="001B30D5"/>
    <w:rsid w:val="001B382A"/>
    <w:rsid w:val="001B5C88"/>
    <w:rsid w:val="001B6CE6"/>
    <w:rsid w:val="001C046D"/>
    <w:rsid w:val="001C0EA5"/>
    <w:rsid w:val="001C1412"/>
    <w:rsid w:val="001C391F"/>
    <w:rsid w:val="001C5135"/>
    <w:rsid w:val="001C796E"/>
    <w:rsid w:val="001D1367"/>
    <w:rsid w:val="001D5041"/>
    <w:rsid w:val="001D5A7C"/>
    <w:rsid w:val="001D76AA"/>
    <w:rsid w:val="001E21EA"/>
    <w:rsid w:val="001E288A"/>
    <w:rsid w:val="001E3ABB"/>
    <w:rsid w:val="001E4C24"/>
    <w:rsid w:val="001E5C43"/>
    <w:rsid w:val="001E7745"/>
    <w:rsid w:val="001F07B6"/>
    <w:rsid w:val="001F0B92"/>
    <w:rsid w:val="001F1094"/>
    <w:rsid w:val="001F2F0E"/>
    <w:rsid w:val="001F32AD"/>
    <w:rsid w:val="001F33AA"/>
    <w:rsid w:val="001F6236"/>
    <w:rsid w:val="001F6BC3"/>
    <w:rsid w:val="00200051"/>
    <w:rsid w:val="00202D5A"/>
    <w:rsid w:val="00205F02"/>
    <w:rsid w:val="00207701"/>
    <w:rsid w:val="0021307B"/>
    <w:rsid w:val="002142B8"/>
    <w:rsid w:val="002161F4"/>
    <w:rsid w:val="00216E75"/>
    <w:rsid w:val="00221907"/>
    <w:rsid w:val="00222FA8"/>
    <w:rsid w:val="0022532A"/>
    <w:rsid w:val="00227AF3"/>
    <w:rsid w:val="00227AFB"/>
    <w:rsid w:val="00235741"/>
    <w:rsid w:val="00236B18"/>
    <w:rsid w:val="002401EA"/>
    <w:rsid w:val="00240A04"/>
    <w:rsid w:val="00241B9D"/>
    <w:rsid w:val="002439D4"/>
    <w:rsid w:val="00245CB2"/>
    <w:rsid w:val="00246A44"/>
    <w:rsid w:val="00250BAC"/>
    <w:rsid w:val="00251C23"/>
    <w:rsid w:val="002527E1"/>
    <w:rsid w:val="00260245"/>
    <w:rsid w:val="002602C3"/>
    <w:rsid w:val="0026252A"/>
    <w:rsid w:val="00262BB1"/>
    <w:rsid w:val="00263D3A"/>
    <w:rsid w:val="002643BE"/>
    <w:rsid w:val="00265325"/>
    <w:rsid w:val="00266E84"/>
    <w:rsid w:val="002715FC"/>
    <w:rsid w:val="002736FD"/>
    <w:rsid w:val="00274CFA"/>
    <w:rsid w:val="00275677"/>
    <w:rsid w:val="00275A3F"/>
    <w:rsid w:val="00277113"/>
    <w:rsid w:val="0028068C"/>
    <w:rsid w:val="00282A89"/>
    <w:rsid w:val="00282FF8"/>
    <w:rsid w:val="00283F8F"/>
    <w:rsid w:val="00286358"/>
    <w:rsid w:val="002869F9"/>
    <w:rsid w:val="00292F98"/>
    <w:rsid w:val="002939A0"/>
    <w:rsid w:val="002959A3"/>
    <w:rsid w:val="0029626E"/>
    <w:rsid w:val="00296E59"/>
    <w:rsid w:val="002979B7"/>
    <w:rsid w:val="00297CEF"/>
    <w:rsid w:val="002A0364"/>
    <w:rsid w:val="002A1661"/>
    <w:rsid w:val="002A1A25"/>
    <w:rsid w:val="002A3508"/>
    <w:rsid w:val="002A563C"/>
    <w:rsid w:val="002A7617"/>
    <w:rsid w:val="002B05EF"/>
    <w:rsid w:val="002B2388"/>
    <w:rsid w:val="002B2E34"/>
    <w:rsid w:val="002B76FA"/>
    <w:rsid w:val="002C029E"/>
    <w:rsid w:val="002C2C71"/>
    <w:rsid w:val="002C4966"/>
    <w:rsid w:val="002C4EFF"/>
    <w:rsid w:val="002C5A65"/>
    <w:rsid w:val="002C71F3"/>
    <w:rsid w:val="002D2112"/>
    <w:rsid w:val="002D53D7"/>
    <w:rsid w:val="002D5508"/>
    <w:rsid w:val="002D5FC1"/>
    <w:rsid w:val="002D6668"/>
    <w:rsid w:val="002D7AB3"/>
    <w:rsid w:val="002E1D3C"/>
    <w:rsid w:val="002E1F73"/>
    <w:rsid w:val="002E269D"/>
    <w:rsid w:val="002E3460"/>
    <w:rsid w:val="002E3C97"/>
    <w:rsid w:val="002E62BF"/>
    <w:rsid w:val="002E70AE"/>
    <w:rsid w:val="002F0C41"/>
    <w:rsid w:val="002F5B6A"/>
    <w:rsid w:val="002F5BF5"/>
    <w:rsid w:val="002F5ECA"/>
    <w:rsid w:val="00301311"/>
    <w:rsid w:val="00303D41"/>
    <w:rsid w:val="00306572"/>
    <w:rsid w:val="003079C7"/>
    <w:rsid w:val="0031159D"/>
    <w:rsid w:val="0031318C"/>
    <w:rsid w:val="003144FB"/>
    <w:rsid w:val="003169F3"/>
    <w:rsid w:val="00316A0F"/>
    <w:rsid w:val="00317436"/>
    <w:rsid w:val="0032078D"/>
    <w:rsid w:val="00321CE0"/>
    <w:rsid w:val="0032231F"/>
    <w:rsid w:val="00323B43"/>
    <w:rsid w:val="00325BCC"/>
    <w:rsid w:val="00326FA5"/>
    <w:rsid w:val="003309A3"/>
    <w:rsid w:val="003345BC"/>
    <w:rsid w:val="00343662"/>
    <w:rsid w:val="0035365E"/>
    <w:rsid w:val="00355403"/>
    <w:rsid w:val="003569A8"/>
    <w:rsid w:val="003603D7"/>
    <w:rsid w:val="00361FFF"/>
    <w:rsid w:val="00362340"/>
    <w:rsid w:val="003653A5"/>
    <w:rsid w:val="00366971"/>
    <w:rsid w:val="00367DF7"/>
    <w:rsid w:val="00370AFA"/>
    <w:rsid w:val="0037120F"/>
    <w:rsid w:val="003715C3"/>
    <w:rsid w:val="0037242E"/>
    <w:rsid w:val="003743E9"/>
    <w:rsid w:val="0037737B"/>
    <w:rsid w:val="0038005F"/>
    <w:rsid w:val="003803CC"/>
    <w:rsid w:val="00382949"/>
    <w:rsid w:val="00391AE3"/>
    <w:rsid w:val="00393C77"/>
    <w:rsid w:val="00396D4C"/>
    <w:rsid w:val="003A02BE"/>
    <w:rsid w:val="003A1721"/>
    <w:rsid w:val="003A1765"/>
    <w:rsid w:val="003A3C32"/>
    <w:rsid w:val="003A4AC3"/>
    <w:rsid w:val="003A4D02"/>
    <w:rsid w:val="003A4D52"/>
    <w:rsid w:val="003A536E"/>
    <w:rsid w:val="003A718D"/>
    <w:rsid w:val="003B02A3"/>
    <w:rsid w:val="003B6DEC"/>
    <w:rsid w:val="003B79D3"/>
    <w:rsid w:val="003C2B92"/>
    <w:rsid w:val="003D004B"/>
    <w:rsid w:val="003D126B"/>
    <w:rsid w:val="003D1382"/>
    <w:rsid w:val="003D1D33"/>
    <w:rsid w:val="003D22C9"/>
    <w:rsid w:val="003D28AC"/>
    <w:rsid w:val="003D3733"/>
    <w:rsid w:val="003D37D8"/>
    <w:rsid w:val="003D7663"/>
    <w:rsid w:val="003D7B2A"/>
    <w:rsid w:val="003E266C"/>
    <w:rsid w:val="003E3C05"/>
    <w:rsid w:val="003E6F2A"/>
    <w:rsid w:val="003F13DD"/>
    <w:rsid w:val="003F282F"/>
    <w:rsid w:val="00400E89"/>
    <w:rsid w:val="00401AB4"/>
    <w:rsid w:val="00402CA2"/>
    <w:rsid w:val="00402D95"/>
    <w:rsid w:val="00403ADD"/>
    <w:rsid w:val="00407629"/>
    <w:rsid w:val="004108EE"/>
    <w:rsid w:val="00410F1A"/>
    <w:rsid w:val="00412A31"/>
    <w:rsid w:val="004200B9"/>
    <w:rsid w:val="00426133"/>
    <w:rsid w:val="004300B1"/>
    <w:rsid w:val="00430AF8"/>
    <w:rsid w:val="0043148F"/>
    <w:rsid w:val="0043354D"/>
    <w:rsid w:val="00434EB0"/>
    <w:rsid w:val="004358AB"/>
    <w:rsid w:val="00435DA7"/>
    <w:rsid w:val="004370A2"/>
    <w:rsid w:val="00437865"/>
    <w:rsid w:val="00445C28"/>
    <w:rsid w:val="004468B5"/>
    <w:rsid w:val="00451E9F"/>
    <w:rsid w:val="00452F10"/>
    <w:rsid w:val="004551F1"/>
    <w:rsid w:val="004554CD"/>
    <w:rsid w:val="00456648"/>
    <w:rsid w:val="00457E00"/>
    <w:rsid w:val="00461E7C"/>
    <w:rsid w:val="004639CB"/>
    <w:rsid w:val="004639E0"/>
    <w:rsid w:val="00463A6D"/>
    <w:rsid w:val="00465A21"/>
    <w:rsid w:val="004676B4"/>
    <w:rsid w:val="0047029F"/>
    <w:rsid w:val="0047047F"/>
    <w:rsid w:val="00472532"/>
    <w:rsid w:val="0047276D"/>
    <w:rsid w:val="00472C49"/>
    <w:rsid w:val="00474702"/>
    <w:rsid w:val="00474DE3"/>
    <w:rsid w:val="00476219"/>
    <w:rsid w:val="00477959"/>
    <w:rsid w:val="00477D75"/>
    <w:rsid w:val="00486217"/>
    <w:rsid w:val="00486A56"/>
    <w:rsid w:val="00486D58"/>
    <w:rsid w:val="0049169E"/>
    <w:rsid w:val="00494D73"/>
    <w:rsid w:val="004A19C4"/>
    <w:rsid w:val="004A6EA4"/>
    <w:rsid w:val="004B146A"/>
    <w:rsid w:val="004B1E69"/>
    <w:rsid w:val="004B4146"/>
    <w:rsid w:val="004B5892"/>
    <w:rsid w:val="004B59DD"/>
    <w:rsid w:val="004B5E88"/>
    <w:rsid w:val="004B5EDE"/>
    <w:rsid w:val="004C0341"/>
    <w:rsid w:val="004C46D3"/>
    <w:rsid w:val="004C5D39"/>
    <w:rsid w:val="004C7656"/>
    <w:rsid w:val="004C7C48"/>
    <w:rsid w:val="004D21B9"/>
    <w:rsid w:val="004D21FF"/>
    <w:rsid w:val="004D2DD5"/>
    <w:rsid w:val="004D41F0"/>
    <w:rsid w:val="004D55F1"/>
    <w:rsid w:val="004D578A"/>
    <w:rsid w:val="004D656B"/>
    <w:rsid w:val="004D7523"/>
    <w:rsid w:val="004E0AA9"/>
    <w:rsid w:val="004E1AEF"/>
    <w:rsid w:val="004E1F6A"/>
    <w:rsid w:val="004E3774"/>
    <w:rsid w:val="004E446B"/>
    <w:rsid w:val="004E5448"/>
    <w:rsid w:val="004E5DFC"/>
    <w:rsid w:val="004E642E"/>
    <w:rsid w:val="004E7ADC"/>
    <w:rsid w:val="004F4875"/>
    <w:rsid w:val="004F5681"/>
    <w:rsid w:val="005024D5"/>
    <w:rsid w:val="005031BA"/>
    <w:rsid w:val="00507211"/>
    <w:rsid w:val="00507934"/>
    <w:rsid w:val="005105FB"/>
    <w:rsid w:val="005108E7"/>
    <w:rsid w:val="0051171B"/>
    <w:rsid w:val="00512D1D"/>
    <w:rsid w:val="005131A5"/>
    <w:rsid w:val="00515160"/>
    <w:rsid w:val="00515C9F"/>
    <w:rsid w:val="00516D5A"/>
    <w:rsid w:val="005170FB"/>
    <w:rsid w:val="00517898"/>
    <w:rsid w:val="0052025E"/>
    <w:rsid w:val="0052300D"/>
    <w:rsid w:val="00523B77"/>
    <w:rsid w:val="0052474C"/>
    <w:rsid w:val="00525074"/>
    <w:rsid w:val="00525520"/>
    <w:rsid w:val="005319EE"/>
    <w:rsid w:val="00531BE2"/>
    <w:rsid w:val="0053701E"/>
    <w:rsid w:val="005417A8"/>
    <w:rsid w:val="005421AC"/>
    <w:rsid w:val="00544C1A"/>
    <w:rsid w:val="00546D1B"/>
    <w:rsid w:val="0055027D"/>
    <w:rsid w:val="00553A8B"/>
    <w:rsid w:val="00554FA1"/>
    <w:rsid w:val="00556934"/>
    <w:rsid w:val="0055755C"/>
    <w:rsid w:val="005607DF"/>
    <w:rsid w:val="00564377"/>
    <w:rsid w:val="00564538"/>
    <w:rsid w:val="00565BCC"/>
    <w:rsid w:val="00566A89"/>
    <w:rsid w:val="00567E07"/>
    <w:rsid w:val="0057630F"/>
    <w:rsid w:val="005771F7"/>
    <w:rsid w:val="00577B7B"/>
    <w:rsid w:val="0058247E"/>
    <w:rsid w:val="005825ED"/>
    <w:rsid w:val="00583F7F"/>
    <w:rsid w:val="0058600B"/>
    <w:rsid w:val="00586B71"/>
    <w:rsid w:val="00587913"/>
    <w:rsid w:val="00593428"/>
    <w:rsid w:val="00593B65"/>
    <w:rsid w:val="005A15D6"/>
    <w:rsid w:val="005A1FD8"/>
    <w:rsid w:val="005A317D"/>
    <w:rsid w:val="005A79F9"/>
    <w:rsid w:val="005C04A7"/>
    <w:rsid w:val="005C04E0"/>
    <w:rsid w:val="005C3594"/>
    <w:rsid w:val="005C46B7"/>
    <w:rsid w:val="005C7C8B"/>
    <w:rsid w:val="005D4C1F"/>
    <w:rsid w:val="005D5617"/>
    <w:rsid w:val="005D6591"/>
    <w:rsid w:val="005D6869"/>
    <w:rsid w:val="005D7446"/>
    <w:rsid w:val="005E5F88"/>
    <w:rsid w:val="005E722A"/>
    <w:rsid w:val="005F06F5"/>
    <w:rsid w:val="005F46C0"/>
    <w:rsid w:val="005F471D"/>
    <w:rsid w:val="005F720A"/>
    <w:rsid w:val="005F7467"/>
    <w:rsid w:val="005F78E7"/>
    <w:rsid w:val="006007F3"/>
    <w:rsid w:val="0060402C"/>
    <w:rsid w:val="006050E8"/>
    <w:rsid w:val="00605975"/>
    <w:rsid w:val="0061252A"/>
    <w:rsid w:val="00613338"/>
    <w:rsid w:val="006133CD"/>
    <w:rsid w:val="006135B3"/>
    <w:rsid w:val="006138D4"/>
    <w:rsid w:val="00616C03"/>
    <w:rsid w:val="00616F30"/>
    <w:rsid w:val="006215A2"/>
    <w:rsid w:val="00621BB8"/>
    <w:rsid w:val="00621F7D"/>
    <w:rsid w:val="00622AD1"/>
    <w:rsid w:val="00623267"/>
    <w:rsid w:val="00625428"/>
    <w:rsid w:val="00626421"/>
    <w:rsid w:val="0062670B"/>
    <w:rsid w:val="00630B86"/>
    <w:rsid w:val="00630F5B"/>
    <w:rsid w:val="00634C66"/>
    <w:rsid w:val="006352D1"/>
    <w:rsid w:val="00636E1A"/>
    <w:rsid w:val="00642BA5"/>
    <w:rsid w:val="006434E0"/>
    <w:rsid w:val="00650C90"/>
    <w:rsid w:val="0065172D"/>
    <w:rsid w:val="0065287D"/>
    <w:rsid w:val="00654649"/>
    <w:rsid w:val="0065671B"/>
    <w:rsid w:val="00656A5A"/>
    <w:rsid w:val="00663A42"/>
    <w:rsid w:val="0066418E"/>
    <w:rsid w:val="0066469F"/>
    <w:rsid w:val="00664DC7"/>
    <w:rsid w:val="00671AD4"/>
    <w:rsid w:val="00676566"/>
    <w:rsid w:val="0067780F"/>
    <w:rsid w:val="00680B9F"/>
    <w:rsid w:val="0068140F"/>
    <w:rsid w:val="00684287"/>
    <w:rsid w:val="0068432B"/>
    <w:rsid w:val="00686C30"/>
    <w:rsid w:val="00687252"/>
    <w:rsid w:val="00690FA3"/>
    <w:rsid w:val="0069331D"/>
    <w:rsid w:val="00694BC9"/>
    <w:rsid w:val="00696DF8"/>
    <w:rsid w:val="0069783E"/>
    <w:rsid w:val="00697E26"/>
    <w:rsid w:val="006A0330"/>
    <w:rsid w:val="006A3AE1"/>
    <w:rsid w:val="006A3B57"/>
    <w:rsid w:val="006A6958"/>
    <w:rsid w:val="006A6AB2"/>
    <w:rsid w:val="006B117D"/>
    <w:rsid w:val="006B19B7"/>
    <w:rsid w:val="006B392C"/>
    <w:rsid w:val="006B4CC0"/>
    <w:rsid w:val="006B65B0"/>
    <w:rsid w:val="006B6F7A"/>
    <w:rsid w:val="006B706A"/>
    <w:rsid w:val="006B7B84"/>
    <w:rsid w:val="006C5198"/>
    <w:rsid w:val="006C6A07"/>
    <w:rsid w:val="006E0A3D"/>
    <w:rsid w:val="006E1D69"/>
    <w:rsid w:val="006E27F1"/>
    <w:rsid w:val="006E5BC8"/>
    <w:rsid w:val="006E7CBA"/>
    <w:rsid w:val="006F222F"/>
    <w:rsid w:val="006F4EDD"/>
    <w:rsid w:val="006F551B"/>
    <w:rsid w:val="006F7B69"/>
    <w:rsid w:val="0070241F"/>
    <w:rsid w:val="007024A9"/>
    <w:rsid w:val="00703C96"/>
    <w:rsid w:val="00704C98"/>
    <w:rsid w:val="007130D7"/>
    <w:rsid w:val="00713E98"/>
    <w:rsid w:val="00715591"/>
    <w:rsid w:val="00715AE8"/>
    <w:rsid w:val="00722103"/>
    <w:rsid w:val="00724206"/>
    <w:rsid w:val="0072516F"/>
    <w:rsid w:val="0073034D"/>
    <w:rsid w:val="00731ADC"/>
    <w:rsid w:val="007330F2"/>
    <w:rsid w:val="00733DB0"/>
    <w:rsid w:val="00735043"/>
    <w:rsid w:val="00740444"/>
    <w:rsid w:val="00744577"/>
    <w:rsid w:val="007452CF"/>
    <w:rsid w:val="00746055"/>
    <w:rsid w:val="00746DA9"/>
    <w:rsid w:val="00747086"/>
    <w:rsid w:val="007515E2"/>
    <w:rsid w:val="00756D66"/>
    <w:rsid w:val="00756E1F"/>
    <w:rsid w:val="00761D80"/>
    <w:rsid w:val="0076364A"/>
    <w:rsid w:val="00766FC5"/>
    <w:rsid w:val="00770E5B"/>
    <w:rsid w:val="00772930"/>
    <w:rsid w:val="00776E20"/>
    <w:rsid w:val="00777599"/>
    <w:rsid w:val="00780704"/>
    <w:rsid w:val="007814AF"/>
    <w:rsid w:val="007825F0"/>
    <w:rsid w:val="00787F88"/>
    <w:rsid w:val="0079487D"/>
    <w:rsid w:val="00794E35"/>
    <w:rsid w:val="00795732"/>
    <w:rsid w:val="0079721A"/>
    <w:rsid w:val="007A095C"/>
    <w:rsid w:val="007A0AF8"/>
    <w:rsid w:val="007A283A"/>
    <w:rsid w:val="007A65C8"/>
    <w:rsid w:val="007A6B16"/>
    <w:rsid w:val="007A7AC4"/>
    <w:rsid w:val="007B639C"/>
    <w:rsid w:val="007B7036"/>
    <w:rsid w:val="007C0870"/>
    <w:rsid w:val="007C2D10"/>
    <w:rsid w:val="007C3118"/>
    <w:rsid w:val="007C3D0B"/>
    <w:rsid w:val="007C457D"/>
    <w:rsid w:val="007C4A22"/>
    <w:rsid w:val="007D02A9"/>
    <w:rsid w:val="007D166D"/>
    <w:rsid w:val="007D17C7"/>
    <w:rsid w:val="007D2766"/>
    <w:rsid w:val="007D2961"/>
    <w:rsid w:val="007D2FF7"/>
    <w:rsid w:val="007D38E6"/>
    <w:rsid w:val="007D49F0"/>
    <w:rsid w:val="007D6C20"/>
    <w:rsid w:val="007D74D8"/>
    <w:rsid w:val="007E13A4"/>
    <w:rsid w:val="007E20CA"/>
    <w:rsid w:val="007E3988"/>
    <w:rsid w:val="007E4698"/>
    <w:rsid w:val="007E6959"/>
    <w:rsid w:val="007E6991"/>
    <w:rsid w:val="007E7A36"/>
    <w:rsid w:val="007F222D"/>
    <w:rsid w:val="007F3FB7"/>
    <w:rsid w:val="007F518D"/>
    <w:rsid w:val="007F68FE"/>
    <w:rsid w:val="007F7E7E"/>
    <w:rsid w:val="00803C29"/>
    <w:rsid w:val="00804E5E"/>
    <w:rsid w:val="00804FAA"/>
    <w:rsid w:val="00805678"/>
    <w:rsid w:val="00805D26"/>
    <w:rsid w:val="0081553D"/>
    <w:rsid w:val="00815BE9"/>
    <w:rsid w:val="00815C94"/>
    <w:rsid w:val="00815CF6"/>
    <w:rsid w:val="00816451"/>
    <w:rsid w:val="00816990"/>
    <w:rsid w:val="00817981"/>
    <w:rsid w:val="008219D5"/>
    <w:rsid w:val="00822851"/>
    <w:rsid w:val="00824A75"/>
    <w:rsid w:val="0082509A"/>
    <w:rsid w:val="00825A51"/>
    <w:rsid w:val="00825D53"/>
    <w:rsid w:val="008272DF"/>
    <w:rsid w:val="00830918"/>
    <w:rsid w:val="00831065"/>
    <w:rsid w:val="00832639"/>
    <w:rsid w:val="008337A7"/>
    <w:rsid w:val="00835998"/>
    <w:rsid w:val="00835BCB"/>
    <w:rsid w:val="00836773"/>
    <w:rsid w:val="00836E6A"/>
    <w:rsid w:val="008410D0"/>
    <w:rsid w:val="00841559"/>
    <w:rsid w:val="0084558B"/>
    <w:rsid w:val="00845924"/>
    <w:rsid w:val="00846107"/>
    <w:rsid w:val="00847E07"/>
    <w:rsid w:val="00851297"/>
    <w:rsid w:val="00852C43"/>
    <w:rsid w:val="00853737"/>
    <w:rsid w:val="008541B8"/>
    <w:rsid w:val="008552AB"/>
    <w:rsid w:val="00857249"/>
    <w:rsid w:val="00861067"/>
    <w:rsid w:val="00862AE2"/>
    <w:rsid w:val="00862C25"/>
    <w:rsid w:val="00863CA2"/>
    <w:rsid w:val="00864A80"/>
    <w:rsid w:val="008655ED"/>
    <w:rsid w:val="00866942"/>
    <w:rsid w:val="00871B0D"/>
    <w:rsid w:val="00871B14"/>
    <w:rsid w:val="008735A1"/>
    <w:rsid w:val="00875962"/>
    <w:rsid w:val="00880325"/>
    <w:rsid w:val="00882ABD"/>
    <w:rsid w:val="008844A4"/>
    <w:rsid w:val="00884A25"/>
    <w:rsid w:val="008857CC"/>
    <w:rsid w:val="00892BB0"/>
    <w:rsid w:val="0089314F"/>
    <w:rsid w:val="0089328E"/>
    <w:rsid w:val="00893689"/>
    <w:rsid w:val="00894E40"/>
    <w:rsid w:val="0089513A"/>
    <w:rsid w:val="00896069"/>
    <w:rsid w:val="00896786"/>
    <w:rsid w:val="0089711A"/>
    <w:rsid w:val="008976AB"/>
    <w:rsid w:val="008A2C15"/>
    <w:rsid w:val="008A3DBA"/>
    <w:rsid w:val="008A483E"/>
    <w:rsid w:val="008A5601"/>
    <w:rsid w:val="008A6383"/>
    <w:rsid w:val="008B2F03"/>
    <w:rsid w:val="008B3F82"/>
    <w:rsid w:val="008B7726"/>
    <w:rsid w:val="008C08EC"/>
    <w:rsid w:val="008C2997"/>
    <w:rsid w:val="008C443B"/>
    <w:rsid w:val="008C538A"/>
    <w:rsid w:val="008D0618"/>
    <w:rsid w:val="008D1AEB"/>
    <w:rsid w:val="008D1E23"/>
    <w:rsid w:val="008D2A7C"/>
    <w:rsid w:val="008D3031"/>
    <w:rsid w:val="008D4F00"/>
    <w:rsid w:val="008D6EDB"/>
    <w:rsid w:val="008D7DBC"/>
    <w:rsid w:val="008E08B2"/>
    <w:rsid w:val="008E0AFC"/>
    <w:rsid w:val="008E1E43"/>
    <w:rsid w:val="008E3116"/>
    <w:rsid w:val="008E637F"/>
    <w:rsid w:val="008E64A5"/>
    <w:rsid w:val="008E66FE"/>
    <w:rsid w:val="008F0026"/>
    <w:rsid w:val="008F1187"/>
    <w:rsid w:val="008F27DB"/>
    <w:rsid w:val="008F2D87"/>
    <w:rsid w:val="008F3386"/>
    <w:rsid w:val="008F5B6F"/>
    <w:rsid w:val="009002A3"/>
    <w:rsid w:val="0090038C"/>
    <w:rsid w:val="009007EC"/>
    <w:rsid w:val="00900DDD"/>
    <w:rsid w:val="00900EF5"/>
    <w:rsid w:val="00901EE5"/>
    <w:rsid w:val="0090421D"/>
    <w:rsid w:val="00906447"/>
    <w:rsid w:val="0091349D"/>
    <w:rsid w:val="009141C7"/>
    <w:rsid w:val="009160EA"/>
    <w:rsid w:val="00917E0F"/>
    <w:rsid w:val="00920597"/>
    <w:rsid w:val="00921E42"/>
    <w:rsid w:val="00922872"/>
    <w:rsid w:val="0092425B"/>
    <w:rsid w:val="00924D39"/>
    <w:rsid w:val="00924FFE"/>
    <w:rsid w:val="009263C3"/>
    <w:rsid w:val="009268AB"/>
    <w:rsid w:val="009364FF"/>
    <w:rsid w:val="00937FC7"/>
    <w:rsid w:val="00942397"/>
    <w:rsid w:val="009425B4"/>
    <w:rsid w:val="00946F52"/>
    <w:rsid w:val="00950F44"/>
    <w:rsid w:val="00952A7D"/>
    <w:rsid w:val="00952BF8"/>
    <w:rsid w:val="00953747"/>
    <w:rsid w:val="0095565A"/>
    <w:rsid w:val="00955918"/>
    <w:rsid w:val="00960439"/>
    <w:rsid w:val="009606DF"/>
    <w:rsid w:val="00961D67"/>
    <w:rsid w:val="00962D93"/>
    <w:rsid w:val="009636EF"/>
    <w:rsid w:val="0096408D"/>
    <w:rsid w:val="009651A8"/>
    <w:rsid w:val="009657E9"/>
    <w:rsid w:val="0096666B"/>
    <w:rsid w:val="009719C3"/>
    <w:rsid w:val="00971F94"/>
    <w:rsid w:val="0097578E"/>
    <w:rsid w:val="00976E55"/>
    <w:rsid w:val="009814B0"/>
    <w:rsid w:val="00984D41"/>
    <w:rsid w:val="009852BB"/>
    <w:rsid w:val="009853C4"/>
    <w:rsid w:val="0098547C"/>
    <w:rsid w:val="009860B4"/>
    <w:rsid w:val="00986724"/>
    <w:rsid w:val="0098718E"/>
    <w:rsid w:val="00994269"/>
    <w:rsid w:val="0099439A"/>
    <w:rsid w:val="00994737"/>
    <w:rsid w:val="009A0E53"/>
    <w:rsid w:val="009A0F00"/>
    <w:rsid w:val="009A37AE"/>
    <w:rsid w:val="009A4059"/>
    <w:rsid w:val="009A47EF"/>
    <w:rsid w:val="009B1979"/>
    <w:rsid w:val="009B1E1B"/>
    <w:rsid w:val="009B2CC0"/>
    <w:rsid w:val="009B4C38"/>
    <w:rsid w:val="009C0DAB"/>
    <w:rsid w:val="009C1E20"/>
    <w:rsid w:val="009D0378"/>
    <w:rsid w:val="009D0F18"/>
    <w:rsid w:val="009D1A68"/>
    <w:rsid w:val="009D1EFB"/>
    <w:rsid w:val="009D5964"/>
    <w:rsid w:val="009D6A0C"/>
    <w:rsid w:val="009E03CB"/>
    <w:rsid w:val="009E0725"/>
    <w:rsid w:val="009E1492"/>
    <w:rsid w:val="009E4B3F"/>
    <w:rsid w:val="009E5877"/>
    <w:rsid w:val="009E666E"/>
    <w:rsid w:val="009F41E9"/>
    <w:rsid w:val="009F69B0"/>
    <w:rsid w:val="00A01001"/>
    <w:rsid w:val="00A0310D"/>
    <w:rsid w:val="00A073F4"/>
    <w:rsid w:val="00A07BBE"/>
    <w:rsid w:val="00A11F73"/>
    <w:rsid w:val="00A14A5A"/>
    <w:rsid w:val="00A16439"/>
    <w:rsid w:val="00A21057"/>
    <w:rsid w:val="00A217CE"/>
    <w:rsid w:val="00A21E86"/>
    <w:rsid w:val="00A22DFB"/>
    <w:rsid w:val="00A26B47"/>
    <w:rsid w:val="00A27301"/>
    <w:rsid w:val="00A305E3"/>
    <w:rsid w:val="00A353F1"/>
    <w:rsid w:val="00A357B0"/>
    <w:rsid w:val="00A35B22"/>
    <w:rsid w:val="00A40CA6"/>
    <w:rsid w:val="00A42B99"/>
    <w:rsid w:val="00A479B6"/>
    <w:rsid w:val="00A50D3C"/>
    <w:rsid w:val="00A51750"/>
    <w:rsid w:val="00A532E3"/>
    <w:rsid w:val="00A54512"/>
    <w:rsid w:val="00A54D9C"/>
    <w:rsid w:val="00A56663"/>
    <w:rsid w:val="00A57200"/>
    <w:rsid w:val="00A573AD"/>
    <w:rsid w:val="00A57865"/>
    <w:rsid w:val="00A61F7B"/>
    <w:rsid w:val="00A62B31"/>
    <w:rsid w:val="00A62EFB"/>
    <w:rsid w:val="00A64850"/>
    <w:rsid w:val="00A65003"/>
    <w:rsid w:val="00A65202"/>
    <w:rsid w:val="00A65B30"/>
    <w:rsid w:val="00A73299"/>
    <w:rsid w:val="00A7536B"/>
    <w:rsid w:val="00A80356"/>
    <w:rsid w:val="00A816B6"/>
    <w:rsid w:val="00A82D81"/>
    <w:rsid w:val="00A96E79"/>
    <w:rsid w:val="00AA0E63"/>
    <w:rsid w:val="00AA2033"/>
    <w:rsid w:val="00AA2102"/>
    <w:rsid w:val="00AA4A07"/>
    <w:rsid w:val="00AA6230"/>
    <w:rsid w:val="00AB2617"/>
    <w:rsid w:val="00AB632D"/>
    <w:rsid w:val="00AC2691"/>
    <w:rsid w:val="00AC3A38"/>
    <w:rsid w:val="00AC5444"/>
    <w:rsid w:val="00AC70E1"/>
    <w:rsid w:val="00AD1D29"/>
    <w:rsid w:val="00AD328E"/>
    <w:rsid w:val="00AD3D95"/>
    <w:rsid w:val="00AD5147"/>
    <w:rsid w:val="00AD524E"/>
    <w:rsid w:val="00AE0837"/>
    <w:rsid w:val="00AE11C8"/>
    <w:rsid w:val="00AE355C"/>
    <w:rsid w:val="00AE4EFC"/>
    <w:rsid w:val="00AE5731"/>
    <w:rsid w:val="00AE7127"/>
    <w:rsid w:val="00AF15EB"/>
    <w:rsid w:val="00AF4698"/>
    <w:rsid w:val="00AF6BA2"/>
    <w:rsid w:val="00AF7801"/>
    <w:rsid w:val="00B019E2"/>
    <w:rsid w:val="00B020ED"/>
    <w:rsid w:val="00B036CB"/>
    <w:rsid w:val="00B130D5"/>
    <w:rsid w:val="00B13566"/>
    <w:rsid w:val="00B13A54"/>
    <w:rsid w:val="00B14220"/>
    <w:rsid w:val="00B153A8"/>
    <w:rsid w:val="00B16868"/>
    <w:rsid w:val="00B17251"/>
    <w:rsid w:val="00B2128A"/>
    <w:rsid w:val="00B2159A"/>
    <w:rsid w:val="00B21D32"/>
    <w:rsid w:val="00B251FA"/>
    <w:rsid w:val="00B30DBD"/>
    <w:rsid w:val="00B313B2"/>
    <w:rsid w:val="00B334AD"/>
    <w:rsid w:val="00B34A43"/>
    <w:rsid w:val="00B36912"/>
    <w:rsid w:val="00B404A0"/>
    <w:rsid w:val="00B4256A"/>
    <w:rsid w:val="00B432AB"/>
    <w:rsid w:val="00B47A0B"/>
    <w:rsid w:val="00B526E3"/>
    <w:rsid w:val="00B54D75"/>
    <w:rsid w:val="00B60C2A"/>
    <w:rsid w:val="00B64061"/>
    <w:rsid w:val="00B65FC0"/>
    <w:rsid w:val="00B707DD"/>
    <w:rsid w:val="00B719F4"/>
    <w:rsid w:val="00B73995"/>
    <w:rsid w:val="00B74DBC"/>
    <w:rsid w:val="00B75E08"/>
    <w:rsid w:val="00B76684"/>
    <w:rsid w:val="00B7698F"/>
    <w:rsid w:val="00B854FE"/>
    <w:rsid w:val="00B85F5F"/>
    <w:rsid w:val="00B86395"/>
    <w:rsid w:val="00B86E2B"/>
    <w:rsid w:val="00B91DEC"/>
    <w:rsid w:val="00B92A56"/>
    <w:rsid w:val="00B931F8"/>
    <w:rsid w:val="00B95DB0"/>
    <w:rsid w:val="00B9722F"/>
    <w:rsid w:val="00B97741"/>
    <w:rsid w:val="00BA0721"/>
    <w:rsid w:val="00BA1883"/>
    <w:rsid w:val="00BA227D"/>
    <w:rsid w:val="00BA4C84"/>
    <w:rsid w:val="00BC09FC"/>
    <w:rsid w:val="00BC0DD5"/>
    <w:rsid w:val="00BC53B3"/>
    <w:rsid w:val="00BC550D"/>
    <w:rsid w:val="00BC60E6"/>
    <w:rsid w:val="00BC6230"/>
    <w:rsid w:val="00BD227D"/>
    <w:rsid w:val="00BD68D0"/>
    <w:rsid w:val="00BE66AA"/>
    <w:rsid w:val="00BE73B9"/>
    <w:rsid w:val="00BF444F"/>
    <w:rsid w:val="00BF77F5"/>
    <w:rsid w:val="00BF7D4B"/>
    <w:rsid w:val="00C008A0"/>
    <w:rsid w:val="00C01D8A"/>
    <w:rsid w:val="00C023EF"/>
    <w:rsid w:val="00C125B4"/>
    <w:rsid w:val="00C15415"/>
    <w:rsid w:val="00C16FE4"/>
    <w:rsid w:val="00C172EB"/>
    <w:rsid w:val="00C21DDB"/>
    <w:rsid w:val="00C22F98"/>
    <w:rsid w:val="00C2363B"/>
    <w:rsid w:val="00C25385"/>
    <w:rsid w:val="00C26560"/>
    <w:rsid w:val="00C3062F"/>
    <w:rsid w:val="00C32E7A"/>
    <w:rsid w:val="00C407EC"/>
    <w:rsid w:val="00C408D9"/>
    <w:rsid w:val="00C42DB9"/>
    <w:rsid w:val="00C447FD"/>
    <w:rsid w:val="00C44B90"/>
    <w:rsid w:val="00C51434"/>
    <w:rsid w:val="00C51743"/>
    <w:rsid w:val="00C51A61"/>
    <w:rsid w:val="00C51E2E"/>
    <w:rsid w:val="00C53956"/>
    <w:rsid w:val="00C57393"/>
    <w:rsid w:val="00C60383"/>
    <w:rsid w:val="00C64C71"/>
    <w:rsid w:val="00C6528B"/>
    <w:rsid w:val="00C661B3"/>
    <w:rsid w:val="00C70300"/>
    <w:rsid w:val="00C7037D"/>
    <w:rsid w:val="00C70637"/>
    <w:rsid w:val="00C71DC8"/>
    <w:rsid w:val="00C735E0"/>
    <w:rsid w:val="00C73E69"/>
    <w:rsid w:val="00C74592"/>
    <w:rsid w:val="00C767BA"/>
    <w:rsid w:val="00C80157"/>
    <w:rsid w:val="00C8048C"/>
    <w:rsid w:val="00C80C68"/>
    <w:rsid w:val="00C81C09"/>
    <w:rsid w:val="00C86E9A"/>
    <w:rsid w:val="00C90C02"/>
    <w:rsid w:val="00C93A3D"/>
    <w:rsid w:val="00C94F0A"/>
    <w:rsid w:val="00CA3203"/>
    <w:rsid w:val="00CA394E"/>
    <w:rsid w:val="00CA6058"/>
    <w:rsid w:val="00CA6BD1"/>
    <w:rsid w:val="00CB1B1B"/>
    <w:rsid w:val="00CB3E03"/>
    <w:rsid w:val="00CB580D"/>
    <w:rsid w:val="00CB6098"/>
    <w:rsid w:val="00CB623E"/>
    <w:rsid w:val="00CB6C47"/>
    <w:rsid w:val="00CC0BA5"/>
    <w:rsid w:val="00CC125A"/>
    <w:rsid w:val="00CC1B92"/>
    <w:rsid w:val="00CC1F3E"/>
    <w:rsid w:val="00CC236E"/>
    <w:rsid w:val="00CC2B2A"/>
    <w:rsid w:val="00CC6216"/>
    <w:rsid w:val="00CC6A8D"/>
    <w:rsid w:val="00CC70FA"/>
    <w:rsid w:val="00CD37C3"/>
    <w:rsid w:val="00CD3911"/>
    <w:rsid w:val="00CD48EF"/>
    <w:rsid w:val="00CD4BA1"/>
    <w:rsid w:val="00CD59A6"/>
    <w:rsid w:val="00CD7672"/>
    <w:rsid w:val="00CE06C9"/>
    <w:rsid w:val="00CE33C1"/>
    <w:rsid w:val="00CE3834"/>
    <w:rsid w:val="00CF148C"/>
    <w:rsid w:val="00CF3D94"/>
    <w:rsid w:val="00CF48A3"/>
    <w:rsid w:val="00CF5081"/>
    <w:rsid w:val="00D03076"/>
    <w:rsid w:val="00D058E4"/>
    <w:rsid w:val="00D0662C"/>
    <w:rsid w:val="00D07178"/>
    <w:rsid w:val="00D075F0"/>
    <w:rsid w:val="00D11C0B"/>
    <w:rsid w:val="00D11EE9"/>
    <w:rsid w:val="00D13F47"/>
    <w:rsid w:val="00D14E66"/>
    <w:rsid w:val="00D17631"/>
    <w:rsid w:val="00D17CD3"/>
    <w:rsid w:val="00D17D15"/>
    <w:rsid w:val="00D21B22"/>
    <w:rsid w:val="00D24AEB"/>
    <w:rsid w:val="00D24AFD"/>
    <w:rsid w:val="00D27902"/>
    <w:rsid w:val="00D27984"/>
    <w:rsid w:val="00D31D50"/>
    <w:rsid w:val="00D323E9"/>
    <w:rsid w:val="00D34F5B"/>
    <w:rsid w:val="00D35023"/>
    <w:rsid w:val="00D3706E"/>
    <w:rsid w:val="00D403B8"/>
    <w:rsid w:val="00D45C1B"/>
    <w:rsid w:val="00D45E14"/>
    <w:rsid w:val="00D51C9A"/>
    <w:rsid w:val="00D5318C"/>
    <w:rsid w:val="00D53371"/>
    <w:rsid w:val="00D53BD5"/>
    <w:rsid w:val="00D54899"/>
    <w:rsid w:val="00D55621"/>
    <w:rsid w:val="00D57419"/>
    <w:rsid w:val="00D6000E"/>
    <w:rsid w:val="00D623E1"/>
    <w:rsid w:val="00D713D6"/>
    <w:rsid w:val="00D72DAF"/>
    <w:rsid w:val="00D75BB9"/>
    <w:rsid w:val="00D76276"/>
    <w:rsid w:val="00D77919"/>
    <w:rsid w:val="00D77B62"/>
    <w:rsid w:val="00D8083C"/>
    <w:rsid w:val="00D85F8D"/>
    <w:rsid w:val="00D87F81"/>
    <w:rsid w:val="00D90E39"/>
    <w:rsid w:val="00D94E5A"/>
    <w:rsid w:val="00D97E89"/>
    <w:rsid w:val="00DA3738"/>
    <w:rsid w:val="00DA45EE"/>
    <w:rsid w:val="00DA58A3"/>
    <w:rsid w:val="00DB2F5B"/>
    <w:rsid w:val="00DB3B4D"/>
    <w:rsid w:val="00DB46CB"/>
    <w:rsid w:val="00DB622D"/>
    <w:rsid w:val="00DB695F"/>
    <w:rsid w:val="00DC03E7"/>
    <w:rsid w:val="00DC170D"/>
    <w:rsid w:val="00DC3710"/>
    <w:rsid w:val="00DC3B9E"/>
    <w:rsid w:val="00DC4FB9"/>
    <w:rsid w:val="00DC545F"/>
    <w:rsid w:val="00DC54A9"/>
    <w:rsid w:val="00DC6139"/>
    <w:rsid w:val="00DC6686"/>
    <w:rsid w:val="00DC6D84"/>
    <w:rsid w:val="00DC7F68"/>
    <w:rsid w:val="00DD1D7F"/>
    <w:rsid w:val="00DD360A"/>
    <w:rsid w:val="00DD540C"/>
    <w:rsid w:val="00DD7F91"/>
    <w:rsid w:val="00DE0985"/>
    <w:rsid w:val="00DE206D"/>
    <w:rsid w:val="00DE22C5"/>
    <w:rsid w:val="00DE42BF"/>
    <w:rsid w:val="00DE4A1A"/>
    <w:rsid w:val="00DE4E11"/>
    <w:rsid w:val="00DE53FE"/>
    <w:rsid w:val="00DE6ED8"/>
    <w:rsid w:val="00DF06A1"/>
    <w:rsid w:val="00DF53D8"/>
    <w:rsid w:val="00DF77EE"/>
    <w:rsid w:val="00E0060F"/>
    <w:rsid w:val="00E00A5F"/>
    <w:rsid w:val="00E02962"/>
    <w:rsid w:val="00E05D64"/>
    <w:rsid w:val="00E07ABB"/>
    <w:rsid w:val="00E07D8F"/>
    <w:rsid w:val="00E11B2B"/>
    <w:rsid w:val="00E12F0C"/>
    <w:rsid w:val="00E13762"/>
    <w:rsid w:val="00E14E2F"/>
    <w:rsid w:val="00E154CF"/>
    <w:rsid w:val="00E1552D"/>
    <w:rsid w:val="00E1640B"/>
    <w:rsid w:val="00E17978"/>
    <w:rsid w:val="00E2036D"/>
    <w:rsid w:val="00E216AE"/>
    <w:rsid w:val="00E317A6"/>
    <w:rsid w:val="00E31879"/>
    <w:rsid w:val="00E3190E"/>
    <w:rsid w:val="00E31F05"/>
    <w:rsid w:val="00E32285"/>
    <w:rsid w:val="00E34295"/>
    <w:rsid w:val="00E3667E"/>
    <w:rsid w:val="00E4228D"/>
    <w:rsid w:val="00E4254E"/>
    <w:rsid w:val="00E4608C"/>
    <w:rsid w:val="00E502A2"/>
    <w:rsid w:val="00E51CE4"/>
    <w:rsid w:val="00E521B6"/>
    <w:rsid w:val="00E52931"/>
    <w:rsid w:val="00E53ACE"/>
    <w:rsid w:val="00E5519B"/>
    <w:rsid w:val="00E55FEE"/>
    <w:rsid w:val="00E57BD3"/>
    <w:rsid w:val="00E57D38"/>
    <w:rsid w:val="00E62C30"/>
    <w:rsid w:val="00E65332"/>
    <w:rsid w:val="00E6556B"/>
    <w:rsid w:val="00E65F77"/>
    <w:rsid w:val="00E670CD"/>
    <w:rsid w:val="00E67EA9"/>
    <w:rsid w:val="00E74653"/>
    <w:rsid w:val="00E7727F"/>
    <w:rsid w:val="00E7778C"/>
    <w:rsid w:val="00E83519"/>
    <w:rsid w:val="00E843EE"/>
    <w:rsid w:val="00E91889"/>
    <w:rsid w:val="00E91948"/>
    <w:rsid w:val="00E91F0F"/>
    <w:rsid w:val="00E944E2"/>
    <w:rsid w:val="00E95C54"/>
    <w:rsid w:val="00E96103"/>
    <w:rsid w:val="00EA027D"/>
    <w:rsid w:val="00EB1511"/>
    <w:rsid w:val="00EB22CF"/>
    <w:rsid w:val="00EB3414"/>
    <w:rsid w:val="00EB39DD"/>
    <w:rsid w:val="00EB40E4"/>
    <w:rsid w:val="00EB67BA"/>
    <w:rsid w:val="00EC149F"/>
    <w:rsid w:val="00EC16F8"/>
    <w:rsid w:val="00EC197F"/>
    <w:rsid w:val="00EC306F"/>
    <w:rsid w:val="00EC408E"/>
    <w:rsid w:val="00EC41F2"/>
    <w:rsid w:val="00EC4EB3"/>
    <w:rsid w:val="00EC5617"/>
    <w:rsid w:val="00EC5E46"/>
    <w:rsid w:val="00EC7C9E"/>
    <w:rsid w:val="00ED230D"/>
    <w:rsid w:val="00ED2440"/>
    <w:rsid w:val="00EE1C0B"/>
    <w:rsid w:val="00EE482C"/>
    <w:rsid w:val="00EE58DB"/>
    <w:rsid w:val="00EE59D0"/>
    <w:rsid w:val="00EE6AD7"/>
    <w:rsid w:val="00EE7FF3"/>
    <w:rsid w:val="00EF0F92"/>
    <w:rsid w:val="00EF26BF"/>
    <w:rsid w:val="00EF4861"/>
    <w:rsid w:val="00EF50C7"/>
    <w:rsid w:val="00EF5E19"/>
    <w:rsid w:val="00EF5F5D"/>
    <w:rsid w:val="00EF779D"/>
    <w:rsid w:val="00EF7E82"/>
    <w:rsid w:val="00F00533"/>
    <w:rsid w:val="00F01970"/>
    <w:rsid w:val="00F01B91"/>
    <w:rsid w:val="00F06AF6"/>
    <w:rsid w:val="00F079A5"/>
    <w:rsid w:val="00F07F69"/>
    <w:rsid w:val="00F107F9"/>
    <w:rsid w:val="00F10CED"/>
    <w:rsid w:val="00F111E0"/>
    <w:rsid w:val="00F117D4"/>
    <w:rsid w:val="00F16475"/>
    <w:rsid w:val="00F22D55"/>
    <w:rsid w:val="00F24A9A"/>
    <w:rsid w:val="00F2592D"/>
    <w:rsid w:val="00F25C5F"/>
    <w:rsid w:val="00F3182D"/>
    <w:rsid w:val="00F33944"/>
    <w:rsid w:val="00F34EF2"/>
    <w:rsid w:val="00F3580F"/>
    <w:rsid w:val="00F4035E"/>
    <w:rsid w:val="00F406BB"/>
    <w:rsid w:val="00F44AD0"/>
    <w:rsid w:val="00F45FAB"/>
    <w:rsid w:val="00F47BC7"/>
    <w:rsid w:val="00F50379"/>
    <w:rsid w:val="00F55102"/>
    <w:rsid w:val="00F55291"/>
    <w:rsid w:val="00F57115"/>
    <w:rsid w:val="00F6298B"/>
    <w:rsid w:val="00F63B02"/>
    <w:rsid w:val="00F65350"/>
    <w:rsid w:val="00F65C21"/>
    <w:rsid w:val="00F66517"/>
    <w:rsid w:val="00F700A6"/>
    <w:rsid w:val="00F760D1"/>
    <w:rsid w:val="00F761F7"/>
    <w:rsid w:val="00F8007E"/>
    <w:rsid w:val="00F8151A"/>
    <w:rsid w:val="00F81BEC"/>
    <w:rsid w:val="00F83788"/>
    <w:rsid w:val="00F84D69"/>
    <w:rsid w:val="00F85054"/>
    <w:rsid w:val="00F87AEF"/>
    <w:rsid w:val="00F87C14"/>
    <w:rsid w:val="00F94F61"/>
    <w:rsid w:val="00FA17B4"/>
    <w:rsid w:val="00FA17BA"/>
    <w:rsid w:val="00FA3581"/>
    <w:rsid w:val="00FA6136"/>
    <w:rsid w:val="00FB10B8"/>
    <w:rsid w:val="00FB24BA"/>
    <w:rsid w:val="00FB28C8"/>
    <w:rsid w:val="00FB381D"/>
    <w:rsid w:val="00FB4700"/>
    <w:rsid w:val="00FB6172"/>
    <w:rsid w:val="00FB6492"/>
    <w:rsid w:val="00FC007D"/>
    <w:rsid w:val="00FC131A"/>
    <w:rsid w:val="00FC17D2"/>
    <w:rsid w:val="00FC224A"/>
    <w:rsid w:val="00FC43D6"/>
    <w:rsid w:val="00FC784C"/>
    <w:rsid w:val="00FD2208"/>
    <w:rsid w:val="00FD2EC4"/>
    <w:rsid w:val="00FD3ADC"/>
    <w:rsid w:val="00FD5C09"/>
    <w:rsid w:val="00FD63D3"/>
    <w:rsid w:val="00FD717D"/>
    <w:rsid w:val="00FD77F2"/>
    <w:rsid w:val="00FE44CF"/>
    <w:rsid w:val="00FF1239"/>
    <w:rsid w:val="00FF1AC1"/>
    <w:rsid w:val="00FF30A3"/>
    <w:rsid w:val="00FF5B16"/>
    <w:rsid w:val="00FF5DE3"/>
    <w:rsid w:val="00FF62F7"/>
    <w:rsid w:val="00FF6EAF"/>
    <w:rsid w:val="00FF7408"/>
    <w:rsid w:val="01EE67D0"/>
    <w:rsid w:val="01F65399"/>
    <w:rsid w:val="026A1A9F"/>
    <w:rsid w:val="03226A0E"/>
    <w:rsid w:val="04260169"/>
    <w:rsid w:val="04CC4830"/>
    <w:rsid w:val="050945F2"/>
    <w:rsid w:val="050E4034"/>
    <w:rsid w:val="056F4DC0"/>
    <w:rsid w:val="05F86FA8"/>
    <w:rsid w:val="06174B4A"/>
    <w:rsid w:val="06342461"/>
    <w:rsid w:val="065C2670"/>
    <w:rsid w:val="06677EA2"/>
    <w:rsid w:val="06CA68F3"/>
    <w:rsid w:val="06F06056"/>
    <w:rsid w:val="07021FF9"/>
    <w:rsid w:val="071C7BC7"/>
    <w:rsid w:val="075A67A2"/>
    <w:rsid w:val="07841FFA"/>
    <w:rsid w:val="0840050B"/>
    <w:rsid w:val="086D38AF"/>
    <w:rsid w:val="08C44882"/>
    <w:rsid w:val="08C94E4D"/>
    <w:rsid w:val="0915227D"/>
    <w:rsid w:val="09164C3B"/>
    <w:rsid w:val="099842FD"/>
    <w:rsid w:val="0A3A2559"/>
    <w:rsid w:val="0A805158"/>
    <w:rsid w:val="0AF87126"/>
    <w:rsid w:val="0B4B1CD9"/>
    <w:rsid w:val="0B9B2EBC"/>
    <w:rsid w:val="0BA309DB"/>
    <w:rsid w:val="0BC90D6D"/>
    <w:rsid w:val="0BCB508B"/>
    <w:rsid w:val="0C070B14"/>
    <w:rsid w:val="0C1A22A8"/>
    <w:rsid w:val="0C26236E"/>
    <w:rsid w:val="0C9306BE"/>
    <w:rsid w:val="0CB05CD1"/>
    <w:rsid w:val="0D1B39E9"/>
    <w:rsid w:val="0DCB2021"/>
    <w:rsid w:val="0E3A01CC"/>
    <w:rsid w:val="0E9172D3"/>
    <w:rsid w:val="0EF1422C"/>
    <w:rsid w:val="0F3B23D4"/>
    <w:rsid w:val="0F3B3DD7"/>
    <w:rsid w:val="107B6AE8"/>
    <w:rsid w:val="11195DC6"/>
    <w:rsid w:val="115A70AD"/>
    <w:rsid w:val="116421D6"/>
    <w:rsid w:val="11EA1B00"/>
    <w:rsid w:val="121F5AC5"/>
    <w:rsid w:val="125037BB"/>
    <w:rsid w:val="12521250"/>
    <w:rsid w:val="12524B60"/>
    <w:rsid w:val="12E866AF"/>
    <w:rsid w:val="130C55D8"/>
    <w:rsid w:val="13244A23"/>
    <w:rsid w:val="13EE6B6B"/>
    <w:rsid w:val="1472386E"/>
    <w:rsid w:val="148F0FC6"/>
    <w:rsid w:val="151600A7"/>
    <w:rsid w:val="159F345A"/>
    <w:rsid w:val="15E43EF8"/>
    <w:rsid w:val="16A81136"/>
    <w:rsid w:val="16AC4207"/>
    <w:rsid w:val="178A56FB"/>
    <w:rsid w:val="17A8647B"/>
    <w:rsid w:val="18253B4C"/>
    <w:rsid w:val="190F1674"/>
    <w:rsid w:val="19132D2F"/>
    <w:rsid w:val="19210747"/>
    <w:rsid w:val="196E7CB2"/>
    <w:rsid w:val="198759D2"/>
    <w:rsid w:val="19D72BB5"/>
    <w:rsid w:val="1AD212BF"/>
    <w:rsid w:val="1AF900F3"/>
    <w:rsid w:val="1AFC6A2C"/>
    <w:rsid w:val="1BE0351A"/>
    <w:rsid w:val="1C120302"/>
    <w:rsid w:val="1C442FCB"/>
    <w:rsid w:val="1C532B00"/>
    <w:rsid w:val="1CCC12C5"/>
    <w:rsid w:val="1D1B1BAD"/>
    <w:rsid w:val="1D401A6B"/>
    <w:rsid w:val="1DCC5DA5"/>
    <w:rsid w:val="1E8A015B"/>
    <w:rsid w:val="1EA00E4A"/>
    <w:rsid w:val="1F4F1109"/>
    <w:rsid w:val="1F6A0646"/>
    <w:rsid w:val="206A0332"/>
    <w:rsid w:val="2091595B"/>
    <w:rsid w:val="20F51AC3"/>
    <w:rsid w:val="21AE6D2F"/>
    <w:rsid w:val="21C21552"/>
    <w:rsid w:val="21C3713A"/>
    <w:rsid w:val="220609F7"/>
    <w:rsid w:val="24DA6297"/>
    <w:rsid w:val="252F3CBE"/>
    <w:rsid w:val="26694CDB"/>
    <w:rsid w:val="282C171E"/>
    <w:rsid w:val="2849297F"/>
    <w:rsid w:val="2936596A"/>
    <w:rsid w:val="2997006D"/>
    <w:rsid w:val="29AC5EF0"/>
    <w:rsid w:val="2B040631"/>
    <w:rsid w:val="2B0B5AF1"/>
    <w:rsid w:val="2B793244"/>
    <w:rsid w:val="2C094BA0"/>
    <w:rsid w:val="2C60205D"/>
    <w:rsid w:val="2C8F5C68"/>
    <w:rsid w:val="2CAD317E"/>
    <w:rsid w:val="2CC97424"/>
    <w:rsid w:val="2D1C1EED"/>
    <w:rsid w:val="2D2725F0"/>
    <w:rsid w:val="2D345768"/>
    <w:rsid w:val="2D73679B"/>
    <w:rsid w:val="2E994608"/>
    <w:rsid w:val="2E9C375A"/>
    <w:rsid w:val="2EA60EE0"/>
    <w:rsid w:val="2ED8262F"/>
    <w:rsid w:val="2F242CBD"/>
    <w:rsid w:val="2FB34058"/>
    <w:rsid w:val="300C74C4"/>
    <w:rsid w:val="304B3830"/>
    <w:rsid w:val="307D5A91"/>
    <w:rsid w:val="317B20C5"/>
    <w:rsid w:val="32A33E31"/>
    <w:rsid w:val="32D048D8"/>
    <w:rsid w:val="32D3622F"/>
    <w:rsid w:val="32D63CF2"/>
    <w:rsid w:val="32F26097"/>
    <w:rsid w:val="3341799D"/>
    <w:rsid w:val="337A399F"/>
    <w:rsid w:val="337F2EFA"/>
    <w:rsid w:val="339029A7"/>
    <w:rsid w:val="33CC5FD9"/>
    <w:rsid w:val="34697607"/>
    <w:rsid w:val="34DC6FBF"/>
    <w:rsid w:val="352019FA"/>
    <w:rsid w:val="35731520"/>
    <w:rsid w:val="35F436C6"/>
    <w:rsid w:val="36037C49"/>
    <w:rsid w:val="36B804EA"/>
    <w:rsid w:val="371766EB"/>
    <w:rsid w:val="371F22B8"/>
    <w:rsid w:val="3728049C"/>
    <w:rsid w:val="37CD3E9A"/>
    <w:rsid w:val="37D03480"/>
    <w:rsid w:val="37D87189"/>
    <w:rsid w:val="37E87EA7"/>
    <w:rsid w:val="37F761BE"/>
    <w:rsid w:val="380B1A51"/>
    <w:rsid w:val="382056BC"/>
    <w:rsid w:val="38AB6B19"/>
    <w:rsid w:val="39035D73"/>
    <w:rsid w:val="39144BF9"/>
    <w:rsid w:val="39236305"/>
    <w:rsid w:val="397D1814"/>
    <w:rsid w:val="3991694F"/>
    <w:rsid w:val="3A096C45"/>
    <w:rsid w:val="3B3315C9"/>
    <w:rsid w:val="3B3666AA"/>
    <w:rsid w:val="3B5D03F9"/>
    <w:rsid w:val="3B9C69ED"/>
    <w:rsid w:val="3C075E40"/>
    <w:rsid w:val="3C0F314C"/>
    <w:rsid w:val="3C8400FD"/>
    <w:rsid w:val="3C8D5215"/>
    <w:rsid w:val="3CB96E1E"/>
    <w:rsid w:val="3CE12FD7"/>
    <w:rsid w:val="3DA13722"/>
    <w:rsid w:val="3E2A5A13"/>
    <w:rsid w:val="3E6A5C1B"/>
    <w:rsid w:val="3E951BD3"/>
    <w:rsid w:val="3EB91E59"/>
    <w:rsid w:val="3FA23A80"/>
    <w:rsid w:val="3FB75DF9"/>
    <w:rsid w:val="418368ED"/>
    <w:rsid w:val="425C64FC"/>
    <w:rsid w:val="4278675D"/>
    <w:rsid w:val="431F105C"/>
    <w:rsid w:val="43F003B4"/>
    <w:rsid w:val="446458DA"/>
    <w:rsid w:val="446645C4"/>
    <w:rsid w:val="44E00C2F"/>
    <w:rsid w:val="44F12828"/>
    <w:rsid w:val="453F4EE8"/>
    <w:rsid w:val="457E0C0E"/>
    <w:rsid w:val="45A27895"/>
    <w:rsid w:val="4654463C"/>
    <w:rsid w:val="469D1E1F"/>
    <w:rsid w:val="4703453A"/>
    <w:rsid w:val="47401AE3"/>
    <w:rsid w:val="47847F9B"/>
    <w:rsid w:val="47B6276E"/>
    <w:rsid w:val="47D7714D"/>
    <w:rsid w:val="48CA305E"/>
    <w:rsid w:val="491D1161"/>
    <w:rsid w:val="4945471C"/>
    <w:rsid w:val="49C23604"/>
    <w:rsid w:val="4A6500D9"/>
    <w:rsid w:val="4B4D56DB"/>
    <w:rsid w:val="4BCB58DC"/>
    <w:rsid w:val="4BE87F26"/>
    <w:rsid w:val="4C081E20"/>
    <w:rsid w:val="4C3974A1"/>
    <w:rsid w:val="4C4D743A"/>
    <w:rsid w:val="4C561056"/>
    <w:rsid w:val="4CDC25C4"/>
    <w:rsid w:val="4D2A1AAB"/>
    <w:rsid w:val="4DBE15DE"/>
    <w:rsid w:val="4DFF45BC"/>
    <w:rsid w:val="4E61428A"/>
    <w:rsid w:val="4E7B705D"/>
    <w:rsid w:val="4ECB455C"/>
    <w:rsid w:val="4EF16D21"/>
    <w:rsid w:val="4F4E6BEF"/>
    <w:rsid w:val="4F6745C5"/>
    <w:rsid w:val="4F751E54"/>
    <w:rsid w:val="4FA9510C"/>
    <w:rsid w:val="50891C17"/>
    <w:rsid w:val="520E7D39"/>
    <w:rsid w:val="527310FD"/>
    <w:rsid w:val="52A50412"/>
    <w:rsid w:val="52C145B3"/>
    <w:rsid w:val="532C19FA"/>
    <w:rsid w:val="536C046F"/>
    <w:rsid w:val="53777260"/>
    <w:rsid w:val="53BD324D"/>
    <w:rsid w:val="53DA3FDB"/>
    <w:rsid w:val="54B52F23"/>
    <w:rsid w:val="559025B5"/>
    <w:rsid w:val="55BE6F35"/>
    <w:rsid w:val="56AB5747"/>
    <w:rsid w:val="57466A30"/>
    <w:rsid w:val="57E7750E"/>
    <w:rsid w:val="582C3304"/>
    <w:rsid w:val="583E683E"/>
    <w:rsid w:val="584263FC"/>
    <w:rsid w:val="58AA248A"/>
    <w:rsid w:val="592757C1"/>
    <w:rsid w:val="5A097D45"/>
    <w:rsid w:val="5A232744"/>
    <w:rsid w:val="5A8E433F"/>
    <w:rsid w:val="5ACC5639"/>
    <w:rsid w:val="5AFE0937"/>
    <w:rsid w:val="5B022AFF"/>
    <w:rsid w:val="5B1C238B"/>
    <w:rsid w:val="5BB72396"/>
    <w:rsid w:val="5BDA2541"/>
    <w:rsid w:val="5C8E70AE"/>
    <w:rsid w:val="5C9700DF"/>
    <w:rsid w:val="5CFF5AEE"/>
    <w:rsid w:val="5D5260D6"/>
    <w:rsid w:val="5E4106DA"/>
    <w:rsid w:val="5E4B362D"/>
    <w:rsid w:val="5E4B3828"/>
    <w:rsid w:val="5EC32979"/>
    <w:rsid w:val="5EFC5263"/>
    <w:rsid w:val="5F2B51D9"/>
    <w:rsid w:val="5F37440C"/>
    <w:rsid w:val="60066955"/>
    <w:rsid w:val="609E7926"/>
    <w:rsid w:val="60CC769A"/>
    <w:rsid w:val="60F3280A"/>
    <w:rsid w:val="615A0826"/>
    <w:rsid w:val="616E5025"/>
    <w:rsid w:val="62117B48"/>
    <w:rsid w:val="6233066F"/>
    <w:rsid w:val="625714F8"/>
    <w:rsid w:val="62AF2B34"/>
    <w:rsid w:val="62D7081D"/>
    <w:rsid w:val="63687194"/>
    <w:rsid w:val="638E50BC"/>
    <w:rsid w:val="64D27A6F"/>
    <w:rsid w:val="65765688"/>
    <w:rsid w:val="65A40D91"/>
    <w:rsid w:val="66F55A6B"/>
    <w:rsid w:val="67327F2E"/>
    <w:rsid w:val="674609A7"/>
    <w:rsid w:val="67465B30"/>
    <w:rsid w:val="68082611"/>
    <w:rsid w:val="688C533B"/>
    <w:rsid w:val="692F0DD2"/>
    <w:rsid w:val="692F6DB1"/>
    <w:rsid w:val="696B16A5"/>
    <w:rsid w:val="69772905"/>
    <w:rsid w:val="6A360EF4"/>
    <w:rsid w:val="6A736A2C"/>
    <w:rsid w:val="6AC4173D"/>
    <w:rsid w:val="6B3F6E7C"/>
    <w:rsid w:val="6B4F76A1"/>
    <w:rsid w:val="6BB6746F"/>
    <w:rsid w:val="6BFD03AE"/>
    <w:rsid w:val="6BFF6077"/>
    <w:rsid w:val="6C2308EC"/>
    <w:rsid w:val="6C813FC3"/>
    <w:rsid w:val="6C867767"/>
    <w:rsid w:val="6CA34648"/>
    <w:rsid w:val="6D031FFE"/>
    <w:rsid w:val="6D870368"/>
    <w:rsid w:val="6DEF74D5"/>
    <w:rsid w:val="6E9856D0"/>
    <w:rsid w:val="6EB840FC"/>
    <w:rsid w:val="6EE920DC"/>
    <w:rsid w:val="6F377C99"/>
    <w:rsid w:val="6F7E7DE2"/>
    <w:rsid w:val="6FAA433E"/>
    <w:rsid w:val="704F1D50"/>
    <w:rsid w:val="7062369D"/>
    <w:rsid w:val="70D8666D"/>
    <w:rsid w:val="70F82977"/>
    <w:rsid w:val="711203ED"/>
    <w:rsid w:val="712A76BE"/>
    <w:rsid w:val="716D6D00"/>
    <w:rsid w:val="719901C6"/>
    <w:rsid w:val="71B131C3"/>
    <w:rsid w:val="71CC5821"/>
    <w:rsid w:val="71F26BCA"/>
    <w:rsid w:val="720542F1"/>
    <w:rsid w:val="72380013"/>
    <w:rsid w:val="72540D30"/>
    <w:rsid w:val="73426C39"/>
    <w:rsid w:val="73594771"/>
    <w:rsid w:val="740F0E4D"/>
    <w:rsid w:val="7469799F"/>
    <w:rsid w:val="74A66F51"/>
    <w:rsid w:val="74E24705"/>
    <w:rsid w:val="750506F3"/>
    <w:rsid w:val="758944AE"/>
    <w:rsid w:val="758C4507"/>
    <w:rsid w:val="75AA1A6C"/>
    <w:rsid w:val="76C0735A"/>
    <w:rsid w:val="76DE39EB"/>
    <w:rsid w:val="774B42DA"/>
    <w:rsid w:val="77CC2AC5"/>
    <w:rsid w:val="78AC0F28"/>
    <w:rsid w:val="78AD7E4B"/>
    <w:rsid w:val="7922758B"/>
    <w:rsid w:val="79766799"/>
    <w:rsid w:val="79B255D2"/>
    <w:rsid w:val="79B45BBB"/>
    <w:rsid w:val="79D0307E"/>
    <w:rsid w:val="79DE121D"/>
    <w:rsid w:val="79E249A2"/>
    <w:rsid w:val="7A5C7B4D"/>
    <w:rsid w:val="7AB24DD7"/>
    <w:rsid w:val="7B1F1C18"/>
    <w:rsid w:val="7B387938"/>
    <w:rsid w:val="7C341C52"/>
    <w:rsid w:val="7D033238"/>
    <w:rsid w:val="7D2F6ABF"/>
    <w:rsid w:val="7D50024E"/>
    <w:rsid w:val="7D637EF4"/>
    <w:rsid w:val="7E341B98"/>
    <w:rsid w:val="7E51328E"/>
    <w:rsid w:val="7F14576E"/>
    <w:rsid w:val="7F6F000F"/>
    <w:rsid w:val="7FB735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qFormat="1" w:unhideWhenUsed="0" w:uiPriority="99" w:name="footnote reference"/>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ahoma"/>
      <w:sz w:val="22"/>
      <w:szCs w:val="22"/>
      <w:lang w:val="en-US" w:eastAsia="zh-CN" w:bidi="ar-SA"/>
    </w:rPr>
  </w:style>
  <w:style w:type="paragraph" w:styleId="2">
    <w:name w:val="heading 1"/>
    <w:basedOn w:val="1"/>
    <w:next w:val="1"/>
    <w:link w:val="31"/>
    <w:qFormat/>
    <w:uiPriority w:val="99"/>
    <w:pPr>
      <w:keepNext/>
      <w:keepLines/>
      <w:adjustRightInd/>
      <w:snapToGrid/>
      <w:spacing w:before="200" w:line="360" w:lineRule="auto"/>
      <w:jc w:val="center"/>
      <w:textAlignment w:val="baseline"/>
      <w:outlineLvl w:val="0"/>
    </w:pPr>
    <w:rPr>
      <w:rFonts w:ascii="Times New Roman" w:hAnsi="Times New Roman" w:eastAsia="黑体" w:cs="Times New Roman"/>
      <w:b/>
      <w:bCs/>
      <w:color w:val="000000"/>
      <w:kern w:val="44"/>
      <w:sz w:val="36"/>
      <w:szCs w:val="36"/>
      <w:u w:color="000000"/>
    </w:rPr>
  </w:style>
  <w:style w:type="paragraph" w:styleId="3">
    <w:name w:val="heading 2"/>
    <w:basedOn w:val="1"/>
    <w:next w:val="1"/>
    <w:link w:val="32"/>
    <w:qFormat/>
    <w:uiPriority w:val="99"/>
    <w:pPr>
      <w:keepNext/>
      <w:keepLines/>
      <w:widowControl w:val="0"/>
      <w:adjustRightInd/>
      <w:snapToGrid/>
      <w:spacing w:before="260" w:after="260" w:line="416" w:lineRule="auto"/>
      <w:jc w:val="both"/>
      <w:outlineLvl w:val="1"/>
    </w:pPr>
    <w:rPr>
      <w:rFonts w:ascii="Arial" w:hAnsi="Arial" w:eastAsia="黑体" w:cs="Arial"/>
      <w:b/>
      <w:bCs/>
      <w:kern w:val="2"/>
      <w:sz w:val="32"/>
      <w:szCs w:val="32"/>
    </w:rPr>
  </w:style>
  <w:style w:type="paragraph" w:styleId="4">
    <w:name w:val="heading 3"/>
    <w:basedOn w:val="1"/>
    <w:next w:val="1"/>
    <w:link w:val="33"/>
    <w:qFormat/>
    <w:uiPriority w:val="99"/>
    <w:pPr>
      <w:keepNext/>
      <w:keepLines/>
      <w:adjustRightInd/>
      <w:snapToGrid/>
      <w:spacing w:before="260" w:after="260" w:line="360" w:lineRule="auto"/>
      <w:textAlignment w:val="baseline"/>
      <w:outlineLvl w:val="2"/>
    </w:pPr>
    <w:rPr>
      <w:rFonts w:ascii="Times New Roman" w:hAnsi="Times New Roman" w:eastAsia="仿宋_GB2312" w:cs="Times New Roman"/>
      <w:b/>
      <w:bCs/>
      <w:sz w:val="30"/>
      <w:szCs w:val="30"/>
      <w:u w:color="000000"/>
    </w:rPr>
  </w:style>
  <w:style w:type="paragraph" w:styleId="5">
    <w:name w:val="heading 4"/>
    <w:basedOn w:val="1"/>
    <w:next w:val="1"/>
    <w:link w:val="34"/>
    <w:qFormat/>
    <w:uiPriority w:val="99"/>
    <w:pPr>
      <w:keepNext/>
      <w:keepLines/>
      <w:widowControl w:val="0"/>
      <w:adjustRightInd/>
      <w:snapToGrid/>
      <w:spacing w:before="280" w:after="290" w:line="376" w:lineRule="auto"/>
      <w:jc w:val="both"/>
      <w:outlineLvl w:val="3"/>
    </w:pPr>
    <w:rPr>
      <w:rFonts w:ascii="Cambria" w:hAnsi="Cambria" w:eastAsia="宋体" w:cs="Cambria"/>
      <w:b/>
      <w:bCs/>
      <w:kern w:val="2"/>
      <w:sz w:val="28"/>
      <w:szCs w:val="28"/>
    </w:rPr>
  </w:style>
  <w:style w:type="paragraph" w:styleId="6">
    <w:name w:val="heading 5"/>
    <w:basedOn w:val="1"/>
    <w:next w:val="1"/>
    <w:link w:val="35"/>
    <w:qFormat/>
    <w:uiPriority w:val="99"/>
    <w:pPr>
      <w:keepNext/>
      <w:keepLines/>
      <w:widowControl w:val="0"/>
      <w:adjustRightInd/>
      <w:snapToGrid/>
      <w:spacing w:before="280" w:after="290" w:line="376" w:lineRule="auto"/>
      <w:jc w:val="both"/>
      <w:outlineLvl w:val="4"/>
    </w:pPr>
    <w:rPr>
      <w:rFonts w:ascii="Times New Roman" w:hAnsi="Times New Roman" w:eastAsia="宋体" w:cs="Times New Roman"/>
      <w:b/>
      <w:bCs/>
      <w:kern w:val="2"/>
      <w:sz w:val="28"/>
      <w:szCs w:val="28"/>
    </w:rPr>
  </w:style>
  <w:style w:type="paragraph" w:styleId="7">
    <w:name w:val="heading 6"/>
    <w:basedOn w:val="1"/>
    <w:next w:val="1"/>
    <w:link w:val="36"/>
    <w:qFormat/>
    <w:uiPriority w:val="99"/>
    <w:pPr>
      <w:keepNext/>
      <w:keepLines/>
      <w:widowControl w:val="0"/>
      <w:adjustRightInd/>
      <w:snapToGrid/>
      <w:spacing w:before="240" w:after="64" w:line="320" w:lineRule="auto"/>
      <w:jc w:val="both"/>
      <w:outlineLvl w:val="5"/>
    </w:pPr>
    <w:rPr>
      <w:rFonts w:ascii="Cambria" w:hAnsi="Cambria" w:eastAsia="宋体" w:cs="Cambria"/>
      <w:b/>
      <w:bCs/>
      <w:kern w:val="2"/>
      <w:sz w:val="24"/>
      <w:szCs w:val="24"/>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7"/>
    <w:semiHidden/>
    <w:qFormat/>
    <w:uiPriority w:val="99"/>
    <w:pPr>
      <w:widowControl w:val="0"/>
      <w:shd w:val="clear" w:color="auto" w:fill="000080"/>
      <w:adjustRightInd/>
      <w:snapToGrid/>
      <w:spacing w:after="0"/>
      <w:jc w:val="both"/>
    </w:pPr>
    <w:rPr>
      <w:rFonts w:ascii="Times New Roman" w:hAnsi="Times New Roman" w:eastAsia="宋体" w:cs="Times New Roman"/>
      <w:kern w:val="2"/>
      <w:sz w:val="21"/>
      <w:szCs w:val="21"/>
    </w:rPr>
  </w:style>
  <w:style w:type="paragraph" w:styleId="9">
    <w:name w:val="annotation text"/>
    <w:basedOn w:val="1"/>
    <w:link w:val="38"/>
    <w:semiHidden/>
    <w:qFormat/>
    <w:uiPriority w:val="99"/>
  </w:style>
  <w:style w:type="paragraph" w:styleId="10">
    <w:name w:val="Body Text"/>
    <w:basedOn w:val="1"/>
    <w:link w:val="39"/>
    <w:qFormat/>
    <w:uiPriority w:val="99"/>
    <w:pPr>
      <w:widowControl w:val="0"/>
      <w:adjustRightInd/>
      <w:snapToGrid/>
      <w:spacing w:after="120"/>
      <w:jc w:val="both"/>
    </w:pPr>
    <w:rPr>
      <w:rFonts w:ascii="Times New Roman" w:hAnsi="Times New Roman" w:eastAsia="宋体" w:cs="Times New Roman"/>
      <w:kern w:val="2"/>
      <w:sz w:val="21"/>
      <w:szCs w:val="21"/>
    </w:rPr>
  </w:style>
  <w:style w:type="paragraph" w:styleId="11">
    <w:name w:val="toc 3"/>
    <w:basedOn w:val="1"/>
    <w:next w:val="1"/>
    <w:semiHidden/>
    <w:qFormat/>
    <w:uiPriority w:val="99"/>
    <w:pPr>
      <w:widowControl w:val="0"/>
      <w:adjustRightInd/>
      <w:snapToGrid/>
      <w:spacing w:after="0"/>
      <w:ind w:left="840" w:leftChars="400"/>
      <w:jc w:val="both"/>
    </w:pPr>
    <w:rPr>
      <w:rFonts w:ascii="Times New Roman" w:hAnsi="Times New Roman" w:eastAsia="宋体" w:cs="Times New Roman"/>
      <w:kern w:val="2"/>
      <w:sz w:val="28"/>
      <w:szCs w:val="28"/>
    </w:rPr>
  </w:style>
  <w:style w:type="paragraph" w:styleId="12">
    <w:name w:val="Plain Text"/>
    <w:basedOn w:val="1"/>
    <w:link w:val="40"/>
    <w:qFormat/>
    <w:uiPriority w:val="99"/>
    <w:pPr>
      <w:adjustRightInd/>
      <w:snapToGrid/>
      <w:spacing w:after="0" w:line="351" w:lineRule="atLeast"/>
      <w:ind w:firstLine="419"/>
      <w:jc w:val="both"/>
      <w:textAlignment w:val="baseline"/>
    </w:pPr>
    <w:rPr>
      <w:rFonts w:ascii="宋体" w:hAnsi="Times New Roman" w:eastAsia="宋体" w:cs="宋体"/>
      <w:color w:val="000000"/>
      <w:sz w:val="21"/>
      <w:szCs w:val="21"/>
      <w:u w:color="000000"/>
    </w:rPr>
  </w:style>
  <w:style w:type="paragraph" w:styleId="13">
    <w:name w:val="Balloon Text"/>
    <w:basedOn w:val="1"/>
    <w:link w:val="41"/>
    <w:semiHidden/>
    <w:qFormat/>
    <w:uiPriority w:val="99"/>
    <w:pPr>
      <w:widowControl w:val="0"/>
      <w:adjustRightInd/>
      <w:snapToGrid/>
      <w:spacing w:after="0"/>
      <w:jc w:val="both"/>
    </w:pPr>
    <w:rPr>
      <w:rFonts w:ascii="Times New Roman" w:hAnsi="Times New Roman" w:eastAsia="宋体" w:cs="Times New Roman"/>
      <w:kern w:val="2"/>
      <w:sz w:val="18"/>
      <w:szCs w:val="18"/>
    </w:rPr>
  </w:style>
  <w:style w:type="paragraph" w:styleId="14">
    <w:name w:val="footer"/>
    <w:basedOn w:val="1"/>
    <w:link w:val="42"/>
    <w:qFormat/>
    <w:uiPriority w:val="99"/>
    <w:pPr>
      <w:tabs>
        <w:tab w:val="center" w:pos="4153"/>
        <w:tab w:val="right" w:pos="8306"/>
      </w:tabs>
    </w:pPr>
    <w:rPr>
      <w:sz w:val="18"/>
      <w:szCs w:val="18"/>
    </w:rPr>
  </w:style>
  <w:style w:type="paragraph" w:styleId="15">
    <w:name w:val="header"/>
    <w:basedOn w:val="1"/>
    <w:link w:val="43"/>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qFormat/>
    <w:uiPriority w:val="99"/>
    <w:pPr>
      <w:widowControl w:val="0"/>
      <w:tabs>
        <w:tab w:val="right" w:leader="dot" w:pos="8777"/>
      </w:tabs>
      <w:adjustRightInd/>
      <w:snapToGrid/>
      <w:spacing w:after="0" w:line="360" w:lineRule="auto"/>
      <w:jc w:val="both"/>
    </w:pPr>
    <w:rPr>
      <w:rFonts w:ascii="Times New Roman" w:hAnsi="Times New Roman" w:eastAsia="黑体" w:cs="Times New Roman"/>
      <w:kern w:val="2"/>
      <w:sz w:val="32"/>
      <w:szCs w:val="32"/>
    </w:rPr>
  </w:style>
  <w:style w:type="paragraph" w:styleId="17">
    <w:name w:val="footnote text"/>
    <w:basedOn w:val="1"/>
    <w:link w:val="44"/>
    <w:semiHidden/>
    <w:qFormat/>
    <w:uiPriority w:val="99"/>
    <w:pPr>
      <w:widowControl w:val="0"/>
      <w:adjustRightInd/>
      <w:spacing w:after="0"/>
    </w:pPr>
    <w:rPr>
      <w:rFonts w:ascii="Times New Roman" w:hAnsi="Times New Roman" w:eastAsia="宋体" w:cs="Times New Roman"/>
      <w:kern w:val="2"/>
      <w:sz w:val="18"/>
      <w:szCs w:val="18"/>
    </w:rPr>
  </w:style>
  <w:style w:type="paragraph" w:styleId="18">
    <w:name w:val="toc 2"/>
    <w:basedOn w:val="1"/>
    <w:next w:val="1"/>
    <w:semiHidden/>
    <w:qFormat/>
    <w:uiPriority w:val="99"/>
    <w:pPr>
      <w:widowControl w:val="0"/>
      <w:adjustRightInd/>
      <w:snapToGrid/>
      <w:spacing w:after="0"/>
      <w:ind w:left="420" w:leftChars="200"/>
      <w:jc w:val="both"/>
    </w:pPr>
    <w:rPr>
      <w:rFonts w:ascii="Times New Roman" w:hAnsi="Times New Roman" w:eastAsia="宋体" w:cs="Times New Roman"/>
      <w:kern w:val="2"/>
      <w:sz w:val="30"/>
      <w:szCs w:val="30"/>
    </w:rPr>
  </w:style>
  <w:style w:type="paragraph" w:styleId="19">
    <w:name w:val="HTML Preformatted"/>
    <w:basedOn w:val="1"/>
    <w:link w:val="45"/>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20">
    <w:name w:val="Normal (Web)"/>
    <w:basedOn w:val="1"/>
    <w:qFormat/>
    <w:uiPriority w:val="99"/>
    <w:pPr>
      <w:adjustRightInd/>
      <w:snapToGrid/>
      <w:spacing w:before="100" w:beforeAutospacing="1" w:after="100" w:afterAutospacing="1"/>
    </w:pPr>
    <w:rPr>
      <w:rFonts w:ascii="宋体" w:hAnsi="宋体" w:eastAsia="宋体" w:cs="宋体"/>
      <w:sz w:val="24"/>
      <w:szCs w:val="24"/>
    </w:rPr>
  </w:style>
  <w:style w:type="paragraph" w:styleId="21">
    <w:name w:val="Title"/>
    <w:basedOn w:val="1"/>
    <w:next w:val="1"/>
    <w:link w:val="46"/>
    <w:qFormat/>
    <w:uiPriority w:val="99"/>
    <w:pPr>
      <w:widowControl w:val="0"/>
      <w:adjustRightInd/>
      <w:snapToGrid/>
      <w:spacing w:before="240" w:after="60"/>
      <w:jc w:val="center"/>
      <w:outlineLvl w:val="0"/>
    </w:pPr>
    <w:rPr>
      <w:rFonts w:ascii="Cambria" w:hAnsi="Cambria" w:eastAsia="宋体" w:cs="Cambria"/>
      <w:b/>
      <w:bCs/>
      <w:kern w:val="2"/>
      <w:sz w:val="32"/>
      <w:szCs w:val="32"/>
    </w:rPr>
  </w:style>
  <w:style w:type="paragraph" w:styleId="22">
    <w:name w:val="annotation subject"/>
    <w:basedOn w:val="9"/>
    <w:next w:val="9"/>
    <w:link w:val="47"/>
    <w:semiHidden/>
    <w:qFormat/>
    <w:uiPriority w:val="99"/>
    <w:pPr>
      <w:widowControl w:val="0"/>
      <w:adjustRightInd/>
      <w:snapToGrid/>
      <w:spacing w:after="0"/>
    </w:pPr>
    <w:rPr>
      <w:rFonts w:ascii="Times New Roman" w:hAnsi="Times New Roman" w:eastAsia="宋体" w:cs="Times New Roman"/>
      <w:b/>
      <w:bCs/>
      <w:kern w:val="2"/>
      <w:sz w:val="21"/>
      <w:szCs w:val="21"/>
    </w:rPr>
  </w:style>
  <w:style w:type="character" w:styleId="25">
    <w:name w:val="page number"/>
    <w:basedOn w:val="24"/>
    <w:qFormat/>
    <w:uiPriority w:val="99"/>
  </w:style>
  <w:style w:type="character" w:styleId="26">
    <w:name w:val="FollowedHyperlink"/>
    <w:qFormat/>
    <w:uiPriority w:val="99"/>
    <w:rPr>
      <w:color w:val="800080"/>
      <w:u w:val="single"/>
    </w:rPr>
  </w:style>
  <w:style w:type="character" w:styleId="27">
    <w:name w:val="Emphasis"/>
    <w:qFormat/>
    <w:uiPriority w:val="99"/>
    <w:rPr>
      <w:color w:val="auto"/>
    </w:rPr>
  </w:style>
  <w:style w:type="character" w:styleId="28">
    <w:name w:val="Hyperlink"/>
    <w:qFormat/>
    <w:uiPriority w:val="99"/>
    <w:rPr>
      <w:color w:val="0000FF"/>
      <w:u w:val="single"/>
    </w:rPr>
  </w:style>
  <w:style w:type="character" w:styleId="29">
    <w:name w:val="annotation reference"/>
    <w:semiHidden/>
    <w:qFormat/>
    <w:uiPriority w:val="99"/>
    <w:rPr>
      <w:sz w:val="21"/>
      <w:szCs w:val="21"/>
    </w:rPr>
  </w:style>
  <w:style w:type="character" w:styleId="30">
    <w:name w:val="footnote reference"/>
    <w:semiHidden/>
    <w:qFormat/>
    <w:uiPriority w:val="99"/>
    <w:rPr>
      <w:vertAlign w:val="superscript"/>
    </w:rPr>
  </w:style>
  <w:style w:type="character" w:customStyle="1" w:styleId="31">
    <w:name w:val="标题 1 字符"/>
    <w:link w:val="2"/>
    <w:qFormat/>
    <w:locked/>
    <w:uiPriority w:val="99"/>
    <w:rPr>
      <w:rFonts w:ascii="Times New Roman" w:hAnsi="Times New Roman" w:eastAsia="黑体" w:cs="Times New Roman"/>
      <w:b/>
      <w:bCs/>
      <w:color w:val="000000"/>
      <w:kern w:val="44"/>
      <w:sz w:val="44"/>
      <w:szCs w:val="44"/>
      <w:u w:color="000000"/>
    </w:rPr>
  </w:style>
  <w:style w:type="character" w:customStyle="1" w:styleId="32">
    <w:name w:val="标题 2 字符"/>
    <w:link w:val="3"/>
    <w:qFormat/>
    <w:locked/>
    <w:uiPriority w:val="99"/>
    <w:rPr>
      <w:rFonts w:ascii="Arial" w:hAnsi="Arial" w:eastAsia="黑体" w:cs="Arial"/>
      <w:b/>
      <w:bCs/>
      <w:kern w:val="2"/>
      <w:sz w:val="32"/>
      <w:szCs w:val="32"/>
    </w:rPr>
  </w:style>
  <w:style w:type="character" w:customStyle="1" w:styleId="33">
    <w:name w:val="标题 3 字符"/>
    <w:link w:val="4"/>
    <w:qFormat/>
    <w:locked/>
    <w:uiPriority w:val="99"/>
    <w:rPr>
      <w:rFonts w:ascii="Times New Roman" w:hAnsi="Times New Roman" w:eastAsia="仿宋_GB2312" w:cs="Times New Roman"/>
      <w:b/>
      <w:bCs/>
      <w:sz w:val="32"/>
      <w:szCs w:val="32"/>
      <w:u w:color="000000"/>
    </w:rPr>
  </w:style>
  <w:style w:type="character" w:customStyle="1" w:styleId="34">
    <w:name w:val="标题 4 字符"/>
    <w:link w:val="5"/>
    <w:qFormat/>
    <w:locked/>
    <w:uiPriority w:val="99"/>
    <w:rPr>
      <w:rFonts w:ascii="Cambria" w:hAnsi="Cambria" w:eastAsia="宋体" w:cs="Cambria"/>
      <w:b/>
      <w:bCs/>
      <w:kern w:val="2"/>
      <w:sz w:val="28"/>
      <w:szCs w:val="28"/>
    </w:rPr>
  </w:style>
  <w:style w:type="character" w:customStyle="1" w:styleId="35">
    <w:name w:val="标题 5 字符"/>
    <w:link w:val="6"/>
    <w:qFormat/>
    <w:locked/>
    <w:uiPriority w:val="99"/>
    <w:rPr>
      <w:rFonts w:ascii="Times New Roman" w:hAnsi="Times New Roman" w:eastAsia="宋体" w:cs="Times New Roman"/>
      <w:b/>
      <w:bCs/>
      <w:kern w:val="2"/>
      <w:sz w:val="28"/>
      <w:szCs w:val="28"/>
    </w:rPr>
  </w:style>
  <w:style w:type="character" w:customStyle="1" w:styleId="36">
    <w:name w:val="标题 6 字符"/>
    <w:link w:val="7"/>
    <w:qFormat/>
    <w:locked/>
    <w:uiPriority w:val="99"/>
    <w:rPr>
      <w:rFonts w:ascii="Cambria" w:hAnsi="Cambria" w:eastAsia="宋体" w:cs="Cambria"/>
      <w:b/>
      <w:bCs/>
      <w:kern w:val="2"/>
      <w:sz w:val="24"/>
      <w:szCs w:val="24"/>
    </w:rPr>
  </w:style>
  <w:style w:type="character" w:customStyle="1" w:styleId="37">
    <w:name w:val="文档结构图 字符"/>
    <w:link w:val="8"/>
    <w:semiHidden/>
    <w:qFormat/>
    <w:locked/>
    <w:uiPriority w:val="99"/>
    <w:rPr>
      <w:rFonts w:ascii="Times New Roman" w:hAnsi="Times New Roman" w:eastAsia="宋体" w:cs="Times New Roman"/>
      <w:kern w:val="2"/>
      <w:sz w:val="24"/>
      <w:szCs w:val="24"/>
      <w:shd w:val="clear" w:color="auto" w:fill="000080"/>
    </w:rPr>
  </w:style>
  <w:style w:type="character" w:customStyle="1" w:styleId="38">
    <w:name w:val="批注文字 字符"/>
    <w:link w:val="9"/>
    <w:locked/>
    <w:uiPriority w:val="99"/>
    <w:rPr>
      <w:rFonts w:ascii="Tahoma" w:hAnsi="Tahoma" w:cs="Tahoma"/>
    </w:rPr>
  </w:style>
  <w:style w:type="character" w:customStyle="1" w:styleId="39">
    <w:name w:val="正文文本 字符"/>
    <w:link w:val="10"/>
    <w:qFormat/>
    <w:locked/>
    <w:uiPriority w:val="99"/>
    <w:rPr>
      <w:rFonts w:ascii="Times New Roman" w:hAnsi="Times New Roman" w:eastAsia="宋体" w:cs="Times New Roman"/>
      <w:kern w:val="2"/>
      <w:sz w:val="24"/>
      <w:szCs w:val="24"/>
    </w:rPr>
  </w:style>
  <w:style w:type="character" w:customStyle="1" w:styleId="40">
    <w:name w:val="纯文本 字符"/>
    <w:link w:val="12"/>
    <w:qFormat/>
    <w:locked/>
    <w:uiPriority w:val="99"/>
    <w:rPr>
      <w:rFonts w:ascii="宋体" w:hAnsi="Times New Roman" w:eastAsia="宋体" w:cs="宋体"/>
      <w:color w:val="000000"/>
      <w:sz w:val="20"/>
      <w:szCs w:val="20"/>
      <w:u w:color="000000"/>
    </w:rPr>
  </w:style>
  <w:style w:type="character" w:customStyle="1" w:styleId="41">
    <w:name w:val="批注框文本 字符"/>
    <w:link w:val="13"/>
    <w:locked/>
    <w:uiPriority w:val="99"/>
    <w:rPr>
      <w:rFonts w:ascii="Times New Roman" w:hAnsi="Times New Roman" w:eastAsia="宋体" w:cs="Times New Roman"/>
      <w:kern w:val="2"/>
      <w:sz w:val="18"/>
      <w:szCs w:val="18"/>
    </w:rPr>
  </w:style>
  <w:style w:type="character" w:customStyle="1" w:styleId="42">
    <w:name w:val="页脚 字符"/>
    <w:link w:val="14"/>
    <w:qFormat/>
    <w:locked/>
    <w:uiPriority w:val="99"/>
    <w:rPr>
      <w:rFonts w:ascii="Tahoma" w:hAnsi="Tahoma" w:cs="Tahoma"/>
      <w:sz w:val="18"/>
      <w:szCs w:val="18"/>
    </w:rPr>
  </w:style>
  <w:style w:type="character" w:customStyle="1" w:styleId="43">
    <w:name w:val="页眉 字符"/>
    <w:link w:val="15"/>
    <w:locked/>
    <w:uiPriority w:val="99"/>
    <w:rPr>
      <w:rFonts w:ascii="Tahoma" w:hAnsi="Tahoma" w:cs="Tahoma"/>
      <w:sz w:val="18"/>
      <w:szCs w:val="18"/>
    </w:rPr>
  </w:style>
  <w:style w:type="character" w:customStyle="1" w:styleId="44">
    <w:name w:val="脚注文本 字符"/>
    <w:link w:val="17"/>
    <w:qFormat/>
    <w:locked/>
    <w:uiPriority w:val="99"/>
    <w:rPr>
      <w:rFonts w:ascii="Times New Roman" w:hAnsi="Times New Roman" w:eastAsia="宋体" w:cs="Times New Roman"/>
      <w:kern w:val="2"/>
      <w:sz w:val="18"/>
      <w:szCs w:val="18"/>
    </w:rPr>
  </w:style>
  <w:style w:type="character" w:customStyle="1" w:styleId="45">
    <w:name w:val="HTML 预设格式 字符"/>
    <w:link w:val="19"/>
    <w:qFormat/>
    <w:locked/>
    <w:uiPriority w:val="99"/>
    <w:rPr>
      <w:rFonts w:ascii="宋体" w:hAnsi="宋体" w:eastAsia="宋体" w:cs="宋体"/>
      <w:sz w:val="24"/>
      <w:szCs w:val="24"/>
    </w:rPr>
  </w:style>
  <w:style w:type="character" w:customStyle="1" w:styleId="46">
    <w:name w:val="标题 字符"/>
    <w:link w:val="21"/>
    <w:qFormat/>
    <w:locked/>
    <w:uiPriority w:val="99"/>
    <w:rPr>
      <w:rFonts w:ascii="Cambria" w:hAnsi="Cambria" w:eastAsia="宋体" w:cs="Cambria"/>
      <w:b/>
      <w:bCs/>
      <w:kern w:val="2"/>
      <w:sz w:val="32"/>
      <w:szCs w:val="32"/>
    </w:rPr>
  </w:style>
  <w:style w:type="character" w:customStyle="1" w:styleId="47">
    <w:name w:val="批注主题 字符"/>
    <w:link w:val="22"/>
    <w:qFormat/>
    <w:locked/>
    <w:uiPriority w:val="99"/>
    <w:rPr>
      <w:rFonts w:ascii="Times New Roman" w:hAnsi="Times New Roman" w:eastAsia="宋体" w:cs="Times New Roman"/>
      <w:b/>
      <w:bCs/>
      <w:kern w:val="2"/>
      <w:sz w:val="24"/>
      <w:szCs w:val="24"/>
    </w:rPr>
  </w:style>
  <w:style w:type="paragraph" w:customStyle="1" w:styleId="48">
    <w:name w:val="标题1"/>
    <w:basedOn w:val="1"/>
    <w:uiPriority w:val="99"/>
    <w:pPr>
      <w:widowControl w:val="0"/>
      <w:adjustRightInd/>
      <w:snapToGrid/>
      <w:spacing w:after="0"/>
      <w:ind w:firstLine="640" w:firstLineChars="200"/>
      <w:jc w:val="center"/>
    </w:pPr>
    <w:rPr>
      <w:rFonts w:ascii="Times New Roman" w:hAnsi="Times New Roman" w:eastAsia="黑体" w:cs="Times New Roman"/>
      <w:kern w:val="2"/>
      <w:sz w:val="32"/>
      <w:szCs w:val="32"/>
    </w:rPr>
  </w:style>
  <w:style w:type="paragraph" w:styleId="49">
    <w:name w:val="List Paragraph"/>
    <w:basedOn w:val="1"/>
    <w:qFormat/>
    <w:uiPriority w:val="99"/>
    <w:pPr>
      <w:ind w:firstLine="420" w:firstLineChars="200"/>
    </w:pPr>
  </w:style>
  <w:style w:type="paragraph" w:customStyle="1" w:styleId="50">
    <w:name w:val="xl69"/>
    <w:basedOn w:val="1"/>
    <w:uiPriority w:val="99"/>
    <w:pPr>
      <w:pBdr>
        <w:top w:val="single" w:color="auto" w:sz="8" w:space="0"/>
        <w:left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51">
    <w:name w:val="xl74"/>
    <w:basedOn w:val="1"/>
    <w:uiPriority w:val="99"/>
    <w:pPr>
      <w:pBdr>
        <w:right w:val="single" w:color="auto" w:sz="8" w:space="0"/>
      </w:pBdr>
      <w:adjustRightInd/>
      <w:snapToGrid/>
      <w:spacing w:before="100" w:beforeAutospacing="1" w:after="100" w:afterAutospacing="1"/>
      <w:jc w:val="center"/>
    </w:pPr>
    <w:rPr>
      <w:rFonts w:ascii="宋体" w:hAnsi="宋体" w:eastAsia="宋体" w:cs="宋体"/>
    </w:rPr>
  </w:style>
  <w:style w:type="paragraph" w:customStyle="1" w:styleId="52">
    <w:name w:val="xl70"/>
    <w:basedOn w:val="1"/>
    <w:uiPriority w:val="99"/>
    <w:pPr>
      <w:pBdr>
        <w:left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53">
    <w:name w:val="font7"/>
    <w:basedOn w:val="1"/>
    <w:uiPriority w:val="99"/>
    <w:pPr>
      <w:adjustRightInd/>
      <w:snapToGrid/>
      <w:spacing w:before="100" w:beforeAutospacing="1" w:after="100" w:afterAutospacing="1"/>
    </w:pPr>
    <w:rPr>
      <w:rFonts w:ascii="宋体" w:hAnsi="宋体" w:eastAsia="宋体" w:cs="宋体"/>
      <w:color w:val="000000"/>
      <w:sz w:val="24"/>
      <w:szCs w:val="24"/>
    </w:rPr>
  </w:style>
  <w:style w:type="paragraph" w:customStyle="1" w:styleId="54">
    <w:name w:val="xl72"/>
    <w:basedOn w:val="1"/>
    <w:uiPriority w:val="99"/>
    <w:pPr>
      <w:pBdr>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rPr>
  </w:style>
  <w:style w:type="paragraph" w:customStyle="1" w:styleId="55">
    <w:name w:val="xl67"/>
    <w:basedOn w:val="1"/>
    <w:uiPriority w:val="99"/>
    <w:pPr>
      <w:pBdr>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56">
    <w:name w:val="font5"/>
    <w:basedOn w:val="1"/>
    <w:uiPriority w:val="99"/>
    <w:pPr>
      <w:adjustRightInd/>
      <w:snapToGrid/>
      <w:spacing w:before="100" w:beforeAutospacing="1" w:after="100" w:afterAutospacing="1"/>
    </w:pPr>
    <w:rPr>
      <w:rFonts w:ascii="宋体" w:hAnsi="宋体" w:eastAsia="宋体" w:cs="宋体"/>
      <w:b/>
      <w:bCs/>
      <w:color w:val="000000"/>
      <w:sz w:val="24"/>
      <w:szCs w:val="24"/>
    </w:rPr>
  </w:style>
  <w:style w:type="paragraph" w:customStyle="1" w:styleId="57">
    <w:name w:val="xl65"/>
    <w:basedOn w:val="1"/>
    <w:uiPriority w:val="99"/>
    <w:pPr>
      <w:adjustRightInd/>
      <w:snapToGrid/>
      <w:spacing w:before="100" w:beforeAutospacing="1" w:after="100" w:afterAutospacing="1"/>
    </w:pPr>
    <w:rPr>
      <w:rFonts w:ascii="宋体" w:hAnsi="宋体" w:eastAsia="宋体" w:cs="宋体"/>
      <w:sz w:val="24"/>
      <w:szCs w:val="24"/>
    </w:rPr>
  </w:style>
  <w:style w:type="paragraph" w:customStyle="1" w:styleId="58">
    <w:name w:val="font6"/>
    <w:basedOn w:val="1"/>
    <w:qFormat/>
    <w:uiPriority w:val="99"/>
    <w:pPr>
      <w:adjustRightInd/>
      <w:snapToGrid/>
      <w:spacing w:before="100" w:beforeAutospacing="1" w:after="100" w:afterAutospacing="1"/>
    </w:pPr>
    <w:rPr>
      <w:rFonts w:ascii="宋体" w:hAnsi="宋体" w:eastAsia="宋体" w:cs="宋体"/>
      <w:color w:val="000000"/>
    </w:rPr>
  </w:style>
  <w:style w:type="paragraph" w:customStyle="1" w:styleId="59">
    <w:name w:val="xl75"/>
    <w:basedOn w:val="1"/>
    <w:uiPriority w:val="99"/>
    <w:pPr>
      <w:pBdr>
        <w:bottom w:val="single" w:color="auto" w:sz="8" w:space="0"/>
        <w:right w:val="single" w:color="auto" w:sz="8" w:space="0"/>
      </w:pBdr>
      <w:adjustRightInd/>
      <w:snapToGrid/>
      <w:spacing w:before="100" w:beforeAutospacing="1" w:after="100" w:afterAutospacing="1"/>
      <w:jc w:val="center"/>
    </w:pPr>
    <w:rPr>
      <w:rFonts w:ascii="宋体" w:hAnsi="宋体" w:eastAsia="宋体" w:cs="宋体"/>
    </w:rPr>
  </w:style>
  <w:style w:type="paragraph" w:customStyle="1" w:styleId="60">
    <w:name w:val="Char Char Char Char Char Char1 Char"/>
    <w:basedOn w:val="1"/>
    <w:uiPriority w:val="99"/>
    <w:pPr>
      <w:adjustRightInd/>
      <w:snapToGrid/>
      <w:spacing w:after="160" w:line="240" w:lineRule="exact"/>
    </w:pPr>
    <w:rPr>
      <w:rFonts w:ascii="Times New Roman" w:hAnsi="Times New Roman" w:eastAsia="宋体" w:cs="Times New Roman"/>
      <w:kern w:val="2"/>
      <w:sz w:val="21"/>
      <w:szCs w:val="21"/>
    </w:rPr>
  </w:style>
  <w:style w:type="paragraph" w:customStyle="1" w:styleId="61">
    <w:name w:val="xl68"/>
    <w:basedOn w:val="1"/>
    <w:uiPriority w:val="99"/>
    <w:pPr>
      <w:pBdr>
        <w:bottom w:val="single" w:color="auto" w:sz="8" w:space="0"/>
        <w:right w:val="single" w:color="auto" w:sz="8" w:space="0"/>
      </w:pBdr>
      <w:adjustRightInd/>
      <w:snapToGrid/>
      <w:spacing w:before="100" w:beforeAutospacing="1" w:after="100" w:afterAutospacing="1"/>
      <w:jc w:val="center"/>
      <w:textAlignment w:val="top"/>
    </w:pPr>
    <w:rPr>
      <w:rFonts w:ascii="宋体" w:hAnsi="宋体" w:eastAsia="宋体" w:cs="宋体"/>
    </w:rPr>
  </w:style>
  <w:style w:type="paragraph" w:customStyle="1" w:styleId="62">
    <w:name w:val="xl66"/>
    <w:basedOn w:val="1"/>
    <w:uiPriority w:val="99"/>
    <w:pPr>
      <w:pBdr>
        <w:top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63">
    <w:name w:val="xl73"/>
    <w:basedOn w:val="1"/>
    <w:uiPriority w:val="99"/>
    <w:pPr>
      <w:pBdr>
        <w:top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64">
    <w:name w:val="xl71"/>
    <w:basedOn w:val="1"/>
    <w:uiPriority w:val="99"/>
    <w:pPr>
      <w:pBdr>
        <w:right w:val="single" w:color="auto" w:sz="8" w:space="0"/>
      </w:pBdr>
      <w:adjustRightInd/>
      <w:snapToGrid/>
      <w:spacing w:before="100" w:beforeAutospacing="1" w:after="100" w:afterAutospacing="1"/>
      <w:jc w:val="center"/>
    </w:pPr>
    <w:rPr>
      <w:rFonts w:ascii="宋体" w:hAnsi="宋体" w:eastAsia="宋体" w:cs="宋体"/>
      <w:b/>
      <w:bCs/>
    </w:rPr>
  </w:style>
  <w:style w:type="paragraph" w:customStyle="1" w:styleId="65">
    <w:name w:val="样式 标题 2 + 行距: 固定值 30 磅"/>
    <w:basedOn w:val="3"/>
    <w:uiPriority w:val="99"/>
    <w:pPr>
      <w:widowControl/>
      <w:spacing w:line="600" w:lineRule="exact"/>
      <w:jc w:val="left"/>
      <w:textAlignment w:val="baseline"/>
    </w:pPr>
    <w:rPr>
      <w:rFonts w:eastAsia="楷体_GB2312"/>
      <w:color w:val="000000"/>
      <w:kern w:val="0"/>
      <w:u w:color="000000"/>
    </w:rPr>
  </w:style>
  <w:style w:type="paragraph" w:customStyle="1" w:styleId="66">
    <w:name w:val="列出段落1"/>
    <w:basedOn w:val="1"/>
    <w:uiPriority w:val="99"/>
    <w:pPr>
      <w:widowControl w:val="0"/>
      <w:adjustRightInd/>
      <w:snapToGrid/>
      <w:spacing w:after="0"/>
      <w:ind w:firstLine="420" w:firstLineChars="200"/>
      <w:jc w:val="both"/>
    </w:pPr>
    <w:rPr>
      <w:rFonts w:ascii="Times New Roman" w:hAnsi="Times New Roman" w:eastAsia="宋体" w:cs="Times New Roman"/>
      <w:kern w:val="2"/>
      <w:sz w:val="21"/>
      <w:szCs w:val="21"/>
    </w:rPr>
  </w:style>
  <w:style w:type="paragraph" w:customStyle="1" w:styleId="67">
    <w:name w:val="Char Char"/>
    <w:basedOn w:val="1"/>
    <w:uiPriority w:val="99"/>
    <w:pPr>
      <w:widowControl w:val="0"/>
      <w:adjustRightInd/>
      <w:snapToGrid/>
      <w:spacing w:after="0"/>
      <w:jc w:val="both"/>
    </w:pPr>
    <w:rPr>
      <w:rFonts w:ascii="Times New Roman" w:hAnsi="Times New Roman" w:eastAsia="宋体" w:cs="Times New Roman"/>
      <w:kern w:val="2"/>
      <w:sz w:val="21"/>
      <w:szCs w:val="21"/>
    </w:rPr>
  </w:style>
  <w:style w:type="paragraph" w:customStyle="1" w:styleId="68">
    <w:name w:val="Char"/>
    <w:basedOn w:val="1"/>
    <w:uiPriority w:val="99"/>
    <w:pPr>
      <w:adjustRightInd/>
      <w:snapToGrid/>
      <w:spacing w:after="160" w:line="240" w:lineRule="exact"/>
    </w:pPr>
    <w:rPr>
      <w:rFonts w:ascii="Calibri" w:hAnsi="Calibri" w:eastAsia="宋体" w:cs="Calibri"/>
      <w:kern w:val="2"/>
      <w:sz w:val="21"/>
      <w:szCs w:val="21"/>
    </w:rPr>
  </w:style>
  <w:style w:type="paragraph" w:customStyle="1" w:styleId="69">
    <w:name w:val="p"/>
    <w:basedOn w:val="1"/>
    <w:uiPriority w:val="99"/>
    <w:pPr>
      <w:adjustRightInd/>
      <w:snapToGrid/>
      <w:spacing w:before="100" w:beforeAutospacing="1" w:after="100" w:afterAutospacing="1"/>
    </w:pPr>
    <w:rPr>
      <w:rFonts w:ascii="宋体" w:hAnsi="宋体" w:eastAsia="宋体" w:cs="宋体"/>
      <w:sz w:val="24"/>
      <w:szCs w:val="24"/>
    </w:rPr>
  </w:style>
  <w:style w:type="paragraph" w:customStyle="1" w:styleId="70">
    <w:name w:val="默认段落字体 Para Char Char Char Char"/>
    <w:basedOn w:val="1"/>
    <w:uiPriority w:val="99"/>
    <w:pPr>
      <w:widowControl w:val="0"/>
      <w:adjustRightInd/>
      <w:snapToGrid/>
      <w:spacing w:after="0"/>
      <w:jc w:val="both"/>
    </w:pPr>
    <w:rPr>
      <w:rFonts w:ascii="Times New Roman" w:hAnsi="Times New Roman" w:eastAsia="宋体" w:cs="Times New Roman"/>
      <w:sz w:val="21"/>
      <w:szCs w:val="21"/>
      <w:lang w:eastAsia="en-US"/>
    </w:rPr>
  </w:style>
  <w:style w:type="paragraph" w:customStyle="1" w:styleId="71">
    <w:name w:val="TOC 标题1"/>
    <w:basedOn w:val="2"/>
    <w:next w:val="1"/>
    <w:uiPriority w:val="99"/>
    <w:pPr>
      <w:spacing w:before="480" w:after="0" w:line="276" w:lineRule="auto"/>
      <w:jc w:val="left"/>
      <w:textAlignment w:val="auto"/>
      <w:outlineLvl w:val="9"/>
    </w:pPr>
    <w:rPr>
      <w:rFonts w:ascii="Cambria" w:hAnsi="Cambria" w:eastAsia="宋体" w:cs="Cambria"/>
      <w:color w:val="365F91"/>
      <w:kern w:val="0"/>
      <w:sz w:val="28"/>
      <w:szCs w:val="28"/>
    </w:rPr>
  </w:style>
  <w:style w:type="character" w:customStyle="1" w:styleId="72">
    <w:name w:val="font01"/>
    <w:uiPriority w:val="99"/>
    <w:rPr>
      <w:rFonts w:ascii="宋体" w:hAnsi="宋体" w:eastAsia="宋体" w:cs="宋体"/>
      <w:b/>
      <w:bCs/>
      <w:color w:val="000000"/>
      <w:sz w:val="32"/>
      <w:szCs w:val="32"/>
      <w:u w:val="none"/>
    </w:rPr>
  </w:style>
  <w:style w:type="character" w:customStyle="1" w:styleId="73">
    <w:name w:val="font21"/>
    <w:uiPriority w:val="99"/>
    <w:rPr>
      <w:rFonts w:ascii="Times New Roman" w:hAnsi="Times New Roman" w:cs="Times New Roman"/>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9ED4E1-DE84-46C3-B4CC-4E055D64B6F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10766</Words>
  <Characters>11413</Characters>
  <Lines>97</Lines>
  <Paragraphs>27</Paragraphs>
  <TotalTime>4</TotalTime>
  <ScaleCrop>false</ScaleCrop>
  <LinksUpToDate>false</LinksUpToDate>
  <CharactersWithSpaces>11708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2022-12-29T08:39:00Z</dcterms:created>
  <dc:creator>Administrator</dc:creator>
  <cp:lastModifiedBy>小胖粥</cp:lastModifiedBy>
  <cp:lastPrinted>2022-12-30T05:51:00Z</cp:lastPrinted>
  <dcterms:modified xsi:type="dcterms:W3CDTF">2024-08-07T07:14:01Z</dcterms:modified>
  <dc:title>附件3：</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F3FE9A859B9A4CB7BE305ED8306B8861_13</vt:lpwstr>
  </property>
</Properties>
</file>