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保定市徐水区交通运输局</w:t>
      </w:r>
    </w:p>
    <w:p>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val="en-US" w:eastAsia="zh-CN"/>
        </w:rPr>
        <w:t>中华人民共和国</w:t>
      </w:r>
      <w:r>
        <w:rPr>
          <w:rFonts w:hint="eastAsia" w:ascii="Times New Roman" w:hAnsi="Times New Roman" w:eastAsia="方正仿宋_GBK" w:cs="Times New Roman"/>
          <w:color w:val="000000"/>
          <w:sz w:val="28"/>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500" w:lineRule="exact"/>
        <w:ind w:firstLine="560"/>
      </w:pPr>
      <w:r>
        <w:rPr>
          <w:rFonts w:ascii="Times New Roman" w:hAnsi="Times New Roman" w:eastAsia="方正仿宋_GBK" w:cs="Times New Roman"/>
          <w:color w:val="000000"/>
          <w:sz w:val="28"/>
        </w:rPr>
        <w:t>根据《保定市徐水区交通运输局职能配置、内设机构和人员编制规定》，保定市徐水区交通运输局的主要职责是：</w:t>
      </w:r>
    </w:p>
    <w:p>
      <w:pPr>
        <w:pStyle w:val="10"/>
      </w:pPr>
      <w:r>
        <w:t>根据《保定市徐水区交通运输局职能配置、内设机构和人员编制规定》， 保定市徐水区交通运输局的主要职责是：</w:t>
      </w:r>
    </w:p>
    <w:p>
      <w:pPr>
        <w:pStyle w:val="10"/>
      </w:pPr>
      <w:r>
        <w:t>根据保定市徐水县人民政府办公室《关于印发&lt;徐水县交通运输局主要职责、内设机构和人员编制规定&gt;的通知》（徐政办[2010]71号），我部门职责如下：</w:t>
      </w:r>
    </w:p>
    <w:p>
      <w:pPr>
        <w:pStyle w:val="10"/>
      </w:pPr>
      <w:r>
        <w:t>（一）根据区总体部署，拟定全区公路、水路交通发展规划、中长期规划和年度计划。</w:t>
      </w:r>
    </w:p>
    <w:p>
      <w:pPr>
        <w:pStyle w:val="10"/>
      </w:pPr>
      <w:r>
        <w:t>（二）负责全区公路、水路的运输行业管理和运输组织管理；负责全区营业性客货运输停车站（场）的行业管理；负责全区出租汽车管理。</w:t>
      </w:r>
    </w:p>
    <w:p>
      <w:pPr>
        <w:pStyle w:val="10"/>
      </w:pPr>
      <w:r>
        <w:t>（三）会同有关部门培育和管理交通运输市场和交通基础设施建设，引导交通运输业优化结构，协调发展。</w:t>
      </w:r>
    </w:p>
    <w:p>
      <w:pPr>
        <w:pStyle w:val="10"/>
      </w:pPr>
      <w:r>
        <w:t>（四）组织县乡公路及其设施的建设、养护、管理和规费稽征；负责全区道路运输市场、汽车维修市场、车辆技术检测、汽车驾驶学校和驾驶员工作的行业管理；指导和管理城乡客、货运输的衔接协调工作。</w:t>
      </w:r>
    </w:p>
    <w:p>
      <w:pPr>
        <w:pStyle w:val="10"/>
      </w:pPr>
      <w:r>
        <w:t>（五）负责全区车辆规费稽征；负责水上港航监督、船舶检验维修、救助打捞、通信导航、船舶代理、航道和港航设施建设使用岸线的行业管理。</w:t>
      </w:r>
    </w:p>
    <w:p>
      <w:pPr>
        <w:pStyle w:val="10"/>
      </w:pPr>
      <w:r>
        <w:t>（六）指导全区交通行业体制改革和企业管理；负责局属单位国有资产管理；组织全区交通系统内部审计工作。</w:t>
      </w:r>
    </w:p>
    <w:p>
      <w:pPr>
        <w:pStyle w:val="10"/>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pPr>
        <w:pStyle w:val="10"/>
      </w:pPr>
      <w:r>
        <w:t>（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pPr>
        <w:pStyle w:val="10"/>
      </w:pPr>
      <w:r>
        <w:t>（九）指导全区交通行业涉外工作，指导利用外资。</w:t>
      </w:r>
    </w:p>
    <w:p>
      <w:pPr>
        <w:pStyle w:val="10"/>
      </w:pPr>
      <w:r>
        <w:rPr>
          <w:rFonts w:hint="eastAsia"/>
        </w:rPr>
        <w:t>（十）承办区政府交办的其他事项。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3119"/>
        <w:gridCol w:w="1562"/>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19"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56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pPr>
              <w:jc w:val="center"/>
              <w:rPr>
                <w:rFonts w:ascii="仿宋" w:hAnsi="仿宋" w:eastAsia="仿宋"/>
                <w:bCs/>
                <w:sz w:val="24"/>
                <w:szCs w:val="24"/>
              </w:rPr>
            </w:pPr>
            <w:r>
              <w:rPr>
                <w:rFonts w:hint="eastAsia" w:ascii="仿宋" w:hAnsi="仿宋" w:eastAsia="仿宋"/>
                <w:bCs/>
                <w:sz w:val="24"/>
                <w:szCs w:val="24"/>
              </w:rPr>
              <w:t>1</w:t>
            </w:r>
          </w:p>
        </w:tc>
        <w:tc>
          <w:tcPr>
            <w:tcW w:w="3119" w:type="dxa"/>
            <w:tcBorders>
              <w:bottom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w:t>
            </w:r>
          </w:p>
        </w:tc>
        <w:tc>
          <w:tcPr>
            <w:tcW w:w="1562"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418"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3260"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pPr>
              <w:jc w:val="center"/>
              <w:rPr>
                <w:rFonts w:ascii="仿宋" w:hAnsi="仿宋" w:eastAsia="仿宋"/>
                <w:bCs/>
                <w:sz w:val="24"/>
                <w:szCs w:val="24"/>
              </w:rPr>
            </w:pPr>
            <w:r>
              <w:rPr>
                <w:rFonts w:hint="eastAsia" w:ascii="仿宋" w:hAnsi="仿宋" w:eastAsia="仿宋"/>
                <w:bCs/>
                <w:sz w:val="24"/>
                <w:szCs w:val="24"/>
              </w:rPr>
              <w:t>2</w:t>
            </w:r>
          </w:p>
        </w:tc>
        <w:tc>
          <w:tcPr>
            <w:tcW w:w="3119" w:type="dxa"/>
            <w:tcBorders>
              <w:top w:val="single" w:color="auto" w:sz="4" w:space="0"/>
              <w:bottom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保定市徐水区交通运输局道路运输管理站</w:t>
            </w:r>
          </w:p>
        </w:tc>
        <w:tc>
          <w:tcPr>
            <w:tcW w:w="1562"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260"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pPr>
              <w:jc w:val="center"/>
              <w:rPr>
                <w:rFonts w:ascii="仿宋" w:hAnsi="仿宋" w:eastAsia="仿宋"/>
                <w:bCs/>
                <w:sz w:val="24"/>
                <w:szCs w:val="24"/>
              </w:rPr>
            </w:pPr>
            <w:r>
              <w:rPr>
                <w:rFonts w:hint="eastAsia" w:ascii="仿宋" w:hAnsi="仿宋" w:eastAsia="仿宋"/>
                <w:bCs/>
                <w:sz w:val="24"/>
                <w:szCs w:val="24"/>
              </w:rPr>
              <w:t>3</w:t>
            </w:r>
          </w:p>
        </w:tc>
        <w:tc>
          <w:tcPr>
            <w:tcW w:w="3119" w:type="dxa"/>
            <w:tcBorders>
              <w:top w:val="single" w:color="auto" w:sz="4" w:space="0"/>
              <w:bottom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保定市徐水区道桥管理中心</w:t>
            </w:r>
          </w:p>
        </w:tc>
        <w:tc>
          <w:tcPr>
            <w:tcW w:w="1562"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260"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2022年预算收入为6915.82万元,其中：一般公共预算收入2514.32万元，基金预算收入400万元，财政专户收入0万元，其他来源收入1.5万元</w:t>
      </w:r>
      <w:r>
        <w:rPr>
          <w:rFonts w:hint="eastAsia" w:ascii="仿宋" w:hAnsi="仿宋" w:eastAsia="仿宋"/>
          <w:sz w:val="32"/>
          <w:szCs w:val="32"/>
        </w:rPr>
        <w:t>，上年结转</w:t>
      </w:r>
      <w:r>
        <w:rPr>
          <w:rFonts w:ascii="仿宋" w:hAnsi="仿宋" w:eastAsia="仿宋"/>
          <w:sz w:val="32"/>
          <w:szCs w:val="32"/>
        </w:rPr>
        <w:t>结余</w:t>
      </w:r>
      <w:r>
        <w:rPr>
          <w:rFonts w:hint="eastAsia" w:ascii="仿宋" w:hAnsi="仿宋" w:eastAsia="仿宋"/>
          <w:sz w:val="32"/>
          <w:szCs w:val="32"/>
        </w:rPr>
        <w:t>4000万元，</w:t>
      </w:r>
      <w:r>
        <w:rPr>
          <w:rFonts w:ascii="仿宋" w:hAnsi="仿宋" w:eastAsia="仿宋"/>
          <w:sz w:val="32"/>
          <w:szCs w:val="32"/>
        </w:rPr>
        <w:t>为</w:t>
      </w:r>
      <w:r>
        <w:rPr>
          <w:rFonts w:hint="eastAsia" w:ascii="仿宋" w:hAnsi="仿宋" w:eastAsia="仿宋"/>
          <w:sz w:val="32"/>
          <w:szCs w:val="32"/>
        </w:rPr>
        <w:t>财政拨款</w:t>
      </w:r>
      <w:r>
        <w:rPr>
          <w:rFonts w:ascii="仿宋" w:hAnsi="仿宋" w:eastAsia="仿宋"/>
          <w:sz w:val="32"/>
          <w:szCs w:val="32"/>
        </w:rPr>
        <w:t>结转的基金预算拨款。</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2022年部门支出预算：6915.82万元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2514.32</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其中：人员经费2354.54万元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日常公用经费159.78万元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4401.5万元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其中：本级支出4401.5万元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6915.82</w:t>
      </w:r>
      <w:r>
        <w:rPr>
          <w:rFonts w:hint="eastAsia" w:ascii="仿宋" w:hAnsi="仿宋" w:eastAsia="仿宋"/>
          <w:sz w:val="32"/>
          <w:szCs w:val="32"/>
        </w:rPr>
        <w:t>万元，较上年增加</w:t>
      </w:r>
      <w:r>
        <w:rPr>
          <w:rFonts w:ascii="仿宋" w:hAnsi="仿宋" w:eastAsia="仿宋"/>
          <w:sz w:val="32"/>
          <w:szCs w:val="32"/>
        </w:rPr>
        <w:t>4261.83万元。其中:基本支出增加488.67万元，主要原因是</w:t>
      </w:r>
      <w:r>
        <w:rPr>
          <w:rFonts w:hint="eastAsia" w:ascii="仿宋" w:hAnsi="仿宋" w:eastAsia="仿宋"/>
          <w:sz w:val="32"/>
          <w:szCs w:val="32"/>
        </w:rPr>
        <w:t>人员工资</w:t>
      </w:r>
      <w:r>
        <w:rPr>
          <w:rFonts w:ascii="仿宋" w:hAnsi="仿宋" w:eastAsia="仿宋"/>
          <w:sz w:val="32"/>
          <w:szCs w:val="32"/>
        </w:rPr>
        <w:t>上调；项目支出增加3773.16万元，主要原因是</w:t>
      </w:r>
      <w:r>
        <w:rPr>
          <w:rFonts w:hint="eastAsia" w:ascii="仿宋" w:hAnsi="仿宋" w:eastAsia="仿宋"/>
          <w:sz w:val="32"/>
          <w:szCs w:val="32"/>
        </w:rPr>
        <w:t>上年未完工</w:t>
      </w:r>
      <w:r>
        <w:rPr>
          <w:rFonts w:ascii="仿宋" w:hAnsi="仿宋" w:eastAsia="仿宋"/>
          <w:sz w:val="32"/>
          <w:szCs w:val="32"/>
        </w:rPr>
        <w:t>项目</w:t>
      </w:r>
      <w:r>
        <w:rPr>
          <w:rFonts w:hint="eastAsia" w:ascii="仿宋" w:hAnsi="仿宋" w:eastAsia="仿宋"/>
          <w:sz w:val="32"/>
          <w:szCs w:val="32"/>
        </w:rPr>
        <w:t>增加</w:t>
      </w:r>
      <w:r>
        <w:rPr>
          <w:rFonts w:ascii="仿宋" w:hAnsi="仿宋" w:eastAsia="仿宋"/>
          <w:sz w:val="32"/>
          <w:szCs w:val="32"/>
        </w:rPr>
        <w:t>到本年度支出。</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2022年我部门</w:t>
      </w:r>
      <w:r>
        <w:rPr>
          <w:rFonts w:hint="eastAsia" w:ascii="仿宋" w:hAnsi="仿宋" w:eastAsia="仿宋"/>
          <w:sz w:val="32"/>
          <w:szCs w:val="32"/>
        </w:rPr>
        <w:t>是</w:t>
      </w:r>
      <w:r>
        <w:rPr>
          <w:rFonts w:ascii="仿宋" w:hAnsi="仿宋" w:eastAsia="仿宋"/>
          <w:sz w:val="32"/>
          <w:szCs w:val="32"/>
        </w:rPr>
        <w:t>事业单位无机关运行经费</w:t>
      </w:r>
      <w:r>
        <w:rPr>
          <w:rFonts w:hint="eastAsia" w:ascii="仿宋" w:hAnsi="仿宋" w:eastAsia="仿宋"/>
          <w:sz w:val="32"/>
          <w:szCs w:val="32"/>
        </w:rPr>
        <w:t>。我单位</w:t>
      </w:r>
      <w:r>
        <w:rPr>
          <w:rFonts w:ascii="仿宋" w:hAnsi="仿宋" w:eastAsia="仿宋"/>
          <w:sz w:val="32"/>
          <w:szCs w:val="32"/>
        </w:rPr>
        <w:t>日常公用经费安排159.78</w:t>
      </w:r>
      <w:r>
        <w:rPr>
          <w:rFonts w:hint="eastAsia" w:ascii="仿宋" w:hAnsi="仿宋" w:eastAsia="仿宋"/>
          <w:sz w:val="32"/>
          <w:szCs w:val="32"/>
        </w:rPr>
        <w:t>万元</w:t>
      </w:r>
      <w:r>
        <w:rPr>
          <w:rFonts w:ascii="仿宋" w:hAnsi="仿宋" w:eastAsia="仿宋"/>
          <w:sz w:val="32"/>
          <w:szCs w:val="32"/>
        </w:rPr>
        <w:t>，其中办公费75.57万元，邮电费4.01万元，</w:t>
      </w:r>
      <w:r>
        <w:rPr>
          <w:rFonts w:hint="eastAsia" w:ascii="仿宋" w:hAnsi="仿宋" w:eastAsia="仿宋"/>
          <w:sz w:val="32"/>
          <w:szCs w:val="32"/>
        </w:rPr>
        <w:t>取暖费16.15万元</w:t>
      </w:r>
      <w:r>
        <w:rPr>
          <w:rFonts w:ascii="仿宋" w:hAnsi="仿宋" w:eastAsia="仿宋"/>
          <w:sz w:val="32"/>
          <w:szCs w:val="32"/>
        </w:rPr>
        <w:t>，</w:t>
      </w:r>
      <w:r>
        <w:rPr>
          <w:rFonts w:hint="eastAsia" w:ascii="仿宋" w:hAnsi="仿宋" w:eastAsia="仿宋"/>
          <w:sz w:val="32"/>
          <w:szCs w:val="32"/>
        </w:rPr>
        <w:t>公务</w:t>
      </w:r>
      <w:r>
        <w:rPr>
          <w:rFonts w:ascii="仿宋" w:hAnsi="仿宋" w:eastAsia="仿宋"/>
          <w:sz w:val="32"/>
          <w:szCs w:val="32"/>
        </w:rPr>
        <w:t>接待费</w:t>
      </w:r>
      <w:r>
        <w:rPr>
          <w:rFonts w:hint="eastAsia" w:ascii="仿宋" w:hAnsi="仿宋" w:eastAsia="仿宋"/>
          <w:sz w:val="32"/>
          <w:szCs w:val="32"/>
        </w:rPr>
        <w:t>0.29万元</w:t>
      </w:r>
      <w:r>
        <w:rPr>
          <w:rFonts w:ascii="仿宋" w:hAnsi="仿宋" w:eastAsia="仿宋"/>
          <w:sz w:val="32"/>
          <w:szCs w:val="32"/>
        </w:rPr>
        <w:t>，工会经费、福利费29.63万元，公务用车运行维护费21.87万元</w:t>
      </w:r>
      <w:r>
        <w:rPr>
          <w:rFonts w:hint="eastAsia" w:ascii="仿宋" w:hAnsi="仿宋" w:eastAsia="仿宋"/>
          <w:sz w:val="32"/>
          <w:szCs w:val="32"/>
        </w:rPr>
        <w:t>，其他</w:t>
      </w:r>
      <w:r>
        <w:rPr>
          <w:rFonts w:ascii="仿宋" w:hAnsi="仿宋" w:eastAsia="仿宋"/>
          <w:sz w:val="32"/>
          <w:szCs w:val="32"/>
        </w:rPr>
        <w:t>交通费用</w:t>
      </w:r>
      <w:r>
        <w:rPr>
          <w:rFonts w:hint="eastAsia" w:ascii="仿宋" w:hAnsi="仿宋" w:eastAsia="仿宋"/>
          <w:sz w:val="32"/>
          <w:szCs w:val="32"/>
        </w:rPr>
        <w:t>6万元</w:t>
      </w:r>
      <w:r>
        <w:rPr>
          <w:rFonts w:ascii="仿宋" w:hAnsi="仿宋" w:eastAsia="仿宋"/>
          <w:sz w:val="32"/>
          <w:szCs w:val="32"/>
        </w:rPr>
        <w:t>，其他</w:t>
      </w:r>
      <w:r>
        <w:rPr>
          <w:rFonts w:hint="eastAsia" w:ascii="仿宋" w:hAnsi="仿宋" w:eastAsia="仿宋"/>
          <w:sz w:val="32"/>
          <w:szCs w:val="32"/>
        </w:rPr>
        <w:t>商品和服务</w:t>
      </w:r>
      <w:r>
        <w:rPr>
          <w:rFonts w:ascii="仿宋" w:hAnsi="仿宋" w:eastAsia="仿宋"/>
          <w:sz w:val="32"/>
          <w:szCs w:val="32"/>
        </w:rPr>
        <w:t>支出6.27万元。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21.87</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-5.13</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按照</w:t>
                  </w:r>
                  <w:r>
                    <w:rPr>
                      <w:rFonts w:ascii="仿宋_GB2312" w:hAnsi="宋体" w:eastAsia="仿宋_GB2312" w:cs="宋体"/>
                      <w:kern w:val="0"/>
                      <w:sz w:val="24"/>
                      <w:szCs w:val="24"/>
                    </w:rPr>
                    <w:t>压减经费、节约支出</w:t>
                  </w:r>
                  <w:r>
                    <w:rPr>
                      <w:rFonts w:hint="eastAsia" w:ascii="仿宋_GB2312" w:hAnsi="宋体" w:eastAsia="仿宋_GB2312" w:cs="宋体"/>
                      <w:kern w:val="0"/>
                      <w:sz w:val="24"/>
                      <w:szCs w:val="24"/>
                    </w:rPr>
                    <w:t>的</w:t>
                  </w:r>
                  <w:r>
                    <w:rPr>
                      <w:rFonts w:ascii="仿宋_GB2312" w:hAnsi="宋体" w:eastAsia="仿宋_GB2312" w:cs="宋体"/>
                      <w:kern w:val="0"/>
                      <w:sz w:val="24"/>
                      <w:szCs w:val="24"/>
                    </w:rPr>
                    <w:t>政策和原则，对经费进行了调减</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0.7</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0.29</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-0.41</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按照</w:t>
                  </w:r>
                  <w:r>
                    <w:rPr>
                      <w:rFonts w:ascii="仿宋_GB2312" w:hAnsi="宋体" w:eastAsia="仿宋_GB2312" w:cs="宋体"/>
                      <w:kern w:val="0"/>
                      <w:sz w:val="24"/>
                      <w:szCs w:val="24"/>
                    </w:rPr>
                    <w:t>压减经费、节约支出</w:t>
                  </w:r>
                  <w:r>
                    <w:rPr>
                      <w:rFonts w:hint="eastAsia" w:ascii="仿宋_GB2312" w:hAnsi="宋体" w:eastAsia="仿宋_GB2312" w:cs="宋体"/>
                      <w:kern w:val="0"/>
                      <w:sz w:val="24"/>
                      <w:szCs w:val="24"/>
                    </w:rPr>
                    <w:t>的</w:t>
                  </w:r>
                  <w:r>
                    <w:rPr>
                      <w:rFonts w:ascii="仿宋_GB2312" w:hAnsi="宋体" w:eastAsia="仿宋_GB2312" w:cs="宋体"/>
                      <w:kern w:val="0"/>
                      <w:sz w:val="24"/>
                      <w:szCs w:val="24"/>
                    </w:rPr>
                    <w:t>政策和原则，</w:t>
                  </w:r>
                  <w:r>
                    <w:rPr>
                      <w:rFonts w:hint="eastAsia" w:ascii="仿宋_GB2312" w:hAnsi="宋体" w:eastAsia="仿宋_GB2312" w:cs="宋体"/>
                      <w:kern w:val="0"/>
                      <w:sz w:val="24"/>
                      <w:szCs w:val="24"/>
                    </w:rPr>
                    <w:t>按</w:t>
                  </w:r>
                  <w:r>
                    <w:rPr>
                      <w:rFonts w:ascii="仿宋_GB2312" w:hAnsi="宋体" w:eastAsia="仿宋_GB2312" w:cs="宋体"/>
                      <w:kern w:val="0"/>
                      <w:sz w:val="24"/>
                      <w:szCs w:val="24"/>
                    </w:rPr>
                    <w:t>预计的实际情况，</w:t>
                  </w:r>
                  <w:r>
                    <w:rPr>
                      <w:rFonts w:hint="eastAsia" w:ascii="仿宋_GB2312" w:hAnsi="宋体" w:eastAsia="仿宋_GB2312" w:cs="宋体"/>
                      <w:kern w:val="0"/>
                      <w:sz w:val="24"/>
                      <w:szCs w:val="24"/>
                    </w:rPr>
                    <w:t>对</w:t>
                  </w:r>
                  <w:r>
                    <w:rPr>
                      <w:rFonts w:ascii="仿宋_GB2312" w:hAnsi="宋体" w:eastAsia="仿宋_GB2312" w:cs="宋体"/>
                      <w:kern w:val="0"/>
                      <w:sz w:val="24"/>
                      <w:szCs w:val="24"/>
                    </w:rPr>
                    <w:t>经费进行了调减。</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27.7</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22.16</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-5.54</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我部门针对三公经费支出制定了严格的管理制度，认真执行中央八项规定</w:t>
                  </w:r>
                  <w:bookmarkStart w:id="4" w:name="_GoBack"/>
                  <w:bookmarkEnd w:id="4"/>
                  <w:r>
                    <w:rPr>
                      <w:rFonts w:hint="eastAsia" w:ascii="仿宋_GB2312" w:hAnsi="宋体" w:eastAsia="仿宋_GB2312" w:cs="宋体"/>
                      <w:kern w:val="0"/>
                      <w:sz w:val="24"/>
                      <w:szCs w:val="24"/>
                    </w:rPr>
                    <w:t>，厉行节约，杜绝浪费。按</w:t>
                  </w:r>
                  <w:r>
                    <w:rPr>
                      <w:rFonts w:ascii="仿宋_GB2312" w:hAnsi="宋体" w:eastAsia="仿宋_GB2312" w:cs="宋体"/>
                      <w:kern w:val="0"/>
                      <w:sz w:val="24"/>
                      <w:szCs w:val="24"/>
                    </w:rPr>
                    <w:t>预计的实际情况，</w:t>
                  </w:r>
                  <w:r>
                    <w:rPr>
                      <w:rFonts w:hint="eastAsia" w:ascii="仿宋_GB2312" w:hAnsi="宋体" w:eastAsia="仿宋_GB2312" w:cs="宋体"/>
                      <w:kern w:val="0"/>
                      <w:sz w:val="24"/>
                      <w:szCs w:val="24"/>
                    </w:rPr>
                    <w:t>对</w:t>
                  </w:r>
                  <w:r>
                    <w:rPr>
                      <w:rFonts w:ascii="仿宋_GB2312" w:hAnsi="宋体" w:eastAsia="仿宋_GB2312" w:cs="宋体"/>
                      <w:kern w:val="0"/>
                      <w:sz w:val="24"/>
                      <w:szCs w:val="24"/>
                    </w:rPr>
                    <w:t>预算进行了调减。</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pPr>
        <w:spacing w:line="360" w:lineRule="auto"/>
        <w:ind w:firstLine="640" w:firstLineChars="200"/>
        <w:rPr>
          <w:rFonts w:ascii="仿宋" w:hAnsi="仿宋" w:eastAsia="仿宋"/>
          <w:sz w:val="32"/>
          <w:szCs w:val="32"/>
        </w:rPr>
      </w:pPr>
      <w:r>
        <w:rPr>
          <w:rFonts w:ascii="仿宋" w:hAnsi="仿宋" w:eastAsia="仿宋"/>
          <w:sz w:val="32"/>
          <w:szCs w:val="32"/>
        </w:rP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pPr>
        <w:spacing w:line="360" w:lineRule="auto"/>
        <w:ind w:firstLine="640" w:firstLineChars="200"/>
        <w:rPr>
          <w:rFonts w:ascii="仿宋" w:hAnsi="仿宋" w:eastAsia="仿宋"/>
          <w:sz w:val="32"/>
          <w:szCs w:val="32"/>
        </w:rPr>
      </w:pPr>
      <w:r>
        <w:rPr>
          <w:rFonts w:ascii="仿宋" w:hAnsi="仿宋" w:eastAsia="仿宋"/>
          <w:sz w:val="32"/>
          <w:szCs w:val="32"/>
        </w:rPr>
        <w:t>二、分项绩效目标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1.保障道路安全畅通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绩效指标：农村公路日常养护500公里，工程质量合格率达到100%；处置危桥不低于5座，处置安防灾害隐患路段长度不低于10公里；项目实施后对区域交通状况改善明显。</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2.优先发展城市公交</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绩效目标：指导全区城市公交行业的管理工作，保障行业安全稳定，完成城市客运行业数据报送；城市客运行业信息报送；进一步落实我区优先发展公共交通战略。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绩效指标：对我区110辆新能源公交电动车进行财政补贴，资金按进度及时拨付，工作完成率为100%。</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3.提高事务处理能力</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绩效目标：加强后勤保障、维持机关正常运转，提高事务性管理工作水平。</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绩效指标：及时完成保安保洁、车辆租赁费用的资金支付，工作完成率为100%，服务对象满意率达90%以上。</w:t>
      </w:r>
    </w:p>
    <w:p>
      <w:pPr>
        <w:spacing w:line="360" w:lineRule="auto"/>
        <w:ind w:firstLine="640" w:firstLineChars="200"/>
        <w:rPr>
          <w:rFonts w:ascii="仿宋" w:hAnsi="仿宋" w:eastAsia="仿宋"/>
          <w:sz w:val="32"/>
          <w:szCs w:val="32"/>
        </w:rPr>
      </w:pPr>
      <w:r>
        <w:rPr>
          <w:rFonts w:ascii="仿宋" w:hAnsi="仿宋" w:eastAsia="仿宋"/>
          <w:sz w:val="32"/>
          <w:szCs w:val="32"/>
        </w:rPr>
        <w:t>三、工作保障措施</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完善制度建设</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在局党组的坚强领导下，制定我单位预算绩效管理有关制度办法、完善财务管理规定，建立健全绩效评价领导机构和工作机构，将事前绩效评估和绩效自评制度化，科学确定全年预算绩效目标，客观评价年度完成情况，落实有关要求。</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加强支出和绩效管理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优化支出结构、编细编实预算，及早履行政府采购手续、尽快启动项目、及时支付资金、确保支出进度达标，提高财政资金使用效益。按要求开展上年度部门预算绩效自评和重点评价工作，对评价中发现的问题及时整改。</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规范财政资金、财务资产管理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强化宣传引导</w:t>
      </w:r>
    </w:p>
    <w:p>
      <w:pPr>
        <w:outlineLvl w:val="0"/>
        <w:rPr>
          <w:rFonts w:ascii="方正小标宋_GBK" w:eastAsia="方正小标宋_GBK"/>
          <w:sz w:val="44"/>
        </w:rPr>
      </w:pPr>
      <w:r>
        <w:rPr>
          <w:rFonts w:hint="eastAsia" w:ascii="仿宋" w:hAnsi="仿宋" w:eastAsia="仿宋"/>
          <w:sz w:val="32"/>
          <w:szCs w:val="32"/>
        </w:rP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仿宋" w:hAnsi="仿宋" w:eastAsia="仿宋"/>
          <w:sz w:val="32"/>
          <w:szCs w:val="32"/>
        </w:rPr>
      </w:pPr>
      <w:r>
        <w:rPr>
          <w:rFonts w:hint="eastAsia" w:ascii="方正小标宋_GBK" w:eastAsia="方正小标宋_GBK"/>
          <w:sz w:val="44"/>
        </w:rPr>
        <w:t>预算项目绩效目标</w:t>
      </w:r>
      <w:r>
        <w:rPr>
          <w:rFonts w:ascii="方正书宋_GBK" w:eastAsia="方正书宋_GBK"/>
        </w:rPr>
        <w:t xml:space="preserve"> </w:t>
      </w:r>
    </w:p>
    <w:p>
      <w:pPr>
        <w:ind w:firstLine="560"/>
        <w:jc w:val="left"/>
        <w:outlineLvl w:val="3"/>
      </w:pPr>
      <w:bookmarkStart w:id="0" w:name="_Toc_4_4_0000000004"/>
      <w:r>
        <w:rPr>
          <w:rFonts w:ascii="方正仿宋_GBK" w:hAnsi="方正仿宋_GBK" w:eastAsia="方正仿宋_GBK" w:cs="方正仿宋_GBK"/>
          <w:color w:val="000000"/>
          <w:sz w:val="28"/>
        </w:rPr>
        <w:t>1.</w:t>
      </w:r>
      <w:r>
        <w:rPr>
          <w:rFonts w:hint="eastAsia"/>
        </w:rPr>
        <w:t xml:space="preserve"> </w:t>
      </w:r>
      <w:r>
        <w:rPr>
          <w:rFonts w:hint="eastAsia" w:ascii="方正仿宋_GBK" w:hAnsi="方正仿宋_GBK" w:eastAsia="方正仿宋_GBK" w:cs="方正仿宋_GBK"/>
          <w:color w:val="000000"/>
          <w:sz w:val="28"/>
        </w:rPr>
        <w:t>徐水区西外环南段工程项目</w:t>
      </w:r>
      <w:r>
        <w:rPr>
          <w:rFonts w:ascii="方正仿宋_GBK" w:hAnsi="方正仿宋_GBK" w:eastAsia="方正仿宋_GBK" w:cs="方正仿宋_GBK"/>
          <w:color w:val="000000"/>
          <w:sz w:val="28"/>
        </w:rPr>
        <w:t>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348001保定市徐水区</w:t>
            </w:r>
            <w:r>
              <w:rPr>
                <w:rFonts w:hint="eastAsia"/>
              </w:rPr>
              <w:t>交通运输局</w:t>
            </w:r>
            <w:r>
              <w:t>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4"/>
            </w:pPr>
            <w:r>
              <w:t>13062522P00B7610030F</w:t>
            </w:r>
          </w:p>
        </w:tc>
        <w:tc>
          <w:tcPr>
            <w:tcW w:w="1587" w:type="dxa"/>
            <w:vAlign w:val="center"/>
          </w:tcPr>
          <w:p>
            <w:pPr>
              <w:pStyle w:val="13"/>
            </w:pPr>
            <w:r>
              <w:t>项目名称</w:t>
            </w:r>
          </w:p>
        </w:tc>
        <w:tc>
          <w:tcPr>
            <w:tcW w:w="4422" w:type="dxa"/>
            <w:gridSpan w:val="3"/>
            <w:vAlign w:val="center"/>
          </w:tcPr>
          <w:p>
            <w:pPr>
              <w:pStyle w:val="14"/>
            </w:pPr>
            <w:r>
              <w:rPr>
                <w:rFonts w:hint="eastAsia"/>
              </w:rPr>
              <w:t>徐水区西外环南段工程项目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4"/>
            </w:pPr>
            <w:r>
              <w:t>4000</w:t>
            </w:r>
          </w:p>
        </w:tc>
        <w:tc>
          <w:tcPr>
            <w:tcW w:w="1587" w:type="dxa"/>
            <w:vAlign w:val="center"/>
          </w:tcPr>
          <w:p>
            <w:pPr>
              <w:pStyle w:val="13"/>
            </w:pPr>
            <w:r>
              <w:t>其中：财政    资金</w:t>
            </w:r>
          </w:p>
        </w:tc>
        <w:tc>
          <w:tcPr>
            <w:tcW w:w="1304" w:type="dxa"/>
            <w:vAlign w:val="center"/>
          </w:tcPr>
          <w:p>
            <w:pPr>
              <w:pStyle w:val="14"/>
            </w:pPr>
            <w:r>
              <w:t>4000</w:t>
            </w:r>
          </w:p>
        </w:tc>
        <w:tc>
          <w:tcPr>
            <w:tcW w:w="1276" w:type="dxa"/>
            <w:vAlign w:val="center"/>
          </w:tcPr>
          <w:p>
            <w:pPr>
              <w:pStyle w:val="13"/>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rPr>
                <w:rFonts w:hint="eastAsia"/>
              </w:rPr>
              <w:t>用于徐水区西外环南段项目工程</w:t>
            </w:r>
            <w:r>
              <w:t>建设资金</w:t>
            </w:r>
            <w:r>
              <w:rPr>
                <w:rFonts w:hint="eastAsia"/>
              </w:rPr>
              <w:t>支出</w:t>
            </w:r>
            <w:r>
              <w:t>，预计2022年12月</w:t>
            </w:r>
            <w:r>
              <w:rPr>
                <w:rFonts w:hint="eastAsia"/>
              </w:rPr>
              <w:t>前</w:t>
            </w:r>
            <w:r>
              <w:t>支付完毕。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0% </w:t>
            </w:r>
          </w:p>
        </w:tc>
        <w:tc>
          <w:tcPr>
            <w:tcW w:w="1587" w:type="dxa"/>
            <w:vAlign w:val="center"/>
          </w:tcPr>
          <w:p>
            <w:pPr>
              <w:pStyle w:val="15"/>
            </w:pPr>
            <w:r>
              <w:t>20%</w:t>
            </w:r>
          </w:p>
        </w:tc>
        <w:tc>
          <w:tcPr>
            <w:tcW w:w="1304" w:type="dxa"/>
            <w:vAlign w:val="center"/>
          </w:tcPr>
          <w:p>
            <w:pPr>
              <w:pStyle w:val="15"/>
            </w:pPr>
            <w:r>
              <w:t>80 %</w:t>
            </w:r>
          </w:p>
        </w:tc>
        <w:tc>
          <w:tcPr>
            <w:tcW w:w="3118" w:type="dxa"/>
            <w:gridSpan w:val="2"/>
            <w:vAlign w:val="center"/>
          </w:tcPr>
          <w:p>
            <w:pPr>
              <w:pStyle w:val="15"/>
            </w:pPr>
            <w:r>
              <w:t xml:space="preserve">100%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4"/>
            </w:pPr>
            <w:r>
              <w:t>1：</w:t>
            </w:r>
            <w:r>
              <w:rPr>
                <w:rFonts w:hint="eastAsia"/>
              </w:rPr>
              <w:t>优化路网结构，改善区域交通条件，拉动区域经济，提高群众生活质量。</w:t>
            </w:r>
            <w:r>
              <w:t xml:space="preserve">     </w:t>
            </w:r>
          </w:p>
          <w:p>
            <w:pPr>
              <w:pStyle w:val="14"/>
            </w:pPr>
            <w:r>
              <w:t>2：</w:t>
            </w:r>
            <w:r>
              <w:rPr>
                <w:rFonts w:hint="eastAsia"/>
              </w:rPr>
              <w:t>完成全长</w:t>
            </w:r>
            <w:r>
              <w:t>2.817公里道路的新建工程。</w:t>
            </w:r>
          </w:p>
          <w:p>
            <w:pPr>
              <w:pStyle w:val="14"/>
            </w:pPr>
            <w:r>
              <w:rPr>
                <w:rFonts w:hint="eastAsia"/>
              </w:rPr>
              <w:t>3.</w:t>
            </w:r>
            <w:r>
              <w:t xml:space="preserve"> 10月底完成资金支付进度80%， 12月底全部完成。</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tcPr>
          <w:p>
            <w:pPr>
              <w:widowControl/>
              <w:jc w:val="left"/>
              <w:rPr>
                <w:color w:val="000000"/>
                <w:kern w:val="0"/>
                <w:sz w:val="22"/>
              </w:rPr>
            </w:pPr>
            <w:r>
              <w:rPr>
                <w:rFonts w:hint="eastAsia"/>
                <w:color w:val="000000"/>
                <w:sz w:val="22"/>
              </w:rPr>
              <w:t>公路建设里程数</w:t>
            </w:r>
          </w:p>
        </w:tc>
        <w:tc>
          <w:tcPr>
            <w:tcW w:w="2891" w:type="dxa"/>
          </w:tcPr>
          <w:p>
            <w:pPr>
              <w:rPr>
                <w:color w:val="000000"/>
                <w:sz w:val="22"/>
              </w:rPr>
            </w:pPr>
            <w:r>
              <w:rPr>
                <w:rFonts w:hint="eastAsia"/>
                <w:color w:val="000000"/>
                <w:sz w:val="22"/>
              </w:rPr>
              <w:t>公路建设里程数量情况</w:t>
            </w:r>
          </w:p>
        </w:tc>
        <w:tc>
          <w:tcPr>
            <w:tcW w:w="1276" w:type="dxa"/>
            <w:vAlign w:val="center"/>
          </w:tcPr>
          <w:p>
            <w:pPr>
              <w:pStyle w:val="14"/>
            </w:pPr>
            <w:r>
              <w:t>2.817</w:t>
            </w:r>
            <w:r>
              <w:rPr>
                <w:rFonts w:hint="eastAsia"/>
              </w:rPr>
              <w:t>公里</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tcPr>
          <w:p>
            <w:pPr>
              <w:rPr>
                <w:sz w:val="20"/>
                <w:szCs w:val="20"/>
              </w:rPr>
            </w:pPr>
            <w:r>
              <w:rPr>
                <w:rFonts w:hint="eastAsia"/>
                <w:sz w:val="20"/>
                <w:szCs w:val="20"/>
              </w:rPr>
              <w:t>项目验收合格率</w:t>
            </w:r>
          </w:p>
        </w:tc>
        <w:tc>
          <w:tcPr>
            <w:tcW w:w="2891" w:type="dxa"/>
          </w:tcPr>
          <w:p>
            <w:pPr>
              <w:rPr>
                <w:sz w:val="20"/>
                <w:szCs w:val="20"/>
              </w:rPr>
            </w:pPr>
            <w:r>
              <w:rPr>
                <w:rFonts w:hint="eastAsia"/>
                <w:sz w:val="20"/>
                <w:szCs w:val="20"/>
              </w:rPr>
              <w:t>项目验收合格情况</w:t>
            </w:r>
          </w:p>
        </w:tc>
        <w:tc>
          <w:tcPr>
            <w:tcW w:w="1276" w:type="dxa"/>
            <w:vAlign w:val="center"/>
          </w:tcPr>
          <w:p>
            <w:pPr>
              <w:pStyle w:val="14"/>
            </w:pPr>
            <w:r>
              <w:t>100%</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tcPr>
          <w:p>
            <w:pPr>
              <w:rPr>
                <w:color w:val="000000"/>
                <w:sz w:val="22"/>
              </w:rPr>
            </w:pPr>
            <w:r>
              <w:rPr>
                <w:rFonts w:hint="eastAsia"/>
                <w:color w:val="000000"/>
                <w:sz w:val="22"/>
              </w:rPr>
              <w:t>项目完成及时率</w:t>
            </w:r>
          </w:p>
        </w:tc>
        <w:tc>
          <w:tcPr>
            <w:tcW w:w="2891" w:type="dxa"/>
          </w:tcPr>
          <w:p>
            <w:pPr>
              <w:rPr>
                <w:color w:val="000000"/>
                <w:sz w:val="22"/>
              </w:rPr>
            </w:pPr>
            <w:r>
              <w:rPr>
                <w:rFonts w:hint="eastAsia"/>
                <w:color w:val="000000"/>
                <w:sz w:val="22"/>
              </w:rPr>
              <w:t>项目完成及时情况</w:t>
            </w:r>
          </w:p>
        </w:tc>
        <w:tc>
          <w:tcPr>
            <w:tcW w:w="1276" w:type="dxa"/>
            <w:vAlign w:val="center"/>
          </w:tcPr>
          <w:p>
            <w:pPr>
              <w:pStyle w:val="14"/>
            </w:pPr>
            <w:r>
              <w:t>100%</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tcPr>
          <w:p>
            <w:pPr>
              <w:rPr>
                <w:color w:val="000000"/>
                <w:sz w:val="22"/>
              </w:rPr>
            </w:pPr>
            <w:r>
              <w:rPr>
                <w:rFonts w:hint="eastAsia"/>
                <w:color w:val="000000"/>
                <w:sz w:val="22"/>
              </w:rPr>
              <w:t>项目预算控制数</w:t>
            </w:r>
          </w:p>
        </w:tc>
        <w:tc>
          <w:tcPr>
            <w:tcW w:w="2891" w:type="dxa"/>
          </w:tcPr>
          <w:p>
            <w:pPr>
              <w:rPr>
                <w:color w:val="000000"/>
                <w:sz w:val="22"/>
              </w:rPr>
            </w:pPr>
            <w:r>
              <w:rPr>
                <w:rFonts w:hint="eastAsia"/>
                <w:color w:val="000000"/>
                <w:sz w:val="22"/>
              </w:rPr>
              <w:t>项目支出控制在预算范围内</w:t>
            </w:r>
          </w:p>
        </w:tc>
        <w:tc>
          <w:tcPr>
            <w:tcW w:w="1276" w:type="dxa"/>
            <w:vAlign w:val="center"/>
          </w:tcPr>
          <w:p>
            <w:pPr>
              <w:pStyle w:val="14"/>
            </w:pPr>
            <w:r>
              <w:t>≤4000万元</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4"/>
            </w:pPr>
            <w:r>
              <w:t>社会效益指标</w:t>
            </w:r>
          </w:p>
        </w:tc>
        <w:tc>
          <w:tcPr>
            <w:tcW w:w="1332" w:type="dxa"/>
          </w:tcPr>
          <w:p>
            <w:pPr>
              <w:widowControl/>
              <w:jc w:val="left"/>
              <w:rPr>
                <w:color w:val="000000"/>
                <w:kern w:val="0"/>
                <w:sz w:val="22"/>
              </w:rPr>
            </w:pPr>
            <w:r>
              <w:rPr>
                <w:rFonts w:hint="eastAsia"/>
                <w:color w:val="000000"/>
                <w:sz w:val="22"/>
              </w:rPr>
              <w:t>周边群众出行便利提升性</w:t>
            </w:r>
          </w:p>
        </w:tc>
        <w:tc>
          <w:tcPr>
            <w:tcW w:w="2891" w:type="dxa"/>
          </w:tcPr>
          <w:p>
            <w:pPr>
              <w:rPr>
                <w:color w:val="000000"/>
                <w:sz w:val="22"/>
              </w:rPr>
            </w:pPr>
            <w:r>
              <w:rPr>
                <w:rFonts w:hint="eastAsia"/>
                <w:color w:val="000000"/>
                <w:sz w:val="22"/>
              </w:rPr>
              <w:t>周边群众出行便利提升情况</w:t>
            </w:r>
          </w:p>
        </w:tc>
        <w:tc>
          <w:tcPr>
            <w:tcW w:w="1276" w:type="dxa"/>
            <w:vAlign w:val="center"/>
          </w:tcPr>
          <w:p>
            <w:pPr>
              <w:widowControl/>
              <w:jc w:val="left"/>
              <w:rPr>
                <w:color w:val="000000"/>
                <w:kern w:val="0"/>
                <w:sz w:val="22"/>
              </w:rPr>
            </w:pPr>
            <w:r>
              <w:rPr>
                <w:rFonts w:hint="eastAsia"/>
                <w:color w:val="000000"/>
                <w:sz w:val="22"/>
              </w:rPr>
              <w:t>提升周边居民出行便利</w:t>
            </w:r>
          </w:p>
          <w:p>
            <w:pPr>
              <w:pStyle w:val="14"/>
            </w:pP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tcPr>
          <w:p>
            <w:pPr>
              <w:widowControl/>
              <w:jc w:val="left"/>
              <w:rPr>
                <w:color w:val="000000"/>
                <w:kern w:val="0"/>
                <w:sz w:val="22"/>
              </w:rPr>
            </w:pPr>
            <w:r>
              <w:rPr>
                <w:rFonts w:hint="eastAsia"/>
                <w:color w:val="000000"/>
                <w:sz w:val="22"/>
              </w:rPr>
              <w:t>群众满意率</w:t>
            </w:r>
          </w:p>
        </w:tc>
        <w:tc>
          <w:tcPr>
            <w:tcW w:w="2891" w:type="dxa"/>
          </w:tcPr>
          <w:p>
            <w:pPr>
              <w:rPr>
                <w:color w:val="000000"/>
                <w:sz w:val="22"/>
              </w:rPr>
            </w:pPr>
            <w:r>
              <w:rPr>
                <w:rFonts w:hint="eastAsia"/>
                <w:color w:val="000000"/>
                <w:sz w:val="22"/>
              </w:rPr>
              <w:t>群众满意情况</w:t>
            </w:r>
          </w:p>
        </w:tc>
        <w:tc>
          <w:tcPr>
            <w:tcW w:w="1276" w:type="dxa"/>
            <w:vAlign w:val="center"/>
          </w:tcPr>
          <w:p>
            <w:pPr>
              <w:pStyle w:val="14"/>
            </w:pPr>
            <w:r>
              <w:t>≥85%</w:t>
            </w:r>
          </w:p>
        </w:tc>
        <w:tc>
          <w:tcPr>
            <w:tcW w:w="1843" w:type="dxa"/>
            <w:vAlign w:val="center"/>
          </w:tcPr>
          <w:p>
            <w:pPr>
              <w:pStyle w:val="14"/>
            </w:pPr>
            <w:r>
              <w:t>依据工作计划</w:t>
            </w:r>
          </w:p>
        </w:tc>
      </w:tr>
    </w:tbl>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ind w:firstLine="560"/>
        <w:jc w:val="left"/>
        <w:outlineLvl w:val="3"/>
      </w:pPr>
      <w:bookmarkStart w:id="1" w:name="_Toc_4_4_0000000005"/>
      <w:r>
        <w:rPr>
          <w:rFonts w:ascii="方正仿宋_GBK" w:hAnsi="方正仿宋_GBK" w:eastAsia="方正仿宋_GBK" w:cs="方正仿宋_GBK"/>
          <w:color w:val="000000"/>
          <w:sz w:val="28"/>
        </w:rPr>
        <w:t>2.</w:t>
      </w:r>
      <w:r>
        <w:rPr>
          <w:rFonts w:hint="eastAsia"/>
        </w:rPr>
        <w:t xml:space="preserve"> </w:t>
      </w:r>
      <w:r>
        <w:rPr>
          <w:rFonts w:hint="eastAsia" w:ascii="方正仿宋_GBK" w:hAnsi="方正仿宋_GBK" w:eastAsia="方正仿宋_GBK" w:cs="方正仿宋_GBK"/>
          <w:color w:val="000000"/>
          <w:sz w:val="28"/>
        </w:rPr>
        <w:t>农村公路养护项目</w:t>
      </w:r>
      <w:r>
        <w:rPr>
          <w:rFonts w:ascii="方正仿宋_GBK" w:hAnsi="方正仿宋_GBK" w:eastAsia="方正仿宋_GBK" w:cs="方正仿宋_GBK"/>
          <w:color w:val="000000"/>
          <w:sz w:val="28"/>
        </w:rPr>
        <w:t>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348001保定市徐水区</w:t>
            </w:r>
            <w:r>
              <w:rPr>
                <w:rFonts w:hint="eastAsia"/>
              </w:rPr>
              <w:t>交通运输局</w:t>
            </w:r>
            <w:r>
              <w:t>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4"/>
            </w:pPr>
            <w:r>
              <w:t>13062522P007NTE10125W</w:t>
            </w:r>
            <w:r>
              <w:tab/>
            </w:r>
          </w:p>
        </w:tc>
        <w:tc>
          <w:tcPr>
            <w:tcW w:w="1587" w:type="dxa"/>
            <w:vAlign w:val="center"/>
          </w:tcPr>
          <w:p>
            <w:pPr>
              <w:pStyle w:val="13"/>
            </w:pPr>
            <w:r>
              <w:t>项目名称</w:t>
            </w:r>
          </w:p>
        </w:tc>
        <w:tc>
          <w:tcPr>
            <w:tcW w:w="4422" w:type="dxa"/>
            <w:gridSpan w:val="3"/>
            <w:vAlign w:val="center"/>
          </w:tcPr>
          <w:p>
            <w:pPr>
              <w:pStyle w:val="14"/>
            </w:pPr>
            <w:r>
              <w:rPr>
                <w:rFonts w:hint="eastAsia"/>
              </w:rPr>
              <w:t>农村公路养护项目</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4"/>
            </w:pPr>
            <w:r>
              <w:t>400.00</w:t>
            </w:r>
          </w:p>
        </w:tc>
        <w:tc>
          <w:tcPr>
            <w:tcW w:w="1587" w:type="dxa"/>
            <w:vAlign w:val="center"/>
          </w:tcPr>
          <w:p>
            <w:pPr>
              <w:pStyle w:val="13"/>
            </w:pPr>
            <w:r>
              <w:t>其中：财政    资金</w:t>
            </w:r>
          </w:p>
        </w:tc>
        <w:tc>
          <w:tcPr>
            <w:tcW w:w="1304" w:type="dxa"/>
            <w:vAlign w:val="center"/>
          </w:tcPr>
          <w:p>
            <w:pPr>
              <w:pStyle w:val="14"/>
            </w:pPr>
            <w:r>
              <w:t>400.00</w:t>
            </w:r>
          </w:p>
        </w:tc>
        <w:tc>
          <w:tcPr>
            <w:tcW w:w="1276" w:type="dxa"/>
            <w:vAlign w:val="center"/>
          </w:tcPr>
          <w:p>
            <w:pPr>
              <w:pStyle w:val="13"/>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rPr>
                <w:rFonts w:hint="eastAsia"/>
              </w:rPr>
              <w:t>用于对</w:t>
            </w:r>
            <w:r>
              <w:t>我区农村公路进行日常养护和工程养护</w:t>
            </w:r>
            <w:r>
              <w:rPr>
                <w:rFonts w:hint="eastAsia"/>
              </w:rPr>
              <w:t>费用</w:t>
            </w:r>
            <w:r>
              <w:t>支出，预计2022年12月</w:t>
            </w:r>
            <w:r>
              <w:rPr>
                <w:rFonts w:hint="eastAsia"/>
              </w:rPr>
              <w:t>前</w:t>
            </w:r>
            <w:r>
              <w:t>支付完毕。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0%</w:t>
            </w:r>
          </w:p>
        </w:tc>
        <w:tc>
          <w:tcPr>
            <w:tcW w:w="1587" w:type="dxa"/>
            <w:vAlign w:val="center"/>
          </w:tcPr>
          <w:p>
            <w:pPr>
              <w:pStyle w:val="15"/>
            </w:pPr>
            <w:r>
              <w:t xml:space="preserve">70% </w:t>
            </w:r>
          </w:p>
        </w:tc>
        <w:tc>
          <w:tcPr>
            <w:tcW w:w="1304" w:type="dxa"/>
            <w:vAlign w:val="center"/>
          </w:tcPr>
          <w:p>
            <w:pPr>
              <w:pStyle w:val="15"/>
            </w:pPr>
            <w:r>
              <w:t xml:space="preserve"> 90%</w:t>
            </w:r>
          </w:p>
        </w:tc>
        <w:tc>
          <w:tcPr>
            <w:tcW w:w="3118" w:type="dxa"/>
            <w:gridSpan w:val="2"/>
            <w:vAlign w:val="center"/>
          </w:tcPr>
          <w:p>
            <w:pPr>
              <w:pStyle w:val="15"/>
            </w:pPr>
            <w:r>
              <w:t>100 %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4"/>
            </w:pPr>
            <w:r>
              <w:t>1.完善农村公路管理养护体制；加强农村公路管理养护资金保障；建立农村公路管理养护长效机制，继续发挥农村公路服务人民的重要作用。</w:t>
            </w:r>
            <w:r>
              <w:tab/>
            </w:r>
            <w:r>
              <w:tab/>
            </w:r>
            <w:r>
              <w:tab/>
            </w:r>
            <w:r>
              <w:tab/>
            </w:r>
            <w:r>
              <w:tab/>
            </w:r>
          </w:p>
          <w:p>
            <w:pPr>
              <w:pStyle w:val="14"/>
            </w:pPr>
            <w:r>
              <w:t>2.对我区农村公路进行日常养护和工程养护</w:t>
            </w:r>
            <w:r>
              <w:rPr>
                <w:rFonts w:hint="eastAsia"/>
              </w:rPr>
              <w:t>。</w:t>
            </w:r>
            <w:r>
              <w:tab/>
            </w:r>
          </w:p>
          <w:p>
            <w:pPr>
              <w:pStyle w:val="14"/>
            </w:pPr>
            <w:r>
              <w:t>3.资金支付进度6月底前达70%，9月底前达90%，12月底前全部年完成。</w:t>
            </w:r>
            <w:r>
              <w:tab/>
            </w:r>
            <w:r>
              <w:tab/>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tcPr>
          <w:p>
            <w:r>
              <w:rPr>
                <w:rFonts w:hint="eastAsia"/>
              </w:rPr>
              <w:t>公路养护里程数</w:t>
            </w:r>
          </w:p>
        </w:tc>
        <w:tc>
          <w:tcPr>
            <w:tcW w:w="2891" w:type="dxa"/>
          </w:tcPr>
          <w:p>
            <w:r>
              <w:t>公路养护里程公里数量</w:t>
            </w:r>
          </w:p>
        </w:tc>
        <w:tc>
          <w:tcPr>
            <w:tcW w:w="1276" w:type="dxa"/>
            <w:vAlign w:val="center"/>
          </w:tcPr>
          <w:p>
            <w:pPr>
              <w:pStyle w:val="14"/>
            </w:pPr>
            <w:r>
              <w:t>126.6</w:t>
            </w:r>
            <w:r>
              <w:rPr>
                <w:rFonts w:hint="eastAsia"/>
              </w:rPr>
              <w:t>公里</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tcPr>
          <w:p>
            <w:r>
              <w:rPr>
                <w:rFonts w:hint="eastAsia"/>
              </w:rPr>
              <w:t>公路养护验收合格率</w:t>
            </w:r>
          </w:p>
        </w:tc>
        <w:tc>
          <w:tcPr>
            <w:tcW w:w="2891" w:type="dxa"/>
          </w:tcPr>
          <w:p>
            <w:r>
              <w:t>公路养护验收合格情况</w:t>
            </w:r>
          </w:p>
        </w:tc>
        <w:tc>
          <w:tcPr>
            <w:tcW w:w="1276" w:type="dxa"/>
            <w:vAlign w:val="center"/>
          </w:tcPr>
          <w:p>
            <w:pPr>
              <w:pStyle w:val="14"/>
            </w:pPr>
            <w:r>
              <w:t>≥95%</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tcPr>
          <w:p>
            <w:r>
              <w:rPr>
                <w:rFonts w:hint="eastAsia"/>
              </w:rPr>
              <w:t>公路养护完成及时率</w:t>
            </w:r>
          </w:p>
        </w:tc>
        <w:tc>
          <w:tcPr>
            <w:tcW w:w="2891" w:type="dxa"/>
          </w:tcPr>
          <w:p>
            <w:r>
              <w:t>公路养护完成及时情况</w:t>
            </w:r>
          </w:p>
        </w:tc>
        <w:tc>
          <w:tcPr>
            <w:tcW w:w="1276" w:type="dxa"/>
            <w:vAlign w:val="center"/>
          </w:tcPr>
          <w:p>
            <w:pPr>
              <w:pStyle w:val="14"/>
              <w:rPr>
                <w:i/>
              </w:rPr>
            </w:pPr>
            <w:r>
              <w:t>≥95%</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tcPr>
          <w:p>
            <w:r>
              <w:rPr>
                <w:rFonts w:hint="eastAsia"/>
              </w:rPr>
              <w:t>项目预算控制数</w:t>
            </w:r>
          </w:p>
        </w:tc>
        <w:tc>
          <w:tcPr>
            <w:tcW w:w="2891" w:type="dxa"/>
          </w:tcPr>
          <w:p>
            <w:r>
              <w:t>项目支出控制在预算范围内</w:t>
            </w:r>
          </w:p>
        </w:tc>
        <w:tc>
          <w:tcPr>
            <w:tcW w:w="1276" w:type="dxa"/>
            <w:vAlign w:val="center"/>
          </w:tcPr>
          <w:p>
            <w:pPr>
              <w:pStyle w:val="14"/>
            </w:pPr>
            <w:r>
              <w:t>≤400万元</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4"/>
            </w:pPr>
            <w:r>
              <w:t>社会效益指标</w:t>
            </w:r>
          </w:p>
        </w:tc>
        <w:tc>
          <w:tcPr>
            <w:tcW w:w="1332" w:type="dxa"/>
          </w:tcPr>
          <w:p>
            <w:r>
              <w:rPr>
                <w:rFonts w:hint="eastAsia"/>
              </w:rPr>
              <w:t>周边群众出行便利提升率</w:t>
            </w:r>
          </w:p>
        </w:tc>
        <w:tc>
          <w:tcPr>
            <w:tcW w:w="2891" w:type="dxa"/>
          </w:tcPr>
          <w:p>
            <w:r>
              <w:t>周边群众出行便利提升率</w:t>
            </w:r>
          </w:p>
        </w:tc>
        <w:tc>
          <w:tcPr>
            <w:tcW w:w="1276" w:type="dxa"/>
            <w:vAlign w:val="center"/>
          </w:tcPr>
          <w:p>
            <w:pPr>
              <w:pStyle w:val="14"/>
            </w:pPr>
            <w:r>
              <w:t>≥50%</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tcPr>
          <w:p>
            <w:r>
              <w:rPr>
                <w:rFonts w:hint="eastAsia"/>
              </w:rPr>
              <w:t>群众满意率</w:t>
            </w:r>
          </w:p>
        </w:tc>
        <w:tc>
          <w:tcPr>
            <w:tcW w:w="2891" w:type="dxa"/>
          </w:tcPr>
          <w:p>
            <w:r>
              <w:t>群众满意情况</w:t>
            </w:r>
          </w:p>
        </w:tc>
        <w:tc>
          <w:tcPr>
            <w:tcW w:w="1276" w:type="dxa"/>
            <w:vAlign w:val="center"/>
          </w:tcPr>
          <w:p>
            <w:pPr>
              <w:pStyle w:val="14"/>
            </w:pPr>
            <w:r>
              <w:t>≥85%</w:t>
            </w:r>
          </w:p>
        </w:tc>
        <w:tc>
          <w:tcPr>
            <w:tcW w:w="1843" w:type="dxa"/>
            <w:vAlign w:val="center"/>
          </w:tcPr>
          <w:p>
            <w:pPr>
              <w:pStyle w:val="14"/>
            </w:pPr>
            <w:r>
              <w:t>依据工作计划</w:t>
            </w:r>
          </w:p>
        </w:tc>
      </w:tr>
    </w:tbl>
    <w:p>
      <w:pPr>
        <w:sectPr>
          <w:pgSz w:w="11900" w:h="16840"/>
          <w:pgMar w:top="1984" w:right="1304" w:bottom="1134" w:left="1304" w:header="720" w:footer="720" w:gutter="0"/>
          <w:cols w:space="720" w:num="1"/>
        </w:sectPr>
      </w:pPr>
    </w:p>
    <w:p>
      <w:pPr>
        <w:ind w:firstLine="560"/>
        <w:jc w:val="left"/>
        <w:outlineLvl w:val="3"/>
      </w:pPr>
      <w:bookmarkStart w:id="2" w:name="_Toc_4_4_0000000006"/>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其他收入</w:t>
      </w:r>
      <w:r>
        <w:rPr>
          <w:rFonts w:ascii="方正仿宋_GBK" w:hAnsi="方正仿宋_GBK" w:eastAsia="方正仿宋_GBK" w:cs="方正仿宋_GBK"/>
          <w:color w:val="000000"/>
          <w:sz w:val="28"/>
        </w:rPr>
        <w:t>项目绩效目标表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348001保定市徐水区</w:t>
            </w:r>
            <w:r>
              <w:rPr>
                <w:rFonts w:hint="eastAsia"/>
              </w:rPr>
              <w:t>交通运输局</w:t>
            </w:r>
            <w:r>
              <w:t>本级</w:t>
            </w:r>
          </w:p>
        </w:tc>
        <w:tc>
          <w:tcPr>
            <w:tcW w:w="1843"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4"/>
            </w:pPr>
            <w:r>
              <w:t>13062522P004598100576</w:t>
            </w:r>
            <w:r>
              <w:tab/>
            </w:r>
          </w:p>
        </w:tc>
        <w:tc>
          <w:tcPr>
            <w:tcW w:w="1587" w:type="dxa"/>
            <w:vAlign w:val="center"/>
          </w:tcPr>
          <w:p>
            <w:pPr>
              <w:pStyle w:val="13"/>
            </w:pPr>
            <w:r>
              <w:t>项目名称</w:t>
            </w:r>
          </w:p>
        </w:tc>
        <w:tc>
          <w:tcPr>
            <w:tcW w:w="4422" w:type="dxa"/>
            <w:gridSpan w:val="3"/>
            <w:vAlign w:val="center"/>
          </w:tcPr>
          <w:p>
            <w:pPr>
              <w:pStyle w:val="14"/>
            </w:pPr>
            <w:r>
              <w:rPr>
                <w:rFonts w:hint="eastAsia"/>
              </w:rPr>
              <w:t>其他收入项目</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4"/>
            </w:pPr>
            <w:r>
              <w:t>1.5</w:t>
            </w:r>
          </w:p>
        </w:tc>
        <w:tc>
          <w:tcPr>
            <w:tcW w:w="1587" w:type="dxa"/>
            <w:vAlign w:val="center"/>
          </w:tcPr>
          <w:p>
            <w:pPr>
              <w:pStyle w:val="13"/>
            </w:pPr>
            <w:r>
              <w:t>其中：财政    资金</w:t>
            </w:r>
          </w:p>
        </w:tc>
        <w:tc>
          <w:tcPr>
            <w:tcW w:w="1304" w:type="dxa"/>
            <w:vAlign w:val="center"/>
          </w:tcPr>
          <w:p>
            <w:pPr>
              <w:pStyle w:val="14"/>
            </w:pPr>
          </w:p>
        </w:tc>
        <w:tc>
          <w:tcPr>
            <w:tcW w:w="1276" w:type="dxa"/>
            <w:vAlign w:val="center"/>
          </w:tcPr>
          <w:p>
            <w:pPr>
              <w:pStyle w:val="13"/>
            </w:pPr>
            <w:r>
              <w:t>其他资金</w:t>
            </w:r>
          </w:p>
        </w:tc>
        <w:tc>
          <w:tcPr>
            <w:tcW w:w="1843" w:type="dxa"/>
            <w:vAlign w:val="center"/>
          </w:tcPr>
          <w:p>
            <w:pPr>
              <w:pStyle w:val="14"/>
            </w:pPr>
            <w:r>
              <w:t xml:space="preserve"> 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rPr>
                <w:rFonts w:hint="eastAsia"/>
              </w:rPr>
              <w:t>用于</w:t>
            </w:r>
            <w:r>
              <w:t>公用经费的补充支出，预计2022年12月</w:t>
            </w:r>
            <w:r>
              <w:rPr>
                <w:rFonts w:hint="eastAsia"/>
              </w:rPr>
              <w:t>前</w:t>
            </w:r>
            <w:r>
              <w:t>支付完毕。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100%</w:t>
            </w:r>
          </w:p>
        </w:tc>
        <w:tc>
          <w:tcPr>
            <w:tcW w:w="1587" w:type="dxa"/>
            <w:vAlign w:val="center"/>
          </w:tcPr>
          <w:p>
            <w:pPr>
              <w:pStyle w:val="15"/>
            </w:pPr>
            <w:r>
              <w:t>100%</w:t>
            </w:r>
          </w:p>
        </w:tc>
        <w:tc>
          <w:tcPr>
            <w:tcW w:w="1304" w:type="dxa"/>
            <w:vAlign w:val="center"/>
          </w:tcPr>
          <w:p>
            <w:pPr>
              <w:pStyle w:val="15"/>
            </w:pPr>
            <w:r>
              <w:t>100%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4"/>
            </w:pPr>
            <w:r>
              <w:t>1.</w:t>
            </w:r>
            <w:r>
              <w:rPr>
                <w:rFonts w:hint="eastAsia"/>
              </w:rPr>
              <w:t>改善办公</w:t>
            </w:r>
            <w:r>
              <w:t>环境，提升办公效率。</w:t>
            </w:r>
          </w:p>
          <w:p>
            <w:pPr>
              <w:pStyle w:val="14"/>
            </w:pPr>
            <w:r>
              <w:t>2.</w:t>
            </w:r>
            <w:r>
              <w:rPr>
                <w:rFonts w:hint="eastAsia"/>
              </w:rPr>
              <w:t xml:space="preserve"> 推进该项目顺利进行，保证按时完成任务。</w:t>
            </w:r>
          </w:p>
          <w:p>
            <w:pPr>
              <w:pStyle w:val="14"/>
            </w:pPr>
            <w:r>
              <w:t>3.项目预算资金1.5万元，预计2022年12月支付完毕。</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tcPr>
          <w:p>
            <w:pPr>
              <w:widowControl/>
              <w:jc w:val="left"/>
              <w:rPr>
                <w:rFonts w:ascii="Calibri" w:hAnsi="Calibri" w:cs="Calibri"/>
                <w:color w:val="000000"/>
                <w:kern w:val="0"/>
                <w:sz w:val="22"/>
              </w:rPr>
            </w:pPr>
            <w:r>
              <w:rPr>
                <w:rFonts w:ascii="Calibri" w:hAnsi="Calibri" w:cs="Calibri"/>
                <w:color w:val="000000"/>
                <w:sz w:val="22"/>
              </w:rPr>
              <w:t>项目投资完成率</w:t>
            </w:r>
          </w:p>
        </w:tc>
        <w:tc>
          <w:tcPr>
            <w:tcW w:w="2891" w:type="dxa"/>
          </w:tcPr>
          <w:p>
            <w:pPr>
              <w:rPr>
                <w:rFonts w:ascii="Calibri" w:hAnsi="Calibri" w:cs="Calibri"/>
                <w:color w:val="000000"/>
                <w:sz w:val="22"/>
              </w:rPr>
            </w:pPr>
            <w:r>
              <w:rPr>
                <w:rFonts w:ascii="Calibri" w:hAnsi="Calibri" w:cs="Calibri"/>
                <w:color w:val="000000"/>
                <w:sz w:val="22"/>
              </w:rPr>
              <w:t>项目投资完成情况</w:t>
            </w:r>
          </w:p>
        </w:tc>
        <w:tc>
          <w:tcPr>
            <w:tcW w:w="1276" w:type="dxa"/>
            <w:vAlign w:val="center"/>
          </w:tcPr>
          <w:p>
            <w:pPr>
              <w:pStyle w:val="14"/>
            </w:pPr>
            <w:r>
              <w:t>100%</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tcPr>
          <w:p>
            <w:pPr>
              <w:rPr>
                <w:rFonts w:ascii="Calibri" w:hAnsi="Calibri" w:cs="Calibri"/>
                <w:color w:val="000000"/>
                <w:sz w:val="22"/>
              </w:rPr>
            </w:pPr>
            <w:r>
              <w:rPr>
                <w:rFonts w:ascii="Calibri" w:hAnsi="Calibri" w:cs="Calibri"/>
                <w:color w:val="000000"/>
                <w:sz w:val="22"/>
              </w:rPr>
              <w:t>项目验收合格率</w:t>
            </w:r>
          </w:p>
        </w:tc>
        <w:tc>
          <w:tcPr>
            <w:tcW w:w="2891" w:type="dxa"/>
          </w:tcPr>
          <w:p>
            <w:pPr>
              <w:rPr>
                <w:rFonts w:ascii="Calibri" w:hAnsi="Calibri" w:cs="Calibri"/>
                <w:color w:val="000000"/>
                <w:sz w:val="22"/>
              </w:rPr>
            </w:pPr>
            <w:r>
              <w:rPr>
                <w:rFonts w:ascii="Calibri" w:hAnsi="Calibri" w:cs="Calibri"/>
                <w:color w:val="000000"/>
                <w:sz w:val="22"/>
              </w:rPr>
              <w:t>项目验收合格情况</w:t>
            </w:r>
          </w:p>
        </w:tc>
        <w:tc>
          <w:tcPr>
            <w:tcW w:w="1276" w:type="dxa"/>
            <w:vAlign w:val="center"/>
          </w:tcPr>
          <w:p>
            <w:pPr>
              <w:pStyle w:val="14"/>
            </w:pPr>
            <w:r>
              <w:t>100%</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tcPr>
          <w:p>
            <w:pPr>
              <w:rPr>
                <w:rFonts w:ascii="Calibri" w:hAnsi="Calibri" w:cs="Calibri"/>
                <w:color w:val="000000"/>
                <w:sz w:val="22"/>
              </w:rPr>
            </w:pPr>
            <w:r>
              <w:rPr>
                <w:rFonts w:ascii="Calibri" w:hAnsi="Calibri" w:cs="Calibri"/>
                <w:color w:val="000000"/>
                <w:sz w:val="22"/>
              </w:rPr>
              <w:t>项目完成及时率</w:t>
            </w:r>
          </w:p>
        </w:tc>
        <w:tc>
          <w:tcPr>
            <w:tcW w:w="2891" w:type="dxa"/>
          </w:tcPr>
          <w:p>
            <w:pPr>
              <w:rPr>
                <w:rFonts w:ascii="Calibri" w:hAnsi="Calibri" w:cs="Calibri"/>
                <w:color w:val="000000"/>
                <w:sz w:val="22"/>
              </w:rPr>
            </w:pPr>
            <w:r>
              <w:rPr>
                <w:rFonts w:ascii="Calibri" w:hAnsi="Calibri" w:cs="Calibri"/>
                <w:color w:val="000000"/>
                <w:sz w:val="22"/>
              </w:rPr>
              <w:t>项目完成及时情况</w:t>
            </w:r>
          </w:p>
        </w:tc>
        <w:tc>
          <w:tcPr>
            <w:tcW w:w="1276" w:type="dxa"/>
            <w:vAlign w:val="center"/>
          </w:tcPr>
          <w:p>
            <w:pPr>
              <w:pStyle w:val="14"/>
            </w:pPr>
            <w:r>
              <w:t>100%</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tcPr>
          <w:p>
            <w:pPr>
              <w:rPr>
                <w:rFonts w:ascii="Calibri" w:hAnsi="Calibri" w:cs="Calibri"/>
                <w:color w:val="000000"/>
                <w:sz w:val="22"/>
              </w:rPr>
            </w:pPr>
            <w:r>
              <w:rPr>
                <w:rFonts w:ascii="Calibri" w:hAnsi="Calibri" w:cs="Calibri"/>
                <w:color w:val="000000"/>
                <w:sz w:val="22"/>
              </w:rPr>
              <w:t>项目预算控制数</w:t>
            </w:r>
          </w:p>
        </w:tc>
        <w:tc>
          <w:tcPr>
            <w:tcW w:w="2891" w:type="dxa"/>
          </w:tcPr>
          <w:p>
            <w:pPr>
              <w:rPr>
                <w:rFonts w:ascii="Calibri" w:hAnsi="Calibri" w:cs="Calibri"/>
                <w:color w:val="000000"/>
                <w:sz w:val="22"/>
              </w:rPr>
            </w:pPr>
            <w:r>
              <w:rPr>
                <w:rFonts w:ascii="Calibri" w:hAnsi="Calibri" w:cs="Calibri"/>
                <w:color w:val="000000"/>
                <w:sz w:val="22"/>
              </w:rPr>
              <w:t>项目支出控制在预算范围内</w:t>
            </w:r>
          </w:p>
        </w:tc>
        <w:tc>
          <w:tcPr>
            <w:tcW w:w="1276" w:type="dxa"/>
            <w:vAlign w:val="center"/>
          </w:tcPr>
          <w:p>
            <w:pPr>
              <w:pStyle w:val="14"/>
            </w:pPr>
            <w:r>
              <w:t>≤1.5万元</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4"/>
            </w:pPr>
            <w:r>
              <w:t>社会效益指</w:t>
            </w:r>
            <w:r>
              <w:rPr>
                <w:rFonts w:hint="eastAsia"/>
              </w:rPr>
              <w:t>标</w:t>
            </w:r>
          </w:p>
        </w:tc>
        <w:tc>
          <w:tcPr>
            <w:tcW w:w="1332" w:type="dxa"/>
            <w:vAlign w:val="center"/>
          </w:tcPr>
          <w:p>
            <w:pPr>
              <w:pStyle w:val="14"/>
            </w:pPr>
            <w:r>
              <w:t>办公环境改善率</w:t>
            </w:r>
          </w:p>
        </w:tc>
        <w:tc>
          <w:tcPr>
            <w:tcW w:w="2891" w:type="dxa"/>
            <w:vAlign w:val="center"/>
          </w:tcPr>
          <w:p>
            <w:pPr>
              <w:pStyle w:val="14"/>
            </w:pPr>
            <w:r>
              <w:rPr>
                <w:rFonts w:hint="eastAsia"/>
              </w:rPr>
              <w:t>职工对</w:t>
            </w:r>
            <w:r>
              <w:t>办公环境舒适度的</w:t>
            </w:r>
            <w:r>
              <w:rPr>
                <w:rFonts w:hint="eastAsia"/>
              </w:rPr>
              <w:t>满意</w:t>
            </w:r>
            <w:r>
              <w:t>比例</w:t>
            </w:r>
          </w:p>
        </w:tc>
        <w:tc>
          <w:tcPr>
            <w:tcW w:w="1276" w:type="dxa"/>
            <w:vAlign w:val="center"/>
          </w:tcPr>
          <w:p>
            <w:pPr>
              <w:pStyle w:val="14"/>
            </w:pPr>
            <w:r>
              <w:t>≥75%</w:t>
            </w:r>
          </w:p>
        </w:tc>
        <w:tc>
          <w:tcPr>
            <w:tcW w:w="1843"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Pr>
          <w:p>
            <w:pPr>
              <w:widowControl/>
              <w:jc w:val="center"/>
              <w:rPr>
                <w:rFonts w:ascii="Calibri" w:hAnsi="Calibri" w:cs="Calibri"/>
                <w:color w:val="000000"/>
                <w:kern w:val="0"/>
                <w:sz w:val="22"/>
              </w:rPr>
            </w:pPr>
            <w:r>
              <w:rPr>
                <w:rFonts w:ascii="Calibri" w:hAnsi="Calibri" w:cs="Calibri"/>
                <w:color w:val="000000"/>
                <w:sz w:val="22"/>
              </w:rPr>
              <w:t>满意度指标</w:t>
            </w:r>
          </w:p>
        </w:tc>
        <w:tc>
          <w:tcPr>
            <w:tcW w:w="1276" w:type="dxa"/>
            <w:vAlign w:val="center"/>
          </w:tcPr>
          <w:p>
            <w:pPr>
              <w:jc w:val="left"/>
              <w:rPr>
                <w:rFonts w:ascii="宋体" w:hAnsi="宋体" w:cs="宋体"/>
                <w:sz w:val="22"/>
              </w:rPr>
            </w:pPr>
            <w:r>
              <w:rPr>
                <w:rFonts w:hint="eastAsia"/>
                <w:sz w:val="22"/>
              </w:rPr>
              <w:t>服务对象满意度指标</w:t>
            </w:r>
          </w:p>
        </w:tc>
        <w:tc>
          <w:tcPr>
            <w:tcW w:w="1332" w:type="dxa"/>
          </w:tcPr>
          <w:p>
            <w:pPr>
              <w:rPr>
                <w:rFonts w:ascii="Calibri" w:hAnsi="Calibri" w:cs="Calibri"/>
                <w:color w:val="000000"/>
                <w:sz w:val="22"/>
              </w:rPr>
            </w:pPr>
            <w:r>
              <w:rPr>
                <w:rFonts w:ascii="Calibri" w:hAnsi="Calibri" w:cs="Calibri"/>
                <w:color w:val="000000"/>
                <w:sz w:val="22"/>
              </w:rPr>
              <w:t>项目服务对象满意率</w:t>
            </w:r>
          </w:p>
        </w:tc>
        <w:tc>
          <w:tcPr>
            <w:tcW w:w="2891" w:type="dxa"/>
          </w:tcPr>
          <w:p>
            <w:pPr>
              <w:rPr>
                <w:rFonts w:ascii="Calibri" w:hAnsi="Calibri" w:cs="Calibri"/>
                <w:color w:val="000000"/>
                <w:sz w:val="22"/>
              </w:rPr>
            </w:pPr>
            <w:r>
              <w:rPr>
                <w:rFonts w:ascii="Calibri" w:hAnsi="Calibri" w:cs="Calibri"/>
                <w:color w:val="000000"/>
                <w:sz w:val="22"/>
              </w:rPr>
              <w:t>项目服务对象满意比例</w:t>
            </w:r>
          </w:p>
        </w:tc>
        <w:tc>
          <w:tcPr>
            <w:tcW w:w="1276" w:type="dxa"/>
            <w:vAlign w:val="center"/>
          </w:tcPr>
          <w:p>
            <w:pPr>
              <w:pStyle w:val="14"/>
            </w:pPr>
            <w:r>
              <w:t>≥85%</w:t>
            </w:r>
          </w:p>
        </w:tc>
        <w:tc>
          <w:tcPr>
            <w:tcW w:w="1843" w:type="dxa"/>
            <w:vAlign w:val="center"/>
          </w:tcPr>
          <w:p>
            <w:pPr>
              <w:pStyle w:val="14"/>
            </w:pPr>
            <w:r>
              <w:t>依据工作计划</w:t>
            </w:r>
          </w:p>
        </w:tc>
      </w:tr>
    </w:tbl>
    <w:p>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2022年，我部门无政府采购预算，空表列示。</w:t>
      </w:r>
    </w:p>
    <w:p>
      <w:pPr>
        <w:ind w:firstLine="640" w:firstLineChars="200"/>
        <w:jc w:val="center"/>
        <w:outlineLvl w:val="0"/>
        <w:rPr>
          <w:rFonts w:ascii="Times New Roman" w:hAnsi="宋体" w:eastAsia="宋体"/>
          <w:sz w:val="32"/>
        </w:rPr>
      </w:pPr>
      <w:r>
        <w:rPr>
          <w:rFonts w:ascii="方正小标宋_GBK" w:eastAsia="方正小标宋_GBK"/>
          <w:sz w:val="32"/>
        </w:rPr>
        <w:t>部门政府采购预算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3" w:name="_Toc32236199"/>
      <w:r>
        <w:rPr>
          <w:rFonts w:ascii="方正小标宋_GBK" w:eastAsia="方正小标宋_GBK"/>
          <w:sz w:val="32"/>
        </w:rPr>
        <w:instrText xml:space="preserve">部门政府采购预算</w:instrText>
      </w:r>
      <w:bookmarkEnd w:id="3"/>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348保定市徐水区交通运输局</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709"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交通局（行政）小计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交通局（事业）小计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bl>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w:t>
      </w:r>
      <w:r>
        <w:rPr>
          <w:rFonts w:ascii="仿宋" w:hAnsi="仿宋" w:eastAsia="仿宋"/>
          <w:sz w:val="32"/>
          <w:szCs w:val="32"/>
        </w:rPr>
        <w:t>978.75</w:t>
      </w:r>
      <w:r>
        <w:rPr>
          <w:rFonts w:hint="eastAsia" w:ascii="仿宋" w:hAnsi="仿宋" w:eastAsia="仿宋"/>
          <w:sz w:val="32"/>
          <w:szCs w:val="32"/>
        </w:rPr>
        <w:t>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176"/>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1978.75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r>
              <w:rPr>
                <w:rFonts w:ascii="仿宋_GB2312" w:hAnsi="仿宋" w:eastAsia="仿宋_GB2312" w:cs="宋体"/>
                <w:kern w:val="0"/>
                <w:sz w:val="24"/>
                <w:szCs w:val="24"/>
              </w:rPr>
              <w:t>.00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r>
              <w:rPr>
                <w:rFonts w:ascii="仿宋_GB2312" w:hAnsi="仿宋" w:eastAsia="仿宋_GB2312" w:cs="宋体"/>
                <w:kern w:val="0"/>
                <w:sz w:val="24"/>
                <w:szCs w:val="24"/>
              </w:rPr>
              <w:t>.00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138.40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544.47</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701218"/>
      <w:docPartObj>
        <w:docPartGallery w:val="autotext"/>
      </w:docPartObj>
    </w:sdtPr>
    <w:sdtContent>
      <w:p>
        <w:pPr>
          <w:pStyle w:val="3"/>
          <w:jc w:val="center"/>
        </w:pPr>
        <w:r>
          <w:fldChar w:fldCharType="begin"/>
        </w:r>
        <w:r>
          <w:instrText xml:space="preserve">PAGE   \* MERGEFORMAT</w:instrText>
        </w:r>
        <w:r>
          <w:fldChar w:fldCharType="separate"/>
        </w:r>
        <w:r>
          <w:rPr>
            <w:lang w:val="zh-CN"/>
          </w:rPr>
          <w:t>11</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14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Y2RlOTcxMjNiNzkyMWJlZTk2OTBmYzQ3OWVlNDgifQ=="/>
  </w:docVars>
  <w:rsids>
    <w:rsidRoot w:val="00055F1F"/>
    <w:rsid w:val="00000B7A"/>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A5F15"/>
    <w:rsid w:val="001B16C9"/>
    <w:rsid w:val="001B4688"/>
    <w:rsid w:val="001B6235"/>
    <w:rsid w:val="001F4875"/>
    <w:rsid w:val="0020407E"/>
    <w:rsid w:val="00212335"/>
    <w:rsid w:val="00223518"/>
    <w:rsid w:val="002918C6"/>
    <w:rsid w:val="00291EF3"/>
    <w:rsid w:val="00296524"/>
    <w:rsid w:val="002E01F6"/>
    <w:rsid w:val="002F1ACB"/>
    <w:rsid w:val="002F530F"/>
    <w:rsid w:val="002F5FF3"/>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13413"/>
    <w:rsid w:val="00426C19"/>
    <w:rsid w:val="00450FD9"/>
    <w:rsid w:val="00453CE0"/>
    <w:rsid w:val="00470736"/>
    <w:rsid w:val="00470BBB"/>
    <w:rsid w:val="0048611E"/>
    <w:rsid w:val="004A44D6"/>
    <w:rsid w:val="004B17BF"/>
    <w:rsid w:val="004B6929"/>
    <w:rsid w:val="004E2F43"/>
    <w:rsid w:val="004E3572"/>
    <w:rsid w:val="004F3C52"/>
    <w:rsid w:val="00510A1E"/>
    <w:rsid w:val="005158E2"/>
    <w:rsid w:val="00524204"/>
    <w:rsid w:val="00550049"/>
    <w:rsid w:val="00553F7E"/>
    <w:rsid w:val="00556684"/>
    <w:rsid w:val="00570142"/>
    <w:rsid w:val="00586C35"/>
    <w:rsid w:val="005B1B6F"/>
    <w:rsid w:val="005B6CCB"/>
    <w:rsid w:val="005C54AA"/>
    <w:rsid w:val="005C7B89"/>
    <w:rsid w:val="0062788A"/>
    <w:rsid w:val="00641F8A"/>
    <w:rsid w:val="0066383B"/>
    <w:rsid w:val="006771B9"/>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12D81"/>
    <w:rsid w:val="00833132"/>
    <w:rsid w:val="00845C67"/>
    <w:rsid w:val="0086454E"/>
    <w:rsid w:val="008672EA"/>
    <w:rsid w:val="00891680"/>
    <w:rsid w:val="008A0099"/>
    <w:rsid w:val="008A0B5F"/>
    <w:rsid w:val="008B5402"/>
    <w:rsid w:val="008D11BC"/>
    <w:rsid w:val="008D4E22"/>
    <w:rsid w:val="0090527E"/>
    <w:rsid w:val="00905BB7"/>
    <w:rsid w:val="0090620C"/>
    <w:rsid w:val="00912DA4"/>
    <w:rsid w:val="009302B8"/>
    <w:rsid w:val="009305C6"/>
    <w:rsid w:val="009752AE"/>
    <w:rsid w:val="00982F3D"/>
    <w:rsid w:val="00983232"/>
    <w:rsid w:val="009A278A"/>
    <w:rsid w:val="009B6368"/>
    <w:rsid w:val="009F63C4"/>
    <w:rsid w:val="00A16957"/>
    <w:rsid w:val="00A46384"/>
    <w:rsid w:val="00A6155C"/>
    <w:rsid w:val="00A8079E"/>
    <w:rsid w:val="00A90328"/>
    <w:rsid w:val="00A92D66"/>
    <w:rsid w:val="00AA4262"/>
    <w:rsid w:val="00AB5A90"/>
    <w:rsid w:val="00AB7449"/>
    <w:rsid w:val="00AE4AA5"/>
    <w:rsid w:val="00AE7FA9"/>
    <w:rsid w:val="00B01E81"/>
    <w:rsid w:val="00B05A7F"/>
    <w:rsid w:val="00B147EB"/>
    <w:rsid w:val="00B22155"/>
    <w:rsid w:val="00B736FF"/>
    <w:rsid w:val="00B76AA9"/>
    <w:rsid w:val="00B80FAB"/>
    <w:rsid w:val="00B81C88"/>
    <w:rsid w:val="00BA5C83"/>
    <w:rsid w:val="00BC6A7D"/>
    <w:rsid w:val="00BD4829"/>
    <w:rsid w:val="00BD6002"/>
    <w:rsid w:val="00BD719F"/>
    <w:rsid w:val="00BF5442"/>
    <w:rsid w:val="00C177A5"/>
    <w:rsid w:val="00C35FEE"/>
    <w:rsid w:val="00C459F7"/>
    <w:rsid w:val="00C50535"/>
    <w:rsid w:val="00C6153C"/>
    <w:rsid w:val="00C906EF"/>
    <w:rsid w:val="00CC7D74"/>
    <w:rsid w:val="00D02B30"/>
    <w:rsid w:val="00D02F97"/>
    <w:rsid w:val="00D45530"/>
    <w:rsid w:val="00D45A0E"/>
    <w:rsid w:val="00D45D23"/>
    <w:rsid w:val="00D723D1"/>
    <w:rsid w:val="00D80C60"/>
    <w:rsid w:val="00D8525F"/>
    <w:rsid w:val="00DA0C4D"/>
    <w:rsid w:val="00DA5DA7"/>
    <w:rsid w:val="00DB76AC"/>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C055D"/>
    <w:rsid w:val="00EC1647"/>
    <w:rsid w:val="00EF17AA"/>
    <w:rsid w:val="00F000B1"/>
    <w:rsid w:val="00F004AC"/>
    <w:rsid w:val="00F012D3"/>
    <w:rsid w:val="00F044C3"/>
    <w:rsid w:val="00F10D04"/>
    <w:rsid w:val="00F115AC"/>
    <w:rsid w:val="00F169E3"/>
    <w:rsid w:val="00F35D4B"/>
    <w:rsid w:val="00F3746B"/>
    <w:rsid w:val="00F440BE"/>
    <w:rsid w:val="00F534D7"/>
    <w:rsid w:val="00F572CB"/>
    <w:rsid w:val="00F621AF"/>
    <w:rsid w:val="00F655DA"/>
    <w:rsid w:val="00F8024E"/>
    <w:rsid w:val="00F82447"/>
    <w:rsid w:val="00F868E5"/>
    <w:rsid w:val="00FB2F32"/>
    <w:rsid w:val="00FC3191"/>
    <w:rsid w:val="00FE0F1F"/>
    <w:rsid w:val="00FE1CE1"/>
    <w:rsid w:val="00FF61F3"/>
    <w:rsid w:val="0A214432"/>
    <w:rsid w:val="10E1540D"/>
    <w:rsid w:val="27733670"/>
    <w:rsid w:val="77C60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1">
    <w:name w:val="单元格样式5"/>
    <w:basedOn w:val="1"/>
    <w:qFormat/>
    <w:uiPriority w:val="0"/>
    <w:pPr>
      <w:jc w:val="left"/>
    </w:pPr>
    <w:rPr>
      <w:rFonts w:ascii="方正书宋_GBK" w:hAnsi="方正书宋_GBK" w:eastAsia="方正书宋_GBK" w:cs="方正书宋_GBK"/>
      <w:b/>
    </w:rPr>
  </w:style>
  <w:style w:type="paragraph" w:customStyle="1" w:styleId="12">
    <w:name w:val="单元格样式4"/>
    <w:basedOn w:val="1"/>
    <w:qFormat/>
    <w:uiPriority w:val="0"/>
    <w:pPr>
      <w:jc w:val="right"/>
    </w:pPr>
    <w:rPr>
      <w:rFonts w:ascii="方正书宋_GBK" w:hAnsi="方正书宋_GBK" w:eastAsia="方正书宋_GBK" w:cs="方正书宋_GBK"/>
    </w:rPr>
  </w:style>
  <w:style w:type="paragraph" w:customStyle="1" w:styleId="13">
    <w:name w:val="单元格样式1"/>
    <w:basedOn w:val="1"/>
    <w:qFormat/>
    <w:uiPriority w:val="0"/>
    <w:pPr>
      <w:jc w:val="center"/>
    </w:pPr>
    <w:rPr>
      <w:rFonts w:ascii="方正书宋_GBK" w:hAnsi="方正书宋_GBK" w:eastAsia="方正书宋_GBK" w:cs="方正书宋_GBK"/>
      <w:b/>
    </w:rPr>
  </w:style>
  <w:style w:type="paragraph" w:customStyle="1" w:styleId="14">
    <w:name w:val="单元格样式2"/>
    <w:basedOn w:val="1"/>
    <w:qFormat/>
    <w:uiPriority w:val="0"/>
    <w:pPr>
      <w:jc w:val="left"/>
    </w:pPr>
    <w:rPr>
      <w:rFonts w:ascii="方正书宋_GBK" w:hAnsi="方正书宋_GBK" w:eastAsia="方正书宋_GBK" w:cs="方正书宋_GBK"/>
    </w:rPr>
  </w:style>
  <w:style w:type="paragraph" w:customStyle="1" w:styleId="15">
    <w:name w:val="单元格样式3"/>
    <w:basedOn w:val="1"/>
    <w:qFormat/>
    <w:uiPriority w:val="0"/>
    <w:pPr>
      <w:jc w:val="center"/>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F1FD8-C068-4965-9DBB-4FE71D3FEC0F}">
  <ds:schemaRefs/>
</ds:datastoreItem>
</file>

<file path=docProps/app.xml><?xml version="1.0" encoding="utf-8"?>
<Properties xmlns="http://schemas.openxmlformats.org/officeDocument/2006/extended-properties" xmlns:vt="http://schemas.openxmlformats.org/officeDocument/2006/docPropsVTypes">
  <Template>Normal</Template>
  <Pages>14</Pages>
  <Words>5137</Words>
  <Characters>5596</Characters>
  <Lines>44</Lines>
  <Paragraphs>12</Paragraphs>
  <TotalTime>934</TotalTime>
  <ScaleCrop>false</ScaleCrop>
  <LinksUpToDate>false</LinksUpToDate>
  <CharactersWithSpaces>5719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子非鱼安知鱼之乐</cp:lastModifiedBy>
  <cp:lastPrinted>2021-04-14T02:06:00Z</cp:lastPrinted>
  <dcterms:modified xsi:type="dcterms:W3CDTF">2024-07-01T11:45:29Z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76EAFEA3433E47EF9BBEB116C4FC5C2C</vt:lpwstr>
  </property>
</Properties>
</file>