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保定市徐水区文化广电和旅游局</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500" w:lineRule="exact"/>
        <w:ind w:firstLine="560" w:firstLineChars="200"/>
        <w:jc w:val="left"/>
        <w:rPr>
          <w:rFonts w:ascii="Times New Roman" w:hAnsi="宋体" w:eastAsia="宋体"/>
          <w:sz w:val="28"/>
        </w:rPr>
      </w:pPr>
      <w:r>
        <w:rPr>
          <w:rFonts w:hint="eastAsia" w:ascii="Times New Roman" w:eastAsia="方正仿宋_GBK"/>
          <w:sz w:val="28"/>
        </w:rPr>
        <w:t>根据《保定市徐水区文化广电和旅游局职能配置、内设机构和人员编制规定》，</w:t>
      </w:r>
      <w:r>
        <w:rPr>
          <w:rFonts w:ascii="Times New Roman" w:eastAsia="方正仿宋_GBK"/>
          <w:sz w:val="28"/>
        </w:rPr>
        <w:t xml:space="preserve"> 保定市徐水区文化广电和旅游局的主要职责是：</w:t>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贯彻执行党和国家文化、旅游、广播电视、文物和博物馆工作方针政策和法律法规。拟订全区文化、旅游、广播电视政策措施，起草全区文化和旅游、广播电视和文物保护方面的地方性规章、管理办法并组织实施。</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拟订全区文化和旅游事业、文化和旅游产业、广播电视、文物和博物馆事业发展规划并组织实施，推进文化、旅游、广播电视融合发展，推进文化和旅游、广播电视领域体制机制改革。</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指导、管理全区文艺事业。指导艺术创作生产，扶持体现中国梦和社会主义核心价值观，具有导向性、代表性、示范性的文艺作品，推动全区各门类艺术、各艺术品种发展。</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负责全区公共文化、旅游和广播电视事业发展。推进全区旅游、文物和博物馆公共文化服务体系建设，深入实施文化和旅游惠民工程，统筹推进全区基本公共文化、旅游和广播电视服务标准化、均等化。</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指导、推进全区文化、旅游和广播电视科技创新发展，推进文化和旅游行业信息化、标准化建设。</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负责对全区各类广播电视机构进行业务指导和行业监管，会同有关单位对全区网络试听节目服务机构进行管理，推进广播电视与新媒体新技术新业态融合发展。</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8. </w:t>
      </w:r>
      <w:r>
        <w:rPr>
          <w:rFonts w:hint="eastAsia" w:ascii="Times New Roman" w:hAnsi="微软雅黑" w:eastAsia="方正仿宋_GBK" w:cs="微软雅黑"/>
          <w:sz w:val="28"/>
        </w:rPr>
        <w:t>组织协调文化遗产的管理和保护，指导和管理文物事业，组织指导文物的保护抢救、考古发掘和开发利用工作。负责全区非物质文化遗产保护，推动非物质文化遗产的保护、传承、普及、弘扬和振兴。</w:t>
      </w:r>
    </w:p>
    <w:p>
      <w:pPr>
        <w:spacing w:line="500" w:lineRule="exact"/>
        <w:ind w:firstLine="560" w:firstLineChars="200"/>
        <w:jc w:val="left"/>
        <w:rPr>
          <w:rFonts w:ascii="Times New Roman" w:eastAsia="方正仿宋_GBK"/>
          <w:sz w:val="28"/>
        </w:rPr>
      </w:pPr>
      <w:r>
        <w:rPr>
          <w:rFonts w:ascii="Times New Roman" w:eastAsia="方正仿宋_GBK"/>
          <w:sz w:val="28"/>
        </w:rPr>
        <w:t>9.</w:t>
      </w:r>
      <w:r>
        <w:rPr>
          <w:rFonts w:hint="eastAsia" w:ascii="Times New Roman" w:hAnsi="微软雅黑" w:eastAsia="方正仿宋_GBK" w:cs="微软雅黑"/>
          <w:sz w:val="28"/>
        </w:rPr>
        <w:t>统筹规划全区文化产业、旅游产业、广播电视、文物利用及相关产业。组织实施文化、旅游和文物资源普查、挖掘、保护和开发利用工作。</w:t>
      </w:r>
    </w:p>
    <w:p>
      <w:pPr>
        <w:spacing w:line="500" w:lineRule="exact"/>
        <w:ind w:firstLine="560" w:firstLineChars="200"/>
        <w:jc w:val="left"/>
        <w:rPr>
          <w:rFonts w:ascii="Times New Roman" w:eastAsia="方正仿宋_GBK"/>
          <w:sz w:val="28"/>
        </w:rPr>
      </w:pPr>
      <w:r>
        <w:rPr>
          <w:rFonts w:ascii="Times New Roman" w:eastAsia="方正仿宋_GBK"/>
          <w:sz w:val="28"/>
        </w:rPr>
        <w:t>10.</w:t>
      </w:r>
      <w:r>
        <w:rPr>
          <w:rFonts w:hint="eastAsia" w:ascii="Times New Roman" w:hAnsi="微软雅黑" w:eastAsia="方正仿宋_GBK" w:cs="微软雅黑"/>
          <w:sz w:val="28"/>
        </w:rPr>
        <w:t>指导全区文化、旅游和广播电视市场发展。对文化、旅游和广播电视市场经营进行行业监管，推进全区文化、旅游、和广播电视行业信用体系建设，依法规范文化、旅游和广播电视市场。</w:t>
      </w:r>
    </w:p>
    <w:p>
      <w:pPr>
        <w:spacing w:line="500" w:lineRule="exact"/>
        <w:ind w:firstLine="560" w:firstLineChars="200"/>
        <w:jc w:val="left"/>
        <w:rPr>
          <w:rFonts w:ascii="Times New Roman" w:eastAsia="方正仿宋_GBK"/>
          <w:sz w:val="28"/>
        </w:rPr>
      </w:pPr>
      <w:r>
        <w:rPr>
          <w:rFonts w:ascii="Times New Roman" w:eastAsia="方正仿宋_GBK"/>
          <w:sz w:val="28"/>
        </w:rPr>
        <w:t>11.</w:t>
      </w:r>
      <w:r>
        <w:rPr>
          <w:rFonts w:hint="eastAsia" w:ascii="Times New Roman" w:hAnsi="微软雅黑" w:eastAsia="方正仿宋_GBK" w:cs="微软雅黑"/>
          <w:sz w:val="28"/>
        </w:rPr>
        <w:t>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500" w:lineRule="exact"/>
        <w:ind w:firstLine="560" w:firstLineChars="200"/>
        <w:jc w:val="left"/>
        <w:rPr>
          <w:rFonts w:ascii="Times New Roman" w:eastAsia="方正仿宋_GBK"/>
          <w:sz w:val="28"/>
        </w:rPr>
      </w:pPr>
      <w:r>
        <w:rPr>
          <w:rFonts w:ascii="Times New Roman" w:eastAsia="方正仿宋_GBK"/>
          <w:sz w:val="28"/>
        </w:rPr>
        <w:t>12.</w:t>
      </w:r>
      <w:r>
        <w:rPr>
          <w:rFonts w:hint="eastAsia" w:ascii="Times New Roman" w:hAnsi="微软雅黑" w:eastAsia="方正仿宋_GBK" w:cs="微软雅黑"/>
          <w:sz w:val="28"/>
        </w:rPr>
        <w:t>完成区委、区政府交办的其他任务。</w:t>
      </w:r>
    </w:p>
    <w:p>
      <w:pPr>
        <w:spacing w:line="360" w:lineRule="auto"/>
        <w:ind w:firstLine="640" w:firstLineChars="200"/>
        <w:rPr>
          <w:rFonts w:ascii="仿宋" w:hAnsi="仿宋" w:eastAsia="仿宋"/>
          <w:sz w:val="32"/>
          <w:szCs w:val="32"/>
        </w:rPr>
      </w:pP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6"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2021年预算收入为969</w:t>
      </w:r>
      <w:r>
        <w:rPr>
          <w:rFonts w:hint="eastAsia" w:ascii="仿宋" w:hAnsi="仿宋" w:eastAsia="仿宋"/>
          <w:sz w:val="32"/>
          <w:szCs w:val="32"/>
        </w:rPr>
        <w:t>.</w:t>
      </w:r>
      <w:r>
        <w:rPr>
          <w:rFonts w:ascii="仿宋" w:hAnsi="仿宋" w:eastAsia="仿宋"/>
          <w:sz w:val="32"/>
          <w:szCs w:val="32"/>
        </w:rPr>
        <w:t>94万元,其中：一般公共预算收入969</w:t>
      </w:r>
      <w:r>
        <w:rPr>
          <w:rFonts w:hint="eastAsia" w:ascii="仿宋" w:hAnsi="仿宋" w:eastAsia="仿宋"/>
          <w:sz w:val="32"/>
          <w:szCs w:val="32"/>
        </w:rPr>
        <w:t>.</w:t>
      </w:r>
      <w:r>
        <w:rPr>
          <w:rFonts w:ascii="仿宋" w:hAnsi="仿宋" w:eastAsia="仿宋"/>
          <w:sz w:val="32"/>
          <w:szCs w:val="32"/>
        </w:rPr>
        <w:t>94万元，基金预算收入0万元，财政专户收入0万元，其他来源收入0万元。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2021年单位支出预算：969</w:t>
      </w:r>
      <w:r>
        <w:rPr>
          <w:rFonts w:hint="eastAsia" w:ascii="仿宋" w:hAnsi="仿宋" w:eastAsia="仿宋"/>
          <w:sz w:val="32"/>
          <w:szCs w:val="32"/>
        </w:rPr>
        <w:t>.</w:t>
      </w:r>
      <w:r>
        <w:rPr>
          <w:rFonts w:ascii="仿宋" w:hAnsi="仿宋" w:eastAsia="仿宋"/>
          <w:sz w:val="32"/>
          <w:szCs w:val="32"/>
        </w:rPr>
        <w:t>94万元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147.34</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其中：人员经费111.36万元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日常公用经费35.98万元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822.60万元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其中：本级支出822.60万元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969</w:t>
      </w:r>
      <w:r>
        <w:rPr>
          <w:rFonts w:hint="eastAsia" w:ascii="仿宋" w:hAnsi="仿宋" w:eastAsia="仿宋"/>
          <w:sz w:val="32"/>
          <w:szCs w:val="32"/>
        </w:rPr>
        <w:t>.</w:t>
      </w:r>
      <w:r>
        <w:rPr>
          <w:rFonts w:ascii="仿宋" w:hAnsi="仿宋" w:eastAsia="仿宋"/>
          <w:sz w:val="32"/>
          <w:szCs w:val="32"/>
        </w:rPr>
        <w:t>94</w:t>
      </w:r>
      <w:r>
        <w:rPr>
          <w:rFonts w:hint="eastAsia" w:ascii="仿宋" w:hAnsi="仿宋" w:eastAsia="仿宋"/>
          <w:sz w:val="32"/>
          <w:szCs w:val="32"/>
        </w:rPr>
        <w:t>万元，较上年增加</w:t>
      </w:r>
      <w:r>
        <w:rPr>
          <w:rFonts w:ascii="仿宋" w:hAnsi="仿宋" w:eastAsia="仿宋"/>
          <w:sz w:val="32"/>
          <w:szCs w:val="32"/>
        </w:rPr>
        <w:t>385.65万元。其中:基本支</w:t>
      </w:r>
      <w:r>
        <w:rPr>
          <w:rFonts w:hint="eastAsia" w:ascii="仿宋" w:hAnsi="仿宋" w:eastAsia="仿宋"/>
          <w:sz w:val="32"/>
          <w:szCs w:val="32"/>
        </w:rPr>
        <w:t>出建设1</w:t>
      </w:r>
      <w:r>
        <w:rPr>
          <w:rFonts w:ascii="仿宋" w:hAnsi="仿宋" w:eastAsia="仿宋"/>
          <w:sz w:val="32"/>
          <w:szCs w:val="32"/>
        </w:rPr>
        <w:t>64.99万元，主要原因是2021年人员奖金福利支出减少；项目支出增加550.64万元，主要原因是</w:t>
      </w:r>
      <w:r>
        <w:rPr>
          <w:rFonts w:hint="eastAsia" w:ascii="仿宋" w:hAnsi="仿宋" w:eastAsia="仿宋"/>
          <w:sz w:val="32"/>
          <w:szCs w:val="32"/>
        </w:rPr>
        <w:t>项目</w:t>
      </w:r>
      <w:r>
        <w:rPr>
          <w:rFonts w:ascii="仿宋" w:hAnsi="仿宋" w:eastAsia="仿宋"/>
          <w:sz w:val="32"/>
          <w:szCs w:val="32"/>
        </w:rPr>
        <w:t>核算</w:t>
      </w:r>
      <w:r>
        <w:rPr>
          <w:rFonts w:hint="eastAsia" w:ascii="仿宋" w:hAnsi="仿宋" w:eastAsia="仿宋"/>
          <w:sz w:val="32"/>
          <w:szCs w:val="32"/>
        </w:rPr>
        <w:t>支出</w:t>
      </w:r>
      <w:r>
        <w:rPr>
          <w:rFonts w:ascii="仿宋" w:hAnsi="仿宋" w:eastAsia="仿宋"/>
          <w:sz w:val="32"/>
          <w:szCs w:val="32"/>
        </w:rPr>
        <w:t>增加。</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2021年我单位机关运行经费安排35.98万元，其中办公费2.52万元，邮电费4.16万元，</w:t>
      </w:r>
      <w:r>
        <w:rPr>
          <w:rFonts w:hint="eastAsia" w:ascii="仿宋" w:hAnsi="仿宋" w:eastAsia="仿宋"/>
          <w:sz w:val="32"/>
          <w:szCs w:val="32"/>
        </w:rPr>
        <w:t>取暖费9</w:t>
      </w:r>
      <w:r>
        <w:rPr>
          <w:rFonts w:ascii="仿宋" w:hAnsi="仿宋" w:eastAsia="仿宋"/>
          <w:sz w:val="32"/>
          <w:szCs w:val="32"/>
        </w:rPr>
        <w:t>.4</w:t>
      </w:r>
      <w:r>
        <w:rPr>
          <w:rFonts w:hint="eastAsia" w:ascii="仿宋" w:hAnsi="仿宋" w:eastAsia="仿宋"/>
          <w:sz w:val="32"/>
          <w:szCs w:val="32"/>
        </w:rPr>
        <w:t>万元，</w:t>
      </w:r>
      <w:r>
        <w:rPr>
          <w:rFonts w:ascii="仿宋" w:hAnsi="仿宋" w:eastAsia="仿宋"/>
          <w:sz w:val="32"/>
          <w:szCs w:val="32"/>
        </w:rPr>
        <w:t>工会经费11.6，福利费</w:t>
      </w:r>
      <w:r>
        <w:rPr>
          <w:rFonts w:hint="eastAsia" w:ascii="仿宋" w:hAnsi="仿宋" w:eastAsia="仿宋"/>
          <w:sz w:val="32"/>
          <w:szCs w:val="32"/>
        </w:rPr>
        <w:t>0</w:t>
      </w:r>
      <w:r>
        <w:rPr>
          <w:rFonts w:ascii="仿宋" w:hAnsi="仿宋" w:eastAsia="仿宋"/>
          <w:sz w:val="32"/>
          <w:szCs w:val="32"/>
        </w:rPr>
        <w:t>.83万元，公务用车运行维护费</w:t>
      </w:r>
      <w:r>
        <w:rPr>
          <w:rFonts w:hint="eastAsia" w:ascii="仿宋" w:hAnsi="仿宋" w:eastAsia="仿宋"/>
          <w:sz w:val="32"/>
          <w:szCs w:val="32"/>
        </w:rPr>
        <w:t>1</w:t>
      </w:r>
      <w:r>
        <w:rPr>
          <w:rFonts w:ascii="仿宋" w:hAnsi="仿宋" w:eastAsia="仿宋"/>
          <w:sz w:val="32"/>
          <w:szCs w:val="32"/>
        </w:rPr>
        <w:t>3.5万元，其他</w:t>
      </w:r>
      <w:r>
        <w:rPr>
          <w:rFonts w:hint="eastAsia" w:ascii="仿宋" w:hAnsi="仿宋" w:eastAsia="仿宋"/>
          <w:sz w:val="32"/>
          <w:szCs w:val="32"/>
        </w:rPr>
        <w:t>交通费4</w:t>
      </w:r>
      <w:r>
        <w:rPr>
          <w:rFonts w:ascii="仿宋" w:hAnsi="仿宋" w:eastAsia="仿宋"/>
          <w:sz w:val="32"/>
          <w:szCs w:val="32"/>
        </w:rPr>
        <w:t>.32万元</w:t>
      </w:r>
      <w:r>
        <w:rPr>
          <w:rFonts w:hint="eastAsia" w:ascii="仿宋" w:hAnsi="仿宋" w:eastAsia="仿宋"/>
          <w:sz w:val="32"/>
          <w:szCs w:val="32"/>
        </w:rPr>
        <w:t>，其他商品服务支出</w:t>
      </w:r>
      <w:r>
        <w:rPr>
          <w:rFonts w:ascii="仿宋" w:hAnsi="仿宋" w:eastAsia="仿宋"/>
          <w:sz w:val="32"/>
          <w:szCs w:val="32"/>
        </w:rPr>
        <w:t>0.09</w:t>
      </w:r>
      <w:r>
        <w:rPr>
          <w:rFonts w:hint="eastAsia" w:ascii="仿宋" w:hAnsi="仿宋" w:eastAsia="仿宋"/>
          <w:sz w:val="32"/>
          <w:szCs w:val="32"/>
        </w:rPr>
        <w:t>万元</w:t>
      </w:r>
      <w:r>
        <w:rPr>
          <w:rFonts w:ascii="仿宋" w:hAnsi="仿宋" w:eastAsia="仿宋"/>
          <w:sz w:val="32"/>
          <w:szCs w:val="32"/>
        </w:rPr>
        <w:t>。</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5</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1</w:t>
                  </w:r>
                  <w:r>
                    <w:rPr>
                      <w:rFonts w:ascii="仿宋_GB2312" w:hAnsi="宋体" w:eastAsia="仿宋_GB2312" w:cs="宋体"/>
                      <w:color w:val="FF0000"/>
                      <w:kern w:val="0"/>
                      <w:sz w:val="24"/>
                      <w:szCs w:val="24"/>
                    </w:rPr>
                    <w:t>5</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sz w:val="28"/>
        </w:rPr>
      </w:pPr>
      <w:bookmarkStart w:id="0" w:name="_Toc66957404"/>
      <w:r>
        <w:rPr>
          <w:rFonts w:hint="eastAsia" w:ascii="方正黑体_GBK" w:eastAsia="方正黑体_GBK"/>
          <w:sz w:val="28"/>
        </w:rPr>
        <w:t>一、总体绩效目标</w:t>
      </w:r>
      <w:bookmarkEnd w:id="0"/>
      <w:r>
        <w:rPr>
          <w:rFonts w:ascii="方正黑体_GBK" w:eastAsia="方正黑体_GBK"/>
          <w:sz w:val="28"/>
        </w:rP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2021年，在区委、区政府的正确领导下，坚持以习近平新时代中国特色社会主义思想为指导，深入学习贯彻党的十九大和十九届三中、四中全会精神。坚持以人民为中心，提供优质的文化旅游产品和服务；围绕高质量发展目标，努力提升文化事业、文化产业和旅游业整体质量和效益；坚持融合发展、创新驱动、绿色发展、开放协同、共建共享；守好政治底线、生态底线和安全底线。力争实现以下总体目标：文艺精品力作精彩纷呈，文化和旅游产品供给质量不断提升，市场繁荣有序；文化和旅游融合发展成效显著，公共服务体系更加完善；文化和旅游宣传影响力大幅提升，文化和旅游服务区重点工作的能力和综合贡献度明显增强。组织文化惠民“七进”演出75场次以上，旅游业态发展有新的发展，文化遗产保护和利用工作有新突破，文化市场综合行政执法工作有新局面，圆满完成“十三五”规划目标任务。</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1" w:name="_Toc6695740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公共文化服务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推进公共文化服务设施全覆盖，提高公共文化服务设施达标率，满足人民群众公共文化服务需求；提升公共文化服务效能，丰富优秀公共文化产品供给，活跃群众文化生活；壮大公共文化服务人才队伍。</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绩效指标：公共文化服务设施覆盖率达到</w:t>
      </w:r>
      <w:r>
        <w:rPr>
          <w:rFonts w:ascii="Times New Roman" w:eastAsia="方正仿宋_GBK"/>
          <w:sz w:val="28"/>
        </w:rPr>
        <w:t>95%</w:t>
      </w:r>
      <w:r>
        <w:rPr>
          <w:rFonts w:hint="eastAsia" w:ascii="Times New Roman" w:hAnsi="微软雅黑" w:eastAsia="方正仿宋_GBK" w:cs="微软雅黑"/>
          <w:sz w:val="28"/>
        </w:rPr>
        <w:t>；每万人拥有群众文化设施面积达到</w:t>
      </w:r>
      <w:r>
        <w:rPr>
          <w:rFonts w:ascii="Times New Roman" w:eastAsia="方正仿宋_GBK"/>
          <w:sz w:val="28"/>
        </w:rPr>
        <w:t>170</w:t>
      </w:r>
      <w:r>
        <w:rPr>
          <w:rFonts w:hint="eastAsia" w:ascii="Times New Roman" w:hAnsi="Batang" w:eastAsia="方正仿宋_GBK" w:cs="Batang"/>
          <w:sz w:val="28"/>
        </w:rPr>
        <w:t>㎡；培</w:t>
      </w:r>
      <w:r>
        <w:rPr>
          <w:rFonts w:hint="eastAsia" w:ascii="Times New Roman" w:hAnsi="微软雅黑" w:eastAsia="方正仿宋_GBK" w:cs="微软雅黑"/>
          <w:sz w:val="28"/>
        </w:rPr>
        <w:t>训文化工作者</w:t>
      </w:r>
      <w:r>
        <w:rPr>
          <w:rFonts w:ascii="Times New Roman" w:eastAsia="方正仿宋_GBK"/>
          <w:sz w:val="28"/>
        </w:rPr>
        <w:t>240</w:t>
      </w:r>
      <w:r>
        <w:rPr>
          <w:rFonts w:hint="eastAsia" w:ascii="Times New Roman" w:hAnsi="微软雅黑" w:eastAsia="方正仿宋_GBK" w:cs="微软雅黑"/>
          <w:sz w:val="28"/>
        </w:rPr>
        <w:t>人；全民阅读率达到</w:t>
      </w:r>
      <w:r>
        <w:rPr>
          <w:rFonts w:ascii="Times New Roman" w:eastAsia="方正仿宋_GBK"/>
          <w:sz w:val="28"/>
        </w:rPr>
        <w:t>25%</w:t>
      </w:r>
      <w:r>
        <w:rPr>
          <w:rFonts w:hint="eastAsia" w:ascii="Times New Roman" w:hAnsi="微软雅黑" w:eastAsia="方正仿宋_GBK" w:cs="微软雅黑"/>
          <w:sz w:val="28"/>
        </w:rPr>
        <w:t>；群众文化活动参与率达到</w:t>
      </w:r>
      <w:r>
        <w:rPr>
          <w:rFonts w:ascii="Times New Roman" w:eastAsia="方正仿宋_GBK"/>
          <w:sz w:val="28"/>
        </w:rPr>
        <w:t>25%</w:t>
      </w:r>
      <w:r>
        <w:rPr>
          <w:rFonts w:hint="eastAsia" w:ascii="Times New Roman" w:hAnsi="微软雅黑" w:eastAsia="方正仿宋_GBK" w:cs="微软雅黑"/>
          <w:sz w:val="28"/>
        </w:rPr>
        <w:t>；舞台艺术作品创作</w:t>
      </w:r>
      <w:r>
        <w:rPr>
          <w:rFonts w:ascii="Times New Roman" w:eastAsia="方正仿宋_GBK"/>
          <w:sz w:val="28"/>
        </w:rPr>
        <w:t>10</w:t>
      </w:r>
      <w:r>
        <w:rPr>
          <w:rFonts w:hint="eastAsia" w:ascii="Times New Roman" w:hAnsi="微软雅黑" w:eastAsia="方正仿宋_GBK" w:cs="微软雅黑"/>
          <w:sz w:val="28"/>
        </w:rPr>
        <w:t>台；入选省市文化和旅游部等国家主管单位组织的各项展演、评比活动项目</w:t>
      </w:r>
      <w:r>
        <w:rPr>
          <w:rFonts w:ascii="Times New Roman" w:eastAsia="方正仿宋_GBK"/>
          <w:sz w:val="28"/>
        </w:rPr>
        <w:t>4</w:t>
      </w:r>
      <w:r>
        <w:rPr>
          <w:rFonts w:hint="eastAsia" w:ascii="Times New Roman" w:hAnsi="微软雅黑" w:eastAsia="方正仿宋_GBK" w:cs="微软雅黑"/>
          <w:sz w:val="28"/>
        </w:rPr>
        <w:t>项。</w:t>
      </w:r>
      <w:r>
        <w:rPr>
          <w:rFonts w:ascii="Times New Roman" w:eastAsia="方正仿宋_GBK"/>
          <w:sz w:val="28"/>
        </w:rPr>
        <w:t xml:space="preserve"> </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文化活动开展和文化艺术生产</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绩效目标：文化艺术作品进一步丰富，专业艺术创作生产能力和地位不断提高，文化科研能力进一步提升。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绩效指标：获省级认可奖励的作品</w:t>
      </w:r>
      <w:r>
        <w:rPr>
          <w:rFonts w:ascii="Times New Roman" w:eastAsia="方正仿宋_GBK"/>
          <w:sz w:val="28"/>
        </w:rPr>
        <w:t>2</w:t>
      </w:r>
      <w:r>
        <w:rPr>
          <w:rFonts w:hint="eastAsia" w:ascii="Times New Roman" w:hAnsi="微软雅黑" w:eastAsia="方正仿宋_GBK" w:cs="微软雅黑"/>
          <w:sz w:val="28"/>
        </w:rPr>
        <w:t>项；全区</w:t>
      </w:r>
      <w:r>
        <w:rPr>
          <w:rFonts w:ascii="Times New Roman" w:eastAsia="方正仿宋_GBK"/>
          <w:sz w:val="28"/>
        </w:rPr>
        <w:t>“</w:t>
      </w:r>
      <w:r>
        <w:rPr>
          <w:rFonts w:hint="eastAsia" w:ascii="Times New Roman" w:hAnsi="微软雅黑" w:eastAsia="方正仿宋_GBK" w:cs="微软雅黑"/>
          <w:sz w:val="28"/>
        </w:rPr>
        <w:t>七进</w:t>
      </w:r>
      <w:r>
        <w:rPr>
          <w:rFonts w:ascii="Times New Roman" w:eastAsia="方正仿宋_GBK"/>
          <w:sz w:val="28"/>
        </w:rPr>
        <w:t>”</w:t>
      </w:r>
      <w:r>
        <w:rPr>
          <w:rFonts w:hint="eastAsia" w:ascii="Times New Roman" w:hAnsi="微软雅黑" w:eastAsia="方正仿宋_GBK" w:cs="微软雅黑"/>
          <w:sz w:val="28"/>
        </w:rPr>
        <w:t>年演出</w:t>
      </w:r>
      <w:r>
        <w:rPr>
          <w:rFonts w:ascii="Times New Roman" w:eastAsia="方正仿宋_GBK"/>
          <w:sz w:val="28"/>
        </w:rPr>
        <w:t>75</w:t>
      </w:r>
      <w:r>
        <w:rPr>
          <w:rFonts w:hint="eastAsia" w:ascii="Times New Roman" w:hAnsi="微软雅黑" w:eastAsia="方正仿宋_GBK" w:cs="微软雅黑"/>
          <w:sz w:val="28"/>
        </w:rPr>
        <w:t>场次；入选省市文化和旅游部等国家主管单位组织的各项展演、评比活动项目</w:t>
      </w:r>
      <w:r>
        <w:rPr>
          <w:rFonts w:ascii="Times New Roman" w:eastAsia="方正仿宋_GBK"/>
          <w:sz w:val="28"/>
        </w:rPr>
        <w:t>4</w:t>
      </w:r>
      <w:r>
        <w:rPr>
          <w:rFonts w:hint="eastAsia" w:ascii="Times New Roman" w:hAnsi="微软雅黑" w:eastAsia="方正仿宋_GBK" w:cs="微软雅黑"/>
          <w:sz w:val="28"/>
        </w:rPr>
        <w:t>项。</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文化活动交流合作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绩效目标：全方位宣传推介文化艺术资源，提升对外交流水平和档次。</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绩效指标：积极参加中央省市及周边县市的文化交流次数</w:t>
      </w:r>
      <w:r>
        <w:rPr>
          <w:rFonts w:ascii="Times New Roman" w:eastAsia="方正仿宋_GBK"/>
          <w:sz w:val="28"/>
        </w:rPr>
        <w:t>5</w:t>
      </w:r>
      <w:r>
        <w:rPr>
          <w:rFonts w:hint="eastAsia" w:ascii="Times New Roman" w:hAnsi="微软雅黑" w:eastAsia="方正仿宋_GBK" w:cs="微软雅黑"/>
          <w:sz w:val="28"/>
        </w:rPr>
        <w:t>次。</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文化保护</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积极申报四级非遗项目名录并申请项目补助，使非遗得到较好保护，展示我区优厚文化底蕴；组织传承人群开展研修、研习培训，进一步调动各级非遗代表传承人进行技艺传承的积极性，提升传承人群创造性转化，创新性发展能力；组织开展并参加省市非遗宣传展示活动，让具有历史、文学、艺术、科学价值的非物质文化遗产得到传承、传播，提升社会公众保护非物质文化遗产意识，凝聚社会共识，更好保护好传承好利用好非物质文化遗产资源。</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绩效指标：做好全区非遗项目的普查工作；制定保护规划。申报</w:t>
      </w:r>
      <w:r>
        <w:rPr>
          <w:rFonts w:ascii="Times New Roman" w:eastAsia="方正仿宋_GBK"/>
          <w:sz w:val="28"/>
        </w:rPr>
        <w:t>1</w:t>
      </w:r>
      <w:r>
        <w:rPr>
          <w:rFonts w:hint="eastAsia" w:ascii="Times New Roman" w:hAnsi="微软雅黑" w:eastAsia="方正仿宋_GBK" w:cs="微软雅黑"/>
          <w:sz w:val="28"/>
        </w:rPr>
        <w:t>个国家级、</w:t>
      </w:r>
      <w:r>
        <w:rPr>
          <w:rFonts w:ascii="Times New Roman" w:eastAsia="方正仿宋_GBK"/>
          <w:sz w:val="28"/>
        </w:rPr>
        <w:t>2</w:t>
      </w:r>
      <w:r>
        <w:rPr>
          <w:rFonts w:hint="eastAsia" w:ascii="Times New Roman" w:hAnsi="微软雅黑" w:eastAsia="方正仿宋_GBK" w:cs="微软雅黑"/>
          <w:sz w:val="28"/>
        </w:rPr>
        <w:t>个省级非遗项目和</w:t>
      </w:r>
      <w:r>
        <w:rPr>
          <w:rFonts w:ascii="Times New Roman" w:eastAsia="方正仿宋_GBK"/>
          <w:sz w:val="28"/>
        </w:rPr>
        <w:t>4</w:t>
      </w:r>
      <w:r>
        <w:rPr>
          <w:rFonts w:hint="eastAsia" w:ascii="Times New Roman" w:hAnsi="微软雅黑" w:eastAsia="方正仿宋_GBK" w:cs="微软雅黑"/>
          <w:sz w:val="28"/>
        </w:rPr>
        <w:t>个市级非遗项目。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、旅游政务及形象宣传</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绩效目标：提升徐水旅游的知名度、吸引力，扩大品牌形象影响力，提升旅游服务品质；提高政府服务意识和公众办事便利化程度，推进智慧旅游和旅游信息化建设；</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、旅游规划及重点项目建设</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绩效目标：新建改建旅游厕所</w:t>
      </w:r>
      <w:r>
        <w:rPr>
          <w:rFonts w:ascii="Times New Roman" w:eastAsia="方正仿宋_GBK"/>
          <w:sz w:val="28"/>
        </w:rPr>
        <w:t>6</w:t>
      </w:r>
      <w:r>
        <w:rPr>
          <w:rFonts w:hint="eastAsia" w:ascii="Times New Roman" w:hAnsi="微软雅黑" w:eastAsia="方正仿宋_GBK" w:cs="微软雅黑"/>
          <w:sz w:val="28"/>
        </w:rPr>
        <w:t>座以上，提高旅游公共服务水平；引导撬动更多社会资金投资旅游产业，大力推进旅游产业化发展；围绕实施乡村振兴战略，加快发展乡村旅游；配合市局做好旅发大会规划调研及筹备等工作。</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、旅游市场开发推广及交流合作</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绩效目标：组织旅游企业参加省市开展的各项推介活动，促进我区旅游项目和周边景区合作交流，提升徐水旅游的知名度、美誉度和影响力，从而促进我区旅游事业发展。</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eastAsia="宋体"/>
          <w:sz w:val="28"/>
        </w:rPr>
      </w:pPr>
      <w:bookmarkStart w:id="2" w:name="_Toc6695740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w:t>
      </w:r>
      <w:r>
        <w:rPr>
          <w:rFonts w:hint="eastAsia" w:ascii="Times New Roman" w:hAnsi="微软雅黑" w:eastAsia="方正仿宋_GBK" w:cs="微软雅黑"/>
          <w:sz w:val="28"/>
        </w:rPr>
        <w:t>、完善制度建设。把加强和完善文化和旅游领域各方面的制度，作为深化改革的大事要事来抓，全面加强文化和旅游法制建设。完善以高质量发展为导向的政策体系，深化把社会效益放在首位、社会效益和经济效益相统一的文化创作生产体制机制，健全现代文化和旅游产业体系和市场体系，不断提高文化和旅游治理体系和治理能力现代化水平。</w:t>
      </w:r>
    </w:p>
    <w:p>
      <w:pPr>
        <w:spacing w:line="500" w:lineRule="exact"/>
        <w:ind w:firstLine="560" w:firstLineChars="200"/>
        <w:jc w:val="left"/>
        <w:rPr>
          <w:rFonts w:ascii="Times New Roman" w:eastAsia="方正仿宋_GBK"/>
          <w:sz w:val="28"/>
        </w:rPr>
      </w:pPr>
      <w:r>
        <w:rPr>
          <w:rFonts w:ascii="Times New Roman" w:eastAsia="方正仿宋_GBK"/>
          <w:sz w:val="28"/>
        </w:rPr>
        <w:t>2</w:t>
      </w:r>
      <w:r>
        <w:rPr>
          <w:rFonts w:hint="eastAsia" w:ascii="Times New Roman" w:hAnsi="微软雅黑" w:eastAsia="方正仿宋_GBK" w:cs="微软雅黑"/>
          <w:sz w:val="28"/>
        </w:rPr>
        <w:t>、加强支出管理。按照财政序时进度要求，加强预算执行管理，加快资金支出进度，按季度通报项目预算执行进度，做好财务保障，强化支出措施，确保</w:t>
      </w:r>
      <w:r>
        <w:rPr>
          <w:rFonts w:ascii="Times New Roman" w:eastAsia="方正仿宋_GBK"/>
          <w:sz w:val="28"/>
        </w:rPr>
        <w:t>6</w:t>
      </w:r>
      <w:r>
        <w:rPr>
          <w:rFonts w:hint="eastAsia" w:ascii="Times New Roman" w:hAnsi="微软雅黑" w:eastAsia="方正仿宋_GBK" w:cs="微软雅黑"/>
          <w:sz w:val="28"/>
        </w:rPr>
        <w:t>月底项目支出进度达到</w:t>
      </w:r>
      <w:r>
        <w:rPr>
          <w:rFonts w:ascii="Times New Roman" w:eastAsia="方正仿宋_GBK"/>
          <w:sz w:val="28"/>
        </w:rPr>
        <w:t>60%</w:t>
      </w:r>
      <w:r>
        <w:rPr>
          <w:rFonts w:hint="eastAsia" w:ascii="Times New Roman" w:hAnsi="微软雅黑" w:eastAsia="方正仿宋_GBK" w:cs="微软雅黑"/>
          <w:sz w:val="28"/>
        </w:rPr>
        <w:t>、</w:t>
      </w:r>
      <w:r>
        <w:rPr>
          <w:rFonts w:ascii="Times New Roman" w:eastAsia="方正仿宋_GBK"/>
          <w:sz w:val="28"/>
        </w:rPr>
        <w:t>10</w:t>
      </w:r>
      <w:r>
        <w:rPr>
          <w:rFonts w:hint="eastAsia" w:ascii="Times New Roman" w:hAnsi="微软雅黑" w:eastAsia="方正仿宋_GBK" w:cs="微软雅黑"/>
          <w:sz w:val="28"/>
        </w:rPr>
        <w:t>月底达到</w:t>
      </w:r>
      <w:r>
        <w:rPr>
          <w:rFonts w:ascii="Times New Roman" w:eastAsia="方正仿宋_GBK"/>
          <w:sz w:val="28"/>
        </w:rPr>
        <w:t>90%</w:t>
      </w:r>
      <w:r>
        <w:rPr>
          <w:rFonts w:hint="eastAsia" w:ascii="Times New Roman" w:hAnsi="微软雅黑" w:eastAsia="方正仿宋_GBK" w:cs="微软雅黑"/>
          <w:sz w:val="28"/>
        </w:rPr>
        <w:t>、</w:t>
      </w:r>
      <w:r>
        <w:rPr>
          <w:rFonts w:ascii="Times New Roman" w:eastAsia="方正仿宋_GBK"/>
          <w:sz w:val="28"/>
        </w:rPr>
        <w:t>12</w:t>
      </w:r>
      <w:r>
        <w:rPr>
          <w:rFonts w:hint="eastAsia" w:ascii="Times New Roman" w:hAnsi="微软雅黑" w:eastAsia="方正仿宋_GBK" w:cs="微软雅黑"/>
          <w:sz w:val="28"/>
        </w:rPr>
        <w:t>月底不低于</w:t>
      </w:r>
      <w:r>
        <w:rPr>
          <w:rFonts w:ascii="Times New Roman" w:eastAsia="方正仿宋_GBK"/>
          <w:sz w:val="28"/>
        </w:rPr>
        <w:t>95%</w:t>
      </w:r>
      <w:r>
        <w:rPr>
          <w:rFonts w:hint="eastAsia" w:ascii="Times New Roman" w:hAnsi="微软雅黑" w:eastAsia="方正仿宋_GBK" w:cs="微软雅黑"/>
          <w:sz w:val="28"/>
        </w:rPr>
        <w:t>。</w:t>
      </w:r>
    </w:p>
    <w:p>
      <w:pPr>
        <w:spacing w:line="500" w:lineRule="exact"/>
        <w:ind w:firstLine="560" w:firstLineChars="200"/>
        <w:jc w:val="left"/>
        <w:rPr>
          <w:rFonts w:ascii="Times New Roman" w:eastAsia="方正仿宋_GBK"/>
          <w:sz w:val="28"/>
        </w:rPr>
      </w:pPr>
      <w:r>
        <w:rPr>
          <w:rFonts w:ascii="Times New Roman" w:eastAsia="方正仿宋_GBK"/>
          <w:sz w:val="28"/>
        </w:rPr>
        <w:t>3</w:t>
      </w:r>
      <w:r>
        <w:rPr>
          <w:rFonts w:hint="eastAsia" w:ascii="Times New Roman" w:hAnsi="微软雅黑" w:eastAsia="方正仿宋_GBK" w:cs="微软雅黑"/>
          <w:sz w:val="28"/>
        </w:rPr>
        <w:t>、加强绩效运行监控。建立健全绩效管理监督运行机制，对预算单位项目支出绩效目标实现情况和预算执行进度开展运行监督，确保财政资金安全、高效运行，确保绩效目标如期实现。</w:t>
      </w:r>
    </w:p>
    <w:p>
      <w:pPr>
        <w:spacing w:line="500" w:lineRule="exact"/>
        <w:ind w:firstLine="560" w:firstLineChars="200"/>
        <w:jc w:val="left"/>
        <w:rPr>
          <w:rFonts w:ascii="Times New Roman" w:eastAsia="方正仿宋_GBK"/>
          <w:sz w:val="28"/>
        </w:rPr>
      </w:pPr>
      <w:r>
        <w:rPr>
          <w:rFonts w:ascii="Times New Roman" w:eastAsia="方正仿宋_GBK"/>
          <w:sz w:val="28"/>
        </w:rPr>
        <w:t>4</w:t>
      </w:r>
      <w:r>
        <w:rPr>
          <w:rFonts w:hint="eastAsia" w:ascii="Times New Roman" w:hAnsi="微软雅黑" w:eastAsia="方正仿宋_GBK" w:cs="微软雅黑"/>
          <w:sz w:val="28"/>
        </w:rPr>
        <w:t>、认真开展绩效自评。开展</w:t>
      </w:r>
      <w:r>
        <w:rPr>
          <w:rFonts w:ascii="Times New Roman" w:eastAsia="方正仿宋_GBK"/>
          <w:sz w:val="28"/>
        </w:rPr>
        <w:t>2021</w:t>
      </w:r>
      <w:r>
        <w:rPr>
          <w:rFonts w:hint="eastAsia" w:ascii="Times New Roman" w:hAnsi="微软雅黑" w:eastAsia="方正仿宋_GBK" w:cs="微软雅黑"/>
          <w:sz w:val="28"/>
        </w:rPr>
        <w:t>年度单位预算绩效自评工作，委托第三方开展重点项目绩效评价工作，对自评和绩效评价中发现的问题及时整改到位，确保投入的财政资金取得实实在在的效益，实现社会效益和经济效益的统一，并将绩效评价结果作为专项资金安排的重要参考依据。</w:t>
      </w:r>
    </w:p>
    <w:p>
      <w:pPr>
        <w:spacing w:line="500" w:lineRule="exact"/>
        <w:ind w:firstLine="560" w:firstLineChars="200"/>
        <w:jc w:val="left"/>
        <w:rPr>
          <w:rFonts w:ascii="Times New Roman" w:eastAsia="方正仿宋_GBK"/>
          <w:sz w:val="28"/>
        </w:rPr>
      </w:pPr>
      <w:r>
        <w:rPr>
          <w:rFonts w:ascii="Times New Roman" w:eastAsia="方正仿宋_GBK"/>
          <w:sz w:val="28"/>
        </w:rPr>
        <w:t>5</w:t>
      </w:r>
      <w:r>
        <w:rPr>
          <w:rFonts w:hint="eastAsia" w:ascii="Times New Roman" w:hAnsi="微软雅黑" w:eastAsia="方正仿宋_GBK" w:cs="微软雅黑"/>
          <w:sz w:val="28"/>
        </w:rPr>
        <w:t>、规范财务资产管理。严格经费预算管理，增强预算刚性约束，完善内部财务管理制度办法，最大限度地降低财务风险。加强国有资产管理，做好国有资产购置、出租出借、资产处置等工作，不定期对直事业单位资产购置、出租出借、资产处置情况进行监督检查，不断规范事业单位国有资产管理行为，维护国有资产的安全和完整。</w:t>
      </w:r>
    </w:p>
    <w:p>
      <w:pPr>
        <w:spacing w:line="500" w:lineRule="exact"/>
        <w:ind w:firstLine="560" w:firstLineChars="200"/>
        <w:jc w:val="left"/>
        <w:rPr>
          <w:rFonts w:ascii="Times New Roman" w:eastAsia="方正仿宋_GBK"/>
          <w:sz w:val="28"/>
        </w:rPr>
      </w:pPr>
      <w:r>
        <w:rPr>
          <w:rFonts w:ascii="Times New Roman" w:eastAsia="方正仿宋_GBK"/>
          <w:sz w:val="28"/>
        </w:rPr>
        <w:t>6</w:t>
      </w:r>
      <w:r>
        <w:rPr>
          <w:rFonts w:hint="eastAsia" w:ascii="Times New Roman" w:hAnsi="微软雅黑" w:eastAsia="方正仿宋_GBK" w:cs="微软雅黑"/>
          <w:sz w:val="28"/>
        </w:rPr>
        <w:t>、加强内部监督。在财政资金和财务管理方面按照</w:t>
      </w:r>
      <w:r>
        <w:rPr>
          <w:rFonts w:ascii="Times New Roman" w:eastAsia="方正仿宋_GBK"/>
          <w:sz w:val="28"/>
        </w:rPr>
        <w:t>“</w:t>
      </w:r>
      <w:r>
        <w:rPr>
          <w:rFonts w:hint="eastAsia" w:ascii="Times New Roman" w:hAnsi="微软雅黑" w:eastAsia="方正仿宋_GBK" w:cs="微软雅黑"/>
          <w:sz w:val="28"/>
        </w:rPr>
        <w:t>权责一致、有效制衡、分事行权、分岗设权、分级授权</w:t>
      </w:r>
      <w:r>
        <w:rPr>
          <w:rFonts w:ascii="Times New Roman" w:eastAsia="方正仿宋_GBK"/>
          <w:sz w:val="28"/>
        </w:rPr>
        <w:t>”</w:t>
      </w:r>
      <w:r>
        <w:rPr>
          <w:rFonts w:hint="eastAsia" w:ascii="Times New Roman" w:hAnsi="微软雅黑" w:eastAsia="方正仿宋_GBK" w:cs="微软雅黑"/>
          <w:sz w:val="28"/>
        </w:rPr>
        <w:t>的原则建立内部控制制度，防止权力滥用。科学设置内部岗位职责，对资金分配使用、国有资产监管、基建工程项目、政府采购等重点领域的关键岗位，按照相互制约、相互监督的原则，科学设置内设岗位、管理层级、职责权限，细化权力运行流程，并实行定期轮岗，严控岗位廉政风险。加强对下属单位管理，特别是对财务工作的监管指导。充分发挥内部审计作用，及时消除存在的问题，确保财政资金安全。</w:t>
      </w:r>
    </w:p>
    <w:p>
      <w:pPr>
        <w:spacing w:line="500" w:lineRule="exact"/>
        <w:ind w:firstLine="560" w:firstLineChars="200"/>
        <w:jc w:val="left"/>
        <w:rPr>
          <w:rFonts w:ascii="Times New Roman" w:eastAsia="方正仿宋_GBK"/>
          <w:sz w:val="28"/>
        </w:rPr>
      </w:pPr>
      <w:r>
        <w:rPr>
          <w:rFonts w:ascii="Times New Roman" w:eastAsia="方正仿宋_GBK"/>
          <w:sz w:val="28"/>
        </w:rPr>
        <w:t>7</w:t>
      </w:r>
      <w:r>
        <w:rPr>
          <w:rFonts w:hint="eastAsia" w:ascii="Times New Roman" w:hAnsi="微软雅黑" w:eastAsia="方正仿宋_GBK" w:cs="微软雅黑"/>
          <w:sz w:val="28"/>
        </w:rPr>
        <w:t>、加强宣传培训。加强财务人员业务培训，认真组织学习预算法、会计准则、会计制度等法律法规，努力提高财务管理水平。加大宣传力度，建立落实财务人员、定期向本单位</w:t>
      </w:r>
      <w:r>
        <w:rPr>
          <w:rFonts w:ascii="Times New Roman" w:eastAsia="方正仿宋_GBK"/>
          <w:sz w:val="28"/>
        </w:rPr>
        <w:t xml:space="preserve"> “</w:t>
      </w:r>
      <w:r>
        <w:rPr>
          <w:rFonts w:hint="eastAsia" w:ascii="Times New Roman" w:hAnsi="微软雅黑" w:eastAsia="方正仿宋_GBK" w:cs="微软雅黑"/>
          <w:sz w:val="28"/>
        </w:rPr>
        <w:t>一把手</w:t>
      </w:r>
      <w:r>
        <w:rPr>
          <w:rFonts w:ascii="Times New Roman" w:eastAsia="方正仿宋_GBK"/>
          <w:sz w:val="28"/>
        </w:rPr>
        <w:t>”</w:t>
      </w:r>
      <w:r>
        <w:rPr>
          <w:rFonts w:hint="eastAsia" w:ascii="Times New Roman" w:hAnsi="微软雅黑" w:eastAsia="方正仿宋_GBK" w:cs="微软雅黑"/>
          <w:sz w:val="28"/>
        </w:rPr>
        <w:t>汇报财务管理工作的制度，确保信息通畅、相互理解支持，为营造依法理财环境创造有利条件。</w:t>
      </w:r>
    </w:p>
    <w:p>
      <w:pPr>
        <w:spacing w:line="500" w:lineRule="exact"/>
        <w:ind w:firstLine="560" w:firstLineChars="200"/>
        <w:jc w:val="left"/>
        <w:rPr>
          <w:rFonts w:ascii="Times New Roman" w:eastAsia="方正仿宋_GBK"/>
          <w:sz w:val="28"/>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b/>
          <w:sz w:val="28"/>
        </w:rPr>
      </w:pPr>
      <w:bookmarkStart w:id="3" w:name="_Toc66957407"/>
      <w:r>
        <w:rPr>
          <w:rFonts w:ascii="方正仿宋_GBK" w:eastAsia="方正仿宋_GBK"/>
          <w:b/>
          <w:sz w:val="28"/>
        </w:rPr>
        <w:t>1.徐水会堂人员经费绩效目标表</w:t>
      </w:r>
      <w:bookmarkEnd w:id="3"/>
      <w:r>
        <w:rPr>
          <w:rFonts w:ascii="方正仿宋_GBK" w:eastAsia="方正仿宋_GBK"/>
          <w:b/>
          <w:sz w:val="28"/>
        </w:rPr>
        <w:fldChar w:fldCharType="begin"/>
      </w:r>
      <w:r>
        <w:rPr>
          <w:rFonts w:ascii="方正仿宋_GBK" w:eastAsia="方正仿宋_GBK"/>
          <w:b/>
          <w:sz w:val="28"/>
        </w:rPr>
        <w:instrText xml:space="preserve"> TC 1、徐水会堂人员经费绩效目标表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1306252134B0EKA7AKQG9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徐水会堂人员经费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202725.00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202725.00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用于支付会堂人员的养老保险、医疗保险。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1.积极改善民生,妥善解决历史遗留问题,提高他们的生活质量。</w:t>
            </w:r>
          </w:p>
          <w:p>
            <w:pPr>
              <w:spacing w:line="300" w:lineRule="exact"/>
              <w:jc w:val="left"/>
              <w:rPr>
                <w:rFonts w:ascii="方正书宋_GBK" w:eastAsia="方正书宋_GBK"/>
              </w:rPr>
            </w:pPr>
            <w:r>
              <w:rPr>
                <w:rFonts w:ascii="方正书宋_GBK" w:eastAsia="方正书宋_GBK"/>
              </w:rPr>
              <w:t>2.积极缴纳养老和医疗保险,保证他们老有所养,病有所医.。</w:t>
            </w:r>
          </w:p>
          <w:p>
            <w:pPr>
              <w:spacing w:line="300" w:lineRule="exact"/>
              <w:jc w:val="left"/>
              <w:rPr>
                <w:rFonts w:ascii="方正书宋_GBK" w:eastAsia="方正书宋_GBK"/>
              </w:rPr>
            </w:pPr>
            <w:r>
              <w:rPr>
                <w:rFonts w:ascii="方正书宋_GBK" w:eastAsia="方正书宋_GBK"/>
              </w:rPr>
              <w:t>3.及时拨付保险资金</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及时拨付保险资金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享受保险基金补助率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享受各类社会保险基金补助的人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积极改善民生,妥善解决历史遗留问题,提高他们的生活质量。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根据工作方案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57408"/>
      <w:r>
        <w:rPr>
          <w:rFonts w:ascii="方正仿宋_GBK" w:eastAsia="方正仿宋_GBK"/>
          <w:b/>
          <w:sz w:val="28"/>
        </w:rPr>
        <w:t>2.保安人员经费绩效目标表</w:t>
      </w:r>
      <w:bookmarkEnd w:id="4"/>
      <w:r>
        <w:rPr>
          <w:rFonts w:ascii="方正仿宋_GBK" w:eastAsia="方正仿宋_GBK"/>
          <w:b/>
          <w:sz w:val="28"/>
        </w:rPr>
        <w:fldChar w:fldCharType="begin"/>
      </w:r>
      <w:r>
        <w:rPr>
          <w:rFonts w:ascii="方正仿宋_GBK" w:eastAsia="方正仿宋_GBK"/>
          <w:b/>
          <w:sz w:val="28"/>
        </w:rPr>
        <w:instrText xml:space="preserve"> TC 2、保安人员经费绩效目标表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130625215HSNDR84KNR40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保安人员经费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1.按照单位的要求完成工作任务.</w:t>
            </w:r>
          </w:p>
          <w:p>
            <w:pPr>
              <w:spacing w:line="300" w:lineRule="exact"/>
              <w:jc w:val="left"/>
              <w:rPr>
                <w:rFonts w:ascii="方正书宋_GBK" w:eastAsia="方正书宋_GBK"/>
              </w:rPr>
            </w:pPr>
            <w:r>
              <w:rPr>
                <w:rFonts w:ascii="方正书宋_GBK" w:eastAsia="方正书宋_GBK"/>
              </w:rPr>
              <w:t>2.严格落实单位的规章制度,确保单位安全和秩序</w:t>
            </w:r>
          </w:p>
          <w:p>
            <w:pPr>
              <w:spacing w:line="300" w:lineRule="exact"/>
              <w:jc w:val="left"/>
              <w:rPr>
                <w:rFonts w:ascii="方正书宋_GBK" w:eastAsia="方正书宋_GBK"/>
              </w:rPr>
            </w:pPr>
            <w:r>
              <w:rPr>
                <w:rFonts w:ascii="方正书宋_GBK" w:eastAsia="方正书宋_GBK"/>
              </w:rPr>
              <w:t>3.确保单位安全保障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确保单位安全保障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57409"/>
      <w:r>
        <w:rPr>
          <w:rFonts w:ascii="方正仿宋_GBK" w:eastAsia="方正仿宋_GBK"/>
          <w:b/>
          <w:sz w:val="28"/>
        </w:rPr>
        <w:t>3.专项工作经费绩效目标表</w:t>
      </w:r>
      <w:bookmarkEnd w:id="5"/>
      <w:r>
        <w:rPr>
          <w:rFonts w:ascii="方正仿宋_GBK" w:eastAsia="方正仿宋_GBK"/>
          <w:b/>
          <w:sz w:val="28"/>
        </w:rPr>
        <w:fldChar w:fldCharType="begin"/>
      </w:r>
      <w:r>
        <w:rPr>
          <w:rFonts w:ascii="方正仿宋_GBK" w:eastAsia="方正仿宋_GBK"/>
          <w:b/>
          <w:sz w:val="28"/>
        </w:rPr>
        <w:instrText xml:space="preserve"> TC 3、专项工作经费绩效目标表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130625218L3ORBGBU7HLA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专项工作经费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1261800.00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1261800.00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拟订并组织实施全区文化艺术事业发展规划,开展全区文化事业调查研究，履行文化市场监管职责，加快文化产业发展，加强非物质文化遗产保护和优秀民族文化的传承普及，开展文化宣传、交流、合作、保护等业务管理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1.确保各项业务工作谋划到位、顺利开展。</w:t>
            </w:r>
          </w:p>
          <w:p>
            <w:pPr>
              <w:spacing w:line="300" w:lineRule="exact"/>
              <w:jc w:val="left"/>
              <w:rPr>
                <w:rFonts w:ascii="方正书宋_GBK" w:eastAsia="方正书宋_GBK"/>
              </w:rPr>
            </w:pPr>
            <w:r>
              <w:rPr>
                <w:rFonts w:ascii="方正书宋_GBK" w:eastAsia="方正书宋_GBK"/>
              </w:rPr>
              <w:t>2.保障机关工作正常高效运转。</w:t>
            </w:r>
          </w:p>
          <w:p>
            <w:pPr>
              <w:spacing w:line="300" w:lineRule="exact"/>
              <w:jc w:val="left"/>
              <w:rPr>
                <w:rFonts w:ascii="方正书宋_GBK" w:eastAsia="方正书宋_GBK"/>
              </w:rPr>
            </w:pPr>
            <w:r>
              <w:rPr>
                <w:rFonts w:ascii="方正书宋_GBK" w:eastAsia="方正书宋_GBK"/>
              </w:rPr>
              <w:t>3.能够保障人员日常工作效率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公共文化服务活动数量（场次）</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各类公共文化服务活动组织开展数量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违规违法查处案件完成率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年度内查处违规违法案件数占案件发生数的比例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确保各项业务工作谋划到位</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综合业务管理工作完成情况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57410"/>
      <w:r>
        <w:rPr>
          <w:rFonts w:ascii="方正仿宋_GBK" w:eastAsia="方正仿宋_GBK"/>
          <w:b/>
          <w:sz w:val="28"/>
        </w:rPr>
        <w:t>4.提前下达2021年省级“三馆一站”免费开放补助资金绩效目标表</w:t>
      </w:r>
      <w:bookmarkEnd w:id="6"/>
      <w:r>
        <w:rPr>
          <w:rFonts w:ascii="方正仿宋_GBK" w:eastAsia="方正仿宋_GBK"/>
          <w:b/>
          <w:sz w:val="28"/>
        </w:rPr>
        <w:fldChar w:fldCharType="begin"/>
      </w:r>
      <w:r>
        <w:rPr>
          <w:rFonts w:ascii="方正仿宋_GBK" w:eastAsia="方正仿宋_GBK"/>
          <w:b/>
          <w:sz w:val="28"/>
        </w:rPr>
        <w:instrText xml:space="preserve"> TC 4、提前下达2021年省级\“三馆一站\”免费开放补助资金绩效目标表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130625219ASA0TOFU3WIO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提前下达2021年省级“三馆一站”免费开放补助资金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专项经费补助范围主要是按照有关规定实行免费开放的公共图书馆、文化馆以及乡镇综合文化站。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w:t>
            </w:r>
          </w:p>
          <w:p>
            <w:pPr>
              <w:spacing w:line="300" w:lineRule="exact"/>
              <w:jc w:val="left"/>
              <w:rPr>
                <w:rFonts w:ascii="方正书宋_GBK" w:eastAsia="方正书宋_GBK"/>
              </w:rPr>
            </w:pPr>
            <w:r>
              <w:rPr>
                <w:rFonts w:ascii="方正书宋_GBK" w:eastAsia="方正书宋_GBK"/>
              </w:rPr>
              <w:t>3.基本公共文化服务标准化、均等化水平不断提高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57411"/>
      <w:r>
        <w:rPr>
          <w:rFonts w:ascii="方正仿宋_GBK" w:eastAsia="方正仿宋_GBK"/>
          <w:b/>
          <w:sz w:val="28"/>
        </w:rPr>
        <w:t>5.农村大喇叭维护经费绩效目标表</w:t>
      </w:r>
      <w:bookmarkEnd w:id="7"/>
      <w:r>
        <w:rPr>
          <w:rFonts w:ascii="方正仿宋_GBK" w:eastAsia="方正仿宋_GBK"/>
          <w:b/>
          <w:sz w:val="28"/>
        </w:rPr>
        <w:fldChar w:fldCharType="begin"/>
      </w:r>
      <w:r>
        <w:rPr>
          <w:rFonts w:ascii="方正仿宋_GBK" w:eastAsia="方正仿宋_GBK"/>
          <w:b/>
          <w:sz w:val="28"/>
        </w:rPr>
        <w:instrText xml:space="preserve"> TC 5、农村大喇叭维护经费绩效目标表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13062521AVUU6Q2ZH2OFC</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农村大喇叭维护经费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农村大喇叭维护费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1.保障农村大喇叭系统正常运转</w:t>
            </w:r>
          </w:p>
          <w:p>
            <w:pPr>
              <w:spacing w:line="300" w:lineRule="exact"/>
              <w:jc w:val="left"/>
              <w:rPr>
                <w:rFonts w:ascii="方正书宋_GBK" w:eastAsia="方正书宋_GBK"/>
              </w:rPr>
            </w:pPr>
            <w:r>
              <w:rPr>
                <w:rFonts w:ascii="方正书宋_GBK" w:eastAsia="方正书宋_GBK"/>
              </w:rPr>
              <w:t>2.让党和政府的声音传播到广大农村</w:t>
            </w:r>
          </w:p>
          <w:p>
            <w:pPr>
              <w:spacing w:line="300" w:lineRule="exact"/>
              <w:jc w:val="left"/>
              <w:rPr>
                <w:rFonts w:ascii="方正书宋_GBK" w:eastAsia="方正书宋_GBK"/>
              </w:rPr>
            </w:pPr>
            <w:r>
              <w:rPr>
                <w:rFonts w:ascii="方正书宋_GBK" w:eastAsia="方正书宋_GBK"/>
              </w:rPr>
              <w:t>3.更好地宣传贯彻党的十九大精神</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大喇叭设备利用率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设备使用频率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保障系统正常运转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让党和政府的声音传播到农村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57412"/>
      <w:r>
        <w:rPr>
          <w:rFonts w:ascii="方正仿宋_GBK" w:eastAsia="方正仿宋_GBK"/>
          <w:b/>
          <w:sz w:val="28"/>
        </w:rPr>
        <w:t>6.区图书馆文化馆日常公用经费绩效目标表</w:t>
      </w:r>
      <w:bookmarkEnd w:id="8"/>
      <w:r>
        <w:rPr>
          <w:rFonts w:ascii="方正仿宋_GBK" w:eastAsia="方正仿宋_GBK"/>
          <w:b/>
          <w:sz w:val="28"/>
        </w:rPr>
        <w:fldChar w:fldCharType="begin"/>
      </w:r>
      <w:r>
        <w:rPr>
          <w:rFonts w:ascii="方正仿宋_GBK" w:eastAsia="方正仿宋_GBK"/>
          <w:b/>
          <w:sz w:val="28"/>
        </w:rPr>
        <w:instrText xml:space="preserve"> TC 6、区图书馆文化馆日常公用经费绩效目标表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13062521BD2E5LFT8S3GX</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区图书馆文化馆日常公用经费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1270672.50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1270672.50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保障区图书馆、文化馆、退役军人事务局、扶贫办、文明实践中心正常运行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1.保障区图书馆、文化馆、退役军人事务局、扶贫办、文明实践中心日常运转</w:t>
            </w:r>
          </w:p>
          <w:p>
            <w:pPr>
              <w:spacing w:line="300" w:lineRule="exact"/>
              <w:jc w:val="left"/>
              <w:rPr>
                <w:rFonts w:ascii="方正书宋_GBK" w:eastAsia="方正书宋_GBK"/>
              </w:rPr>
            </w:pPr>
            <w:r>
              <w:rPr>
                <w:rFonts w:ascii="方正书宋_GBK" w:eastAsia="方正书宋_GBK"/>
              </w:rPr>
              <w:t>2.基本公共文化服务标准化、均等化水平不断提高</w:t>
            </w:r>
          </w:p>
          <w:p>
            <w:pPr>
              <w:spacing w:line="300" w:lineRule="exact"/>
              <w:jc w:val="left"/>
              <w:rPr>
                <w:rFonts w:ascii="方正书宋_GBK" w:eastAsia="方正书宋_GBK"/>
              </w:rPr>
            </w:pPr>
            <w:r>
              <w:rPr>
                <w:rFonts w:ascii="方正书宋_GBK" w:eastAsia="方正书宋_GBK"/>
              </w:rPr>
              <w:t>3.有效改善文化环境</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日常工作及设备正常运转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有效改善文化环境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57413"/>
      <w:r>
        <w:rPr>
          <w:rFonts w:ascii="方正仿宋_GBK" w:eastAsia="方正仿宋_GBK"/>
          <w:b/>
          <w:sz w:val="28"/>
        </w:rPr>
        <w:t>7.提前下达2021年国家非物质文化遗产保护资金预算绩效目标表</w:t>
      </w:r>
      <w:bookmarkEnd w:id="9"/>
      <w:r>
        <w:rPr>
          <w:rFonts w:ascii="方正仿宋_GBK" w:eastAsia="方正仿宋_GBK"/>
          <w:b/>
          <w:sz w:val="28"/>
        </w:rPr>
        <w:fldChar w:fldCharType="begin"/>
      </w:r>
      <w:r>
        <w:rPr>
          <w:rFonts w:ascii="方正仿宋_GBK" w:eastAsia="方正仿宋_GBK"/>
          <w:b/>
          <w:sz w:val="28"/>
        </w:rPr>
        <w:instrText xml:space="preserve"> TC 7、提前下达2021年国家非物质文化遗产保护资金预算绩效目标表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13062521CKH2MB0GG7P1W</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提前下达2021年国家非物质文化遗产保护资金</w:t>
            </w:r>
            <w:bookmarkStart w:id="21" w:name="_GoBack"/>
            <w:bookmarkEnd w:id="21"/>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2.对于挖掘我区文化资源禀赋优势,提升我区城镇建设水平和文化区域影响力具有重要而深远的影响。</w:t>
            </w:r>
          </w:p>
          <w:p>
            <w:pPr>
              <w:spacing w:line="300" w:lineRule="exact"/>
              <w:jc w:val="left"/>
              <w:rPr>
                <w:rFonts w:ascii="方正书宋_GBK" w:eastAsia="方正书宋_GBK"/>
              </w:rPr>
            </w:pPr>
            <w:r>
              <w:rPr>
                <w:rFonts w:ascii="方正书宋_GBK" w:eastAsia="方正书宋_GBK"/>
              </w:rPr>
              <w:t>3.充分发掘我县历史文化</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57414"/>
      <w:r>
        <w:rPr>
          <w:rFonts w:ascii="方正仿宋_GBK" w:eastAsia="方正仿宋_GBK"/>
          <w:b/>
          <w:sz w:val="28"/>
        </w:rPr>
        <w:t>8.中央补助地方农村文化建设区级配套资金绩效目标表</w:t>
      </w:r>
      <w:bookmarkEnd w:id="10"/>
      <w:r>
        <w:rPr>
          <w:rFonts w:ascii="方正仿宋_GBK" w:eastAsia="方正仿宋_GBK"/>
          <w:b/>
          <w:sz w:val="28"/>
        </w:rPr>
        <w:fldChar w:fldCharType="begin"/>
      </w:r>
      <w:r>
        <w:rPr>
          <w:rFonts w:ascii="方正仿宋_GBK" w:eastAsia="方正仿宋_GBK"/>
          <w:b/>
          <w:sz w:val="28"/>
        </w:rPr>
        <w:instrText xml:space="preserve"> TC 8、中央补助地方农村文化建设区级配套资金绩效目标表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13062521CYIRUBEYXEGI9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中央补助地方农村文化建设区级配套资金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401280.00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401280.00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补助行政村文化设施维护和开展文化活动等支出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1.鼓励地方开展农村特色文育活动</w:t>
            </w:r>
          </w:p>
          <w:p>
            <w:pPr>
              <w:spacing w:line="300" w:lineRule="exact"/>
              <w:jc w:val="left"/>
              <w:rPr>
                <w:rFonts w:ascii="方正书宋_GBK" w:eastAsia="方正书宋_GBK"/>
              </w:rPr>
            </w:pPr>
            <w:r>
              <w:rPr>
                <w:rFonts w:ascii="方正书宋_GBK" w:eastAsia="方正书宋_GBK"/>
              </w:rPr>
              <w:t>2.加强农村基层文化人才队伍建设、丰富农民群众文化生活等</w:t>
            </w:r>
          </w:p>
          <w:p>
            <w:pPr>
              <w:spacing w:line="300" w:lineRule="exact"/>
              <w:jc w:val="left"/>
              <w:rPr>
                <w:rFonts w:ascii="方正书宋_GBK" w:eastAsia="方正书宋_GBK"/>
              </w:rPr>
            </w:pPr>
            <w:r>
              <w:rPr>
                <w:rFonts w:ascii="方正书宋_GBK" w:eastAsia="方正书宋_GBK"/>
              </w:rPr>
              <w:t>3.丰富农民群众文化生活等</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文化交流活动开展实施次数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送戏下乡完成率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送戏下乡完成率占计划完成数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加强农村基层文化人才队伍建设、丰富农民群众文化生活等</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57415"/>
      <w:r>
        <w:rPr>
          <w:rFonts w:ascii="方正仿宋_GBK" w:eastAsia="方正仿宋_GBK"/>
          <w:b/>
          <w:sz w:val="28"/>
        </w:rPr>
        <w:t>9.提前下达2021年省级文物保护专项资金绩效目标表</w:t>
      </w:r>
      <w:bookmarkEnd w:id="11"/>
      <w:r>
        <w:rPr>
          <w:rFonts w:ascii="方正仿宋_GBK" w:eastAsia="方正仿宋_GBK"/>
          <w:b/>
          <w:sz w:val="28"/>
        </w:rPr>
        <w:fldChar w:fldCharType="begin"/>
      </w:r>
      <w:r>
        <w:rPr>
          <w:rFonts w:ascii="方正仿宋_GBK" w:eastAsia="方正仿宋_GBK"/>
          <w:b/>
          <w:sz w:val="28"/>
        </w:rPr>
        <w:instrText xml:space="preserve"> TC 9、提前下达2021年省级文物保护专项资金绩效目标表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13062521G9SMG5WLO732H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提前下达2021年省级文物保护专项资金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2730000.00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巩固庄福隆号旧址保护修缮工程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2.有效消除建筑群的病害隐患</w:t>
            </w:r>
          </w:p>
          <w:p>
            <w:pPr>
              <w:spacing w:line="300" w:lineRule="exact"/>
              <w:jc w:val="left"/>
              <w:rPr>
                <w:rFonts w:ascii="方正书宋_GBK" w:eastAsia="方正书宋_GBK"/>
              </w:rPr>
            </w:pPr>
            <w:r>
              <w:rPr>
                <w:rFonts w:ascii="方正书宋_GBK" w:eastAsia="方正书宋_GBK"/>
              </w:rPr>
              <w:t>3.进一步提升文物保护应用能力和水平</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修缮面积</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院落及围墙保护修缮工程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验收率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一次性通过专家组验收</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按计划完成率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按照合同约定时限实施</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文物保护工作受当地及使用单位重视程度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57416"/>
      <w:r>
        <w:rPr>
          <w:rFonts w:ascii="方正仿宋_GBK" w:eastAsia="方正仿宋_GBK"/>
          <w:b/>
          <w:sz w:val="28"/>
        </w:rPr>
        <w:t>10.公共图书馆、文化馆（站）免费开放区级配套资金绩效目标表</w:t>
      </w:r>
      <w:bookmarkEnd w:id="12"/>
      <w:r>
        <w:rPr>
          <w:rFonts w:ascii="方正仿宋_GBK" w:eastAsia="方正仿宋_GBK"/>
          <w:b/>
          <w:sz w:val="28"/>
        </w:rPr>
        <w:fldChar w:fldCharType="begin"/>
      </w:r>
      <w:r>
        <w:rPr>
          <w:rFonts w:ascii="方正仿宋_GBK" w:eastAsia="方正仿宋_GBK"/>
          <w:b/>
          <w:sz w:val="28"/>
        </w:rPr>
        <w:instrText xml:space="preserve"> TC 10、公共图书馆、文化馆（站）免费开放区级配套资金绩效目标表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13062521IZ98RHWG9TCQY</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资金用途及支出范围：组织公益性群众文化活动，举办公益行讲座和展览宣传，村级文化骨干业务辅导，文化信息资源共享工程、公共电子阅览室服务及设备运行维护，业务活动用房小型修缮及零星业务设备更新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3.全部免费向社会公众开展基本公共文化服务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57417"/>
      <w:r>
        <w:rPr>
          <w:rFonts w:ascii="方正仿宋_GBK" w:eastAsia="方正仿宋_GBK"/>
          <w:b/>
          <w:sz w:val="28"/>
        </w:rPr>
        <w:t>11.保洁人员经费绩效目标表</w:t>
      </w:r>
      <w:bookmarkEnd w:id="13"/>
      <w:r>
        <w:rPr>
          <w:rFonts w:ascii="方正仿宋_GBK" w:eastAsia="方正仿宋_GBK"/>
          <w:b/>
          <w:sz w:val="28"/>
        </w:rPr>
        <w:fldChar w:fldCharType="begin"/>
      </w:r>
      <w:r>
        <w:rPr>
          <w:rFonts w:ascii="方正仿宋_GBK" w:eastAsia="方正仿宋_GBK"/>
          <w:b/>
          <w:sz w:val="28"/>
        </w:rPr>
        <w:instrText xml:space="preserve"> TC 11、保洁人员经费绩效目标表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13062521KRYPKBQUQNUDG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保洁人员经费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72000.00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72000.00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支付保洁人员劳务费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1.按单位的要求完成工作任务</w:t>
            </w:r>
          </w:p>
          <w:p>
            <w:pPr>
              <w:spacing w:line="300" w:lineRule="exact"/>
              <w:jc w:val="left"/>
              <w:rPr>
                <w:rFonts w:ascii="方正书宋_GBK" w:eastAsia="方正书宋_GBK"/>
              </w:rPr>
            </w:pPr>
            <w:r>
              <w:rPr>
                <w:rFonts w:ascii="方正书宋_GBK" w:eastAsia="方正书宋_GBK"/>
              </w:rPr>
              <w:t>2.确保单位良好的工作环境</w:t>
            </w:r>
          </w:p>
          <w:p>
            <w:pPr>
              <w:spacing w:line="300" w:lineRule="exact"/>
              <w:jc w:val="left"/>
              <w:rPr>
                <w:rFonts w:ascii="方正书宋_GBK" w:eastAsia="方正书宋_GBK"/>
              </w:rPr>
            </w:pPr>
            <w:r>
              <w:rPr>
                <w:rFonts w:ascii="方正书宋_GBK" w:eastAsia="方正书宋_GBK"/>
              </w:rPr>
              <w:t>3.单位工作环境卫生完成率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环境卫生工作完成率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单位工作环境卫生完成率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支付及时率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保证工作正常运行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确保单位工作环境干净整洁</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57418"/>
      <w:r>
        <w:rPr>
          <w:rFonts w:ascii="方正仿宋_GBK" w:eastAsia="方正仿宋_GBK"/>
          <w:b/>
          <w:sz w:val="28"/>
        </w:rPr>
        <w:t>12.其他基本公共文化服务经费绩效目标表</w:t>
      </w:r>
      <w:bookmarkEnd w:id="14"/>
      <w:r>
        <w:rPr>
          <w:rFonts w:ascii="方正仿宋_GBK" w:eastAsia="方正仿宋_GBK"/>
          <w:b/>
          <w:sz w:val="28"/>
        </w:rPr>
        <w:fldChar w:fldCharType="begin"/>
      </w:r>
      <w:r>
        <w:rPr>
          <w:rFonts w:ascii="方正仿宋_GBK" w:eastAsia="方正仿宋_GBK"/>
          <w:b/>
          <w:sz w:val="28"/>
        </w:rPr>
        <w:instrText xml:space="preserve"> TC 12、其他基本公共文化服务经费绩效目标表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13062521LF9AQQ053U2ED</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其他基本公共文化服务经费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85420.00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85420.00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开展读书看报、观赏电影、送地方戏、文体活动等其他事项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1.开展读书看报、观赏电影、送地方戏、文体活动等其他事项</w:t>
            </w:r>
          </w:p>
          <w:p>
            <w:pPr>
              <w:spacing w:line="300" w:lineRule="exact"/>
              <w:jc w:val="left"/>
              <w:rPr>
                <w:rFonts w:ascii="方正书宋_GBK" w:eastAsia="方正书宋_GBK"/>
              </w:rPr>
            </w:pPr>
            <w:r>
              <w:rPr>
                <w:rFonts w:ascii="方正书宋_GBK" w:eastAsia="方正书宋_GBK"/>
              </w:rPr>
              <w:t>2.公共文化产品生产和服务能力提高，基本公共文化服务标准化、均等化水平不断提高</w:t>
            </w:r>
          </w:p>
          <w:p>
            <w:pPr>
              <w:spacing w:line="300" w:lineRule="exact"/>
              <w:jc w:val="left"/>
              <w:rPr>
                <w:rFonts w:ascii="方正书宋_GBK" w:eastAsia="方正书宋_GBK"/>
              </w:rPr>
            </w:pPr>
            <w:r>
              <w:rPr>
                <w:rFonts w:ascii="方正书宋_GBK" w:eastAsia="方正书宋_GBK"/>
              </w:rPr>
              <w:t>3.向社会公众开展基本公共文化服务</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57419"/>
      <w:r>
        <w:rPr>
          <w:rFonts w:ascii="方正仿宋_GBK" w:eastAsia="方正仿宋_GBK"/>
          <w:b/>
          <w:sz w:val="28"/>
        </w:rPr>
        <w:t>13.文物保护专项业务费绩效目标表</w:t>
      </w:r>
      <w:bookmarkEnd w:id="15"/>
      <w:r>
        <w:rPr>
          <w:rFonts w:ascii="方正仿宋_GBK" w:eastAsia="方正仿宋_GBK"/>
          <w:b/>
          <w:sz w:val="28"/>
        </w:rPr>
        <w:fldChar w:fldCharType="begin"/>
      </w:r>
      <w:r>
        <w:rPr>
          <w:rFonts w:ascii="方正仿宋_GBK" w:eastAsia="方正仿宋_GBK"/>
          <w:b/>
          <w:sz w:val="28"/>
        </w:rPr>
        <w:instrText xml:space="preserve"> TC 13、文物保护专项业务费绩效目标表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13062521T8A1A03HDSOKG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文物保护专项业务费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110880.00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110880.00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用于我区文物保护支出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1.做好文物保护工作。</w:t>
            </w:r>
          </w:p>
          <w:p>
            <w:pPr>
              <w:spacing w:line="300" w:lineRule="exact"/>
              <w:jc w:val="left"/>
              <w:rPr>
                <w:rFonts w:ascii="方正书宋_GBK" w:eastAsia="方正书宋_GBK"/>
              </w:rPr>
            </w:pPr>
            <w:r>
              <w:rPr>
                <w:rFonts w:ascii="方正书宋_GBK" w:eastAsia="方正书宋_GBK"/>
              </w:rPr>
              <w:t>2.对于挖掘我区文化资源禀赋优势,提升我区城镇建设水平和文化区域影响力具有重要而深远的影响。</w:t>
            </w:r>
          </w:p>
          <w:p>
            <w:pPr>
              <w:spacing w:line="300" w:lineRule="exact"/>
              <w:jc w:val="left"/>
              <w:rPr>
                <w:rFonts w:ascii="方正书宋_GBK" w:eastAsia="方正书宋_GBK"/>
              </w:rPr>
            </w:pPr>
            <w:r>
              <w:rPr>
                <w:rFonts w:ascii="方正书宋_GBK" w:eastAsia="方正书宋_GBK"/>
              </w:rPr>
              <w:t>3.充分发掘我县历史文化</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地下文物得到有效的保护</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确保地下文物得到有效的保护</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落实田野文物保护员保障机制</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提升文物保护水平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57420"/>
      <w:r>
        <w:rPr>
          <w:rFonts w:ascii="方正仿宋_GBK" w:eastAsia="方正仿宋_GBK"/>
          <w:b/>
          <w:sz w:val="28"/>
        </w:rPr>
        <w:t>14.文化馆图书馆取暖经费绩效目标表</w:t>
      </w:r>
      <w:bookmarkEnd w:id="16"/>
      <w:r>
        <w:rPr>
          <w:rFonts w:ascii="方正仿宋_GBK" w:eastAsia="方正仿宋_GBK"/>
          <w:b/>
          <w:sz w:val="28"/>
        </w:rPr>
        <w:fldChar w:fldCharType="begin"/>
      </w:r>
      <w:r>
        <w:rPr>
          <w:rFonts w:ascii="方正仿宋_GBK" w:eastAsia="方正仿宋_GBK"/>
          <w:b/>
          <w:sz w:val="28"/>
        </w:rPr>
        <w:instrText xml:space="preserve"> TC 14、文化馆图书馆取暖经费绩效目标表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13062521UXEK67OI9RZDH</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文化馆图书馆取暖经费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文化馆图书馆取暖经费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1.确保单位供暖时间</w:t>
            </w:r>
          </w:p>
          <w:p>
            <w:pPr>
              <w:spacing w:line="300" w:lineRule="exact"/>
              <w:jc w:val="left"/>
              <w:rPr>
                <w:rFonts w:ascii="方正书宋_GBK" w:eastAsia="方正书宋_GBK"/>
              </w:rPr>
            </w:pPr>
            <w:r>
              <w:rPr>
                <w:rFonts w:ascii="方正书宋_GBK" w:eastAsia="方正书宋_GBK"/>
              </w:rPr>
              <w:t>2.按要求完成工作任务</w:t>
            </w:r>
          </w:p>
          <w:p>
            <w:pPr>
              <w:spacing w:line="300" w:lineRule="exact"/>
              <w:jc w:val="left"/>
              <w:rPr>
                <w:rFonts w:ascii="方正书宋_GBK" w:eastAsia="方正书宋_GBK"/>
              </w:rPr>
            </w:pPr>
            <w:r>
              <w:rPr>
                <w:rFonts w:ascii="方正书宋_GBK" w:eastAsia="方正书宋_GBK"/>
              </w:rPr>
              <w:t>3.单位取暖工作得到保障</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绩效评价次数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按取暖时间评价资金使用程度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取暖工作完成率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单位取暖工作完成率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单位取暖工作得到保障</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57421"/>
      <w:r>
        <w:rPr>
          <w:rFonts w:ascii="方正仿宋_GBK" w:eastAsia="方正仿宋_GBK"/>
          <w:b/>
          <w:sz w:val="28"/>
        </w:rPr>
        <w:t>15.提前下达2021年中央补助地方美术馆公共图书馆文化馆（站）免费开放补助资金预算绩效目标表</w:t>
      </w:r>
      <w:bookmarkEnd w:id="17"/>
      <w:r>
        <w:rPr>
          <w:rFonts w:ascii="方正仿宋_GBK" w:eastAsia="方正仿宋_GBK"/>
          <w:b/>
          <w:sz w:val="28"/>
        </w:rPr>
        <w:fldChar w:fldCharType="begin"/>
      </w:r>
      <w:r>
        <w:rPr>
          <w:rFonts w:ascii="方正仿宋_GBK" w:eastAsia="方正仿宋_GBK"/>
          <w:b/>
          <w:sz w:val="28"/>
        </w:rPr>
        <w:instrText xml:space="preserve"> TC 15、提前下达2021年中央补助地方美术馆公共图书馆文化馆（站）免费开放补助资金预算绩效目标表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13062521WI3RFOEIORDW7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提前下达2021年中央补助地方美术馆公共图书馆文化馆（站）免费开放补助资金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专项经费补助范围主要是按照有关规定实行免费开放的公共图书馆、文化馆以及乡镇综合文化站。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1.公共文化设施达标，机构和队伍健全，实现公共文化资源共享，形成城乡一体公共文化服务网络</w:t>
            </w:r>
          </w:p>
          <w:p>
            <w:pPr>
              <w:spacing w:line="300" w:lineRule="exact"/>
              <w:jc w:val="left"/>
              <w:rPr>
                <w:rFonts w:ascii="方正书宋_GBK" w:eastAsia="方正书宋_GBK"/>
              </w:rPr>
            </w:pPr>
            <w:r>
              <w:rPr>
                <w:rFonts w:ascii="方正书宋_GBK" w:eastAsia="方正书宋_GBK"/>
              </w:rPr>
              <w:t>2.公共文化产品生产和服务能力提高</w:t>
            </w:r>
          </w:p>
          <w:p>
            <w:pPr>
              <w:spacing w:line="300" w:lineRule="exact"/>
              <w:jc w:val="left"/>
              <w:rPr>
                <w:rFonts w:ascii="方正书宋_GBK" w:eastAsia="方正书宋_GBK"/>
              </w:rPr>
            </w:pPr>
            <w:r>
              <w:rPr>
                <w:rFonts w:ascii="方正书宋_GBK" w:eastAsia="方正书宋_GBK"/>
              </w:rPr>
              <w:t>3.基本公共文化服务标准化、均等化水平不断提高</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群众参与人次较上年增长</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活动参与人数较上年增长</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免费开放服务水平稳步提高</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文化站免费开放服务水平稳步提高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57422"/>
      <w:r>
        <w:rPr>
          <w:rFonts w:ascii="方正仿宋_GBK" w:eastAsia="方正仿宋_GBK"/>
          <w:b/>
          <w:sz w:val="28"/>
        </w:rPr>
        <w:t>16.提前下达2021年省级非物质文化遗产保护专项资金绩效目标表</w:t>
      </w:r>
      <w:bookmarkEnd w:id="18"/>
      <w:r>
        <w:rPr>
          <w:rFonts w:ascii="方正仿宋_GBK" w:eastAsia="方正仿宋_GBK"/>
          <w:b/>
          <w:sz w:val="28"/>
        </w:rPr>
        <w:fldChar w:fldCharType="begin"/>
      </w:r>
      <w:r>
        <w:rPr>
          <w:rFonts w:ascii="方正仿宋_GBK" w:eastAsia="方正仿宋_GBK"/>
          <w:b/>
          <w:sz w:val="28"/>
        </w:rPr>
        <w:instrText xml:space="preserve"> TC 16、提前下达2021年省级非物质文化遗产保护专项资金绩效目标表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13062521XQB7EINZAW6HR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提前下达2021年省级非物质文化遗产保护专项资金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48000.00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用于代表性传承人开展传承活动经费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1.珍贵、濒危的非物质文化遗产得到有效抢救和保护。</w:t>
            </w:r>
          </w:p>
          <w:p>
            <w:pPr>
              <w:spacing w:line="300" w:lineRule="exact"/>
              <w:jc w:val="left"/>
              <w:rPr>
                <w:rFonts w:ascii="方正书宋_GBK" w:eastAsia="方正书宋_GBK"/>
              </w:rPr>
            </w:pPr>
            <w:r>
              <w:rPr>
                <w:rFonts w:ascii="方正书宋_GBK" w:eastAsia="方正书宋_GBK"/>
              </w:rPr>
              <w:t>2.优秀特色文化得到传承和发扬。</w:t>
            </w:r>
          </w:p>
          <w:p>
            <w:pPr>
              <w:spacing w:line="300" w:lineRule="exact"/>
              <w:jc w:val="left"/>
              <w:rPr>
                <w:rFonts w:ascii="方正书宋_GBK" w:eastAsia="方正书宋_GBK"/>
              </w:rPr>
            </w:pPr>
            <w:r>
              <w:rPr>
                <w:rFonts w:ascii="方正书宋_GBK" w:eastAsia="方正书宋_GBK"/>
              </w:rPr>
              <w:t>3.提升我区非遗文化影响力</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专项资金补助到位率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项目保护任务完成率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省级非遗代表性项目保护任务完成率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发放传承人补助率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省级代表性传承人传习活动补助发放到位率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促进非遗传承保护工作有序进行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57423"/>
      <w:r>
        <w:rPr>
          <w:rFonts w:ascii="方正仿宋_GBK" w:eastAsia="方正仿宋_GBK"/>
          <w:b/>
          <w:sz w:val="28"/>
        </w:rPr>
        <w:t>17.文化馆、图书馆保安经费绩效目标表</w:t>
      </w:r>
      <w:bookmarkEnd w:id="19"/>
      <w:r>
        <w:rPr>
          <w:rFonts w:ascii="方正仿宋_GBK" w:eastAsia="方正仿宋_GBK"/>
          <w:b/>
          <w:sz w:val="28"/>
        </w:rPr>
        <w:fldChar w:fldCharType="begin"/>
      </w:r>
      <w:r>
        <w:rPr>
          <w:rFonts w:ascii="方正仿宋_GBK" w:eastAsia="方正仿宋_GBK"/>
          <w:b/>
          <w:sz w:val="28"/>
        </w:rPr>
        <w:instrText xml:space="preserve"> TC 17、文化馆、图书馆保安经费绩效目标表 \f C \l 1 </w:instrText>
      </w:r>
      <w:r>
        <w:rPr>
          <w:rFonts w:ascii="方正仿宋_GBK" w:eastAsia="方正仿宋_GBK"/>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357001文广旅局本级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13062521Z27AL52SM3EQ1</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文化馆、图书馆保安经费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支付保安人员劳务费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1.按照单位的要求完成工作任务.</w:t>
            </w:r>
          </w:p>
          <w:p>
            <w:pPr>
              <w:spacing w:line="300" w:lineRule="exact"/>
              <w:jc w:val="left"/>
              <w:rPr>
                <w:rFonts w:ascii="方正书宋_GBK" w:eastAsia="方正书宋_GBK"/>
              </w:rPr>
            </w:pPr>
            <w:r>
              <w:rPr>
                <w:rFonts w:ascii="方正书宋_GBK" w:eastAsia="方正书宋_GBK"/>
              </w:rPr>
              <w:t>2.严格落实单位的规章制度,确保单位安全和秩序</w:t>
            </w:r>
          </w:p>
          <w:p>
            <w:pPr>
              <w:spacing w:line="300" w:lineRule="exact"/>
              <w:jc w:val="left"/>
              <w:rPr>
                <w:rFonts w:ascii="方正书宋_GBK" w:eastAsia="方正书宋_GBK"/>
              </w:rPr>
            </w:pPr>
            <w:r>
              <w:rPr>
                <w:rFonts w:ascii="方正书宋_GBK" w:eastAsia="方正书宋_GBK"/>
              </w:rPr>
              <w:t>3.能够保障人员日常工作效率</w:t>
            </w:r>
          </w:p>
        </w:tc>
      </w:tr>
    </w:tbl>
    <w:p>
      <w:pPr>
        <w:spacing w:line="14" w:lineRule="exact"/>
        <w:jc w:val="center"/>
        <w:rPr>
          <w:rFonts w:ascii="Times New Roman" w:hAnsi="宋体" w:eastAsia="宋体"/>
        </w:rPr>
      </w:pPr>
      <w:r>
        <w:rPr>
          <w:rFonts w:ascii="方正书宋_GBK" w:eastAsia="方正书宋_GBK"/>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及时拨付资金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安保工作完成率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安全保卫工作完成率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保障工作正常进行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能够保障人员日常工作效率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60" w:lineRule="auto"/>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sz w:val="32"/>
        </w:rPr>
      </w:pPr>
      <w:bookmarkStart w:id="20" w:name="_Toc69809617"/>
      <w:r>
        <w:rPr>
          <w:rFonts w:ascii="方正小标宋_GBK" w:eastAsia="方正小标宋_GBK"/>
          <w:sz w:val="32"/>
        </w:rPr>
        <w:t>单位政府采购预算</w:t>
      </w:r>
      <w:bookmarkEnd w:id="20"/>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文广</w:t>
            </w:r>
            <w:r>
              <w:rPr>
                <w:rFonts w:ascii="方正小标宋_GBK" w:eastAsia="方正小标宋_GBK"/>
                <w:sz w:val="24"/>
              </w:rPr>
              <w:t>旅局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sz w:val="24"/>
              </w:rPr>
            </w:pPr>
            <w:r>
              <w:rPr>
                <w:rFonts w:ascii="方正书宋_GBK" w:eastAsia="方正书宋_GBK"/>
                <w:sz w:val="24"/>
              </w:rPr>
              <w:t>单位：</w:t>
            </w:r>
            <w:r>
              <w:rPr>
                <w:rFonts w:hint="eastAsia" w:ascii="方正书宋_GBK" w:eastAsia="方正书宋_GBK"/>
                <w:sz w:val="24"/>
              </w:rPr>
              <w:t>万</w:t>
            </w:r>
            <w:r>
              <w:rPr>
                <w:rFonts w:ascii="方正书宋_GBK" w:eastAsia="方正书宋_GBK"/>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政府采购项目来源</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采购物品名称</w:t>
            </w:r>
          </w:p>
        </w:tc>
        <w:tc>
          <w:tcPr>
            <w:tcW w:w="1531"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政府采购目录序号</w:t>
            </w:r>
          </w:p>
        </w:tc>
        <w:tc>
          <w:tcPr>
            <w:tcW w:w="709"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计量  单位</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数量</w:t>
            </w:r>
          </w:p>
        </w:tc>
        <w:tc>
          <w:tcPr>
            <w:tcW w:w="907"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单价</w:t>
            </w:r>
          </w:p>
        </w:tc>
        <w:tc>
          <w:tcPr>
            <w:tcW w:w="6804" w:type="dxa"/>
            <w:gridSpan w:val="6"/>
            <w:shd w:val="clear" w:color="auto" w:fill="auto"/>
            <w:vAlign w:val="center"/>
          </w:tcPr>
          <w:p>
            <w:pPr>
              <w:spacing w:line="300" w:lineRule="exact"/>
              <w:jc w:val="center"/>
              <w:rPr>
                <w:rFonts w:ascii="方正书宋_GBK" w:eastAsia="方正书宋_GBK"/>
                <w:b/>
              </w:rPr>
            </w:pPr>
            <w:r>
              <w:rPr>
                <w:rFonts w:ascii="方正书宋_GBK" w:eastAsia="方正书宋_GBK"/>
                <w:b/>
              </w:rPr>
              <w:t>政府采购金额（当年单位预算安排资金）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预算资金</w:t>
            </w: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1531" w:type="dxa"/>
            <w:vMerge w:val="continue"/>
            <w:shd w:val="clear" w:color="auto" w:fill="auto"/>
            <w:vAlign w:val="center"/>
          </w:tcPr>
          <w:p>
            <w:pPr>
              <w:spacing w:line="300" w:lineRule="exact"/>
              <w:jc w:val="left"/>
              <w:outlineLvl w:val="1"/>
              <w:rPr>
                <w:rFonts w:ascii="Times New Roman" w:eastAsia="方正仿宋_GBK"/>
                <w:sz w:val="28"/>
              </w:rPr>
            </w:pPr>
          </w:p>
        </w:tc>
        <w:tc>
          <w:tcPr>
            <w:tcW w:w="709"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907" w:type="dxa"/>
            <w:vMerge w:val="continue"/>
            <w:shd w:val="clear" w:color="auto" w:fill="auto"/>
            <w:vAlign w:val="center"/>
          </w:tcPr>
          <w:p>
            <w:pPr>
              <w:spacing w:line="300" w:lineRule="exact"/>
              <w:jc w:val="left"/>
              <w:outlineLvl w:val="1"/>
              <w:rPr>
                <w:rFonts w:ascii="Times New Roman" w:eastAsia="方正仿宋_GBK"/>
                <w:sz w:val="28"/>
              </w:rPr>
            </w:pP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合计</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一般公共预算拨款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基金预算拨款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国有资本经营预算拨款</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财政专户核拨</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b/>
              </w:rPr>
            </w:pPr>
            <w:r>
              <w:rPr>
                <w:rFonts w:ascii="方正书宋_GBK" w:eastAsia="方正书宋_GBK"/>
                <w:b/>
              </w:rPr>
              <w:t>合  计</w:t>
            </w: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1531" w:type="dxa"/>
            <w:shd w:val="clear" w:color="auto" w:fill="auto"/>
            <w:vAlign w:val="center"/>
          </w:tcPr>
          <w:p>
            <w:pPr>
              <w:spacing w:line="300" w:lineRule="exact"/>
              <w:jc w:val="left"/>
              <w:rPr>
                <w:rFonts w:ascii="方正书宋_GBK" w:eastAsia="方正书宋_GBK"/>
                <w:b/>
              </w:rPr>
            </w:pPr>
          </w:p>
        </w:tc>
        <w:tc>
          <w:tcPr>
            <w:tcW w:w="709" w:type="dxa"/>
            <w:shd w:val="clear" w:color="auto" w:fill="auto"/>
            <w:vAlign w:val="center"/>
          </w:tcPr>
          <w:p>
            <w:pPr>
              <w:spacing w:line="300" w:lineRule="exact"/>
              <w:jc w:val="center"/>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907"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c>
          <w:tcPr>
            <w:tcW w:w="1134" w:type="dxa"/>
            <w:shd w:val="clear" w:color="auto" w:fill="auto"/>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531" w:type="dxa"/>
            <w:shd w:val="clear" w:color="auto" w:fill="auto"/>
            <w:vAlign w:val="center"/>
          </w:tcPr>
          <w:p>
            <w:pPr>
              <w:spacing w:line="300" w:lineRule="exact"/>
              <w:jc w:val="left"/>
              <w:rPr>
                <w:rFonts w:ascii="方正书宋_GBK"/>
              </w:rPr>
            </w:pPr>
          </w:p>
        </w:tc>
        <w:tc>
          <w:tcPr>
            <w:tcW w:w="1531" w:type="dxa"/>
            <w:shd w:val="clear" w:color="auto" w:fill="auto"/>
            <w:vAlign w:val="center"/>
          </w:tcPr>
          <w:p>
            <w:pPr>
              <w:spacing w:line="300" w:lineRule="exact"/>
              <w:jc w:val="left"/>
              <w:rPr>
                <w:rFonts w:ascii="方正书宋_GBK" w:eastAsia="方正书宋_GBK"/>
              </w:rPr>
            </w:pPr>
          </w:p>
        </w:tc>
        <w:tc>
          <w:tcPr>
            <w:tcW w:w="709" w:type="dxa"/>
            <w:shd w:val="clear" w:color="auto" w:fill="auto"/>
            <w:vAlign w:val="center"/>
          </w:tcPr>
          <w:p>
            <w:pPr>
              <w:spacing w:line="300" w:lineRule="exact"/>
              <w:jc w:val="center"/>
              <w:rPr>
                <w:rFonts w:ascii="方正书宋_GBK"/>
              </w:rPr>
            </w:pPr>
          </w:p>
        </w:tc>
        <w:tc>
          <w:tcPr>
            <w:tcW w:w="907" w:type="dxa"/>
            <w:shd w:val="clear" w:color="auto" w:fill="auto"/>
            <w:vAlign w:val="center"/>
          </w:tcPr>
          <w:p>
            <w:pPr>
              <w:spacing w:line="300" w:lineRule="exact"/>
              <w:jc w:val="right"/>
              <w:rPr>
                <w:rFonts w:ascii="方正书宋_GBK" w:eastAsia="方正书宋_GBK"/>
              </w:rPr>
            </w:pPr>
          </w:p>
        </w:tc>
        <w:tc>
          <w:tcPr>
            <w:tcW w:w="907"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c>
          <w:tcPr>
            <w:tcW w:w="1134" w:type="dxa"/>
            <w:shd w:val="clear" w:color="auto" w:fill="auto"/>
            <w:vAlign w:val="center"/>
          </w:tcPr>
          <w:p>
            <w:pPr>
              <w:spacing w:line="300" w:lineRule="exact"/>
              <w:jc w:val="right"/>
              <w:rPr>
                <w:rFonts w:ascii="方正书宋_GBK" w:eastAsia="方正书宋_GBK"/>
              </w:rPr>
            </w:pPr>
          </w:p>
        </w:tc>
      </w:tr>
    </w:tbl>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上年末我单位固定资产总金额为1877.38万元（详见下表）。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w:t>
            </w:r>
            <w:r>
              <w:rPr>
                <w:rFonts w:ascii="仿宋_GB2312" w:hAnsi="仿宋" w:eastAsia="仿宋_GB2312" w:cs="宋体"/>
                <w:b/>
                <w:kern w:val="0"/>
                <w:sz w:val="24"/>
                <w:szCs w:val="24"/>
              </w:rPr>
              <w:t>877.38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513.8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1304.11</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黑体_GBK">
    <w:altName w:val="宋体"/>
    <w:panose1 w:val="00000000000000000000"/>
    <w:charset w:val="86"/>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808489"/>
      <w:docPartObj>
        <w:docPartGallery w:val="autotext"/>
      </w:docPartObj>
    </w:sdtPr>
    <w:sdtContent>
      <w:p>
        <w:pPr>
          <w:pStyle w:val="3"/>
          <w:jc w:val="center"/>
        </w:pPr>
        <w:r>
          <w:fldChar w:fldCharType="begin"/>
        </w:r>
        <w:r>
          <w:instrText xml:space="preserve">PAGE   \* MERGEFORMAT</w:instrText>
        </w:r>
        <w:r>
          <w:fldChar w:fldCharType="separate"/>
        </w:r>
        <w:r>
          <w:rPr>
            <w:lang w:val="zh-CN"/>
          </w:rPr>
          <w:t>30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F1F"/>
    <w:rsid w:val="00013B8A"/>
    <w:rsid w:val="0003283C"/>
    <w:rsid w:val="00044FBC"/>
    <w:rsid w:val="00055F1F"/>
    <w:rsid w:val="000577EF"/>
    <w:rsid w:val="00057F18"/>
    <w:rsid w:val="000A445D"/>
    <w:rsid w:val="000C178B"/>
    <w:rsid w:val="000C2A30"/>
    <w:rsid w:val="000D36F4"/>
    <w:rsid w:val="000F5812"/>
    <w:rsid w:val="00131DEC"/>
    <w:rsid w:val="00136AB3"/>
    <w:rsid w:val="001462BD"/>
    <w:rsid w:val="00152380"/>
    <w:rsid w:val="001638BE"/>
    <w:rsid w:val="00164810"/>
    <w:rsid w:val="00172C7A"/>
    <w:rsid w:val="001772D7"/>
    <w:rsid w:val="00181777"/>
    <w:rsid w:val="001B4688"/>
    <w:rsid w:val="001B6235"/>
    <w:rsid w:val="001D1811"/>
    <w:rsid w:val="001F4875"/>
    <w:rsid w:val="00212335"/>
    <w:rsid w:val="002918C6"/>
    <w:rsid w:val="00291EF3"/>
    <w:rsid w:val="00296524"/>
    <w:rsid w:val="002E01F6"/>
    <w:rsid w:val="002F065E"/>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4B12"/>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24C7D"/>
    <w:rsid w:val="00550049"/>
    <w:rsid w:val="00553F7E"/>
    <w:rsid w:val="00566716"/>
    <w:rsid w:val="00570142"/>
    <w:rsid w:val="00583090"/>
    <w:rsid w:val="00586C35"/>
    <w:rsid w:val="005B1B6F"/>
    <w:rsid w:val="005B6CCB"/>
    <w:rsid w:val="005C54AA"/>
    <w:rsid w:val="005C7B89"/>
    <w:rsid w:val="005D7FA2"/>
    <w:rsid w:val="0061062C"/>
    <w:rsid w:val="006136AC"/>
    <w:rsid w:val="0062788A"/>
    <w:rsid w:val="00641F8A"/>
    <w:rsid w:val="0066383B"/>
    <w:rsid w:val="006A1E7B"/>
    <w:rsid w:val="006A6FA2"/>
    <w:rsid w:val="006B5117"/>
    <w:rsid w:val="006C62DF"/>
    <w:rsid w:val="006D35B3"/>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73560"/>
    <w:rsid w:val="00891680"/>
    <w:rsid w:val="008A0099"/>
    <w:rsid w:val="008A0B5F"/>
    <w:rsid w:val="008A14F9"/>
    <w:rsid w:val="008B5402"/>
    <w:rsid w:val="008D11BC"/>
    <w:rsid w:val="0090527E"/>
    <w:rsid w:val="00905BB7"/>
    <w:rsid w:val="0090620C"/>
    <w:rsid w:val="00912DA4"/>
    <w:rsid w:val="009302B8"/>
    <w:rsid w:val="009305C6"/>
    <w:rsid w:val="009752AE"/>
    <w:rsid w:val="00982F3D"/>
    <w:rsid w:val="00983232"/>
    <w:rsid w:val="0099546C"/>
    <w:rsid w:val="009A278A"/>
    <w:rsid w:val="009B3FF3"/>
    <w:rsid w:val="009B6368"/>
    <w:rsid w:val="009F63C4"/>
    <w:rsid w:val="00A16957"/>
    <w:rsid w:val="00A22F6E"/>
    <w:rsid w:val="00A6155C"/>
    <w:rsid w:val="00A8079E"/>
    <w:rsid w:val="00A90328"/>
    <w:rsid w:val="00A92D66"/>
    <w:rsid w:val="00AA4262"/>
    <w:rsid w:val="00AB5A90"/>
    <w:rsid w:val="00AB7449"/>
    <w:rsid w:val="00AE4AA5"/>
    <w:rsid w:val="00AE7FA9"/>
    <w:rsid w:val="00B0177F"/>
    <w:rsid w:val="00B02E45"/>
    <w:rsid w:val="00B147EB"/>
    <w:rsid w:val="00B22155"/>
    <w:rsid w:val="00B40691"/>
    <w:rsid w:val="00B76AA9"/>
    <w:rsid w:val="00B80FAB"/>
    <w:rsid w:val="00B81C88"/>
    <w:rsid w:val="00BA5C83"/>
    <w:rsid w:val="00BA6B64"/>
    <w:rsid w:val="00BC6A7D"/>
    <w:rsid w:val="00BD293D"/>
    <w:rsid w:val="00BD4829"/>
    <w:rsid w:val="00BD6002"/>
    <w:rsid w:val="00BD719F"/>
    <w:rsid w:val="00BE1CC9"/>
    <w:rsid w:val="00BF5442"/>
    <w:rsid w:val="00C177A5"/>
    <w:rsid w:val="00C32FE3"/>
    <w:rsid w:val="00C35FEE"/>
    <w:rsid w:val="00C50535"/>
    <w:rsid w:val="00C6153C"/>
    <w:rsid w:val="00C833E0"/>
    <w:rsid w:val="00C906EF"/>
    <w:rsid w:val="00CC7D74"/>
    <w:rsid w:val="00CD54FE"/>
    <w:rsid w:val="00D02F97"/>
    <w:rsid w:val="00D45530"/>
    <w:rsid w:val="00D45A0E"/>
    <w:rsid w:val="00D45D23"/>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5EC7"/>
    <w:rsid w:val="00F169E3"/>
    <w:rsid w:val="00F35D4B"/>
    <w:rsid w:val="00F3746B"/>
    <w:rsid w:val="00F572CB"/>
    <w:rsid w:val="00F621AF"/>
    <w:rsid w:val="00F8024E"/>
    <w:rsid w:val="00F82447"/>
    <w:rsid w:val="00F868E5"/>
    <w:rsid w:val="00FB2F32"/>
    <w:rsid w:val="00FC3191"/>
    <w:rsid w:val="00FE0F1F"/>
    <w:rsid w:val="00FF61F3"/>
    <w:rsid w:val="12050A29"/>
    <w:rsid w:val="4ABF5418"/>
    <w:rsid w:val="51205ACE"/>
    <w:rsid w:val="57474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E77BA-C3E8-44E2-8988-EA53D60A13B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7235</Words>
  <Characters>8250</Characters>
  <Lines>1178</Lines>
  <Paragraphs>1407</Paragraphs>
  <TotalTime>36</TotalTime>
  <ScaleCrop>false</ScaleCrop>
  <LinksUpToDate>false</LinksUpToDate>
  <CharactersWithSpaces>14078</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2021-04-21T06:36:00Z</dcterms:created>
  <dc:creator>Windows 用户</dc:creator>
  <cp:lastModifiedBy>Administrator</cp:lastModifiedBy>
  <cp:lastPrinted>2021-04-14T02:06:00Z</cp:lastPrinted>
  <dcterms:modified xsi:type="dcterms:W3CDTF">2024-07-01T08:09:45Z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5DACEFC6F79A4A64A6CFBEC815AE346D</vt:lpwstr>
  </property>
</Properties>
</file>