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ascii="宋体" w:hAnsi="宋体" w:eastAsia="宋体"/>
          <w:b/>
          <w:sz w:val="44"/>
          <w:szCs w:val="44"/>
        </w:rPr>
      </w:pPr>
      <w:r>
        <w:rPr>
          <w:rFonts w:hint="eastAsia" w:ascii="宋体" w:hAnsi="宋体" w:eastAsia="宋体"/>
          <w:b/>
          <w:sz w:val="44"/>
          <w:szCs w:val="44"/>
        </w:rPr>
        <w:t>保定市徐水区大王店镇人民政府</w:t>
      </w:r>
    </w:p>
    <w:p>
      <w:pPr>
        <w:spacing w:line="360" w:lineRule="auto"/>
        <w:ind w:firstLine="883" w:firstLineChars="200"/>
        <w:jc w:val="center"/>
        <w:rPr>
          <w:rFonts w:ascii="宋体" w:hAnsi="宋体" w:eastAsia="宋体"/>
          <w:b/>
          <w:sz w:val="44"/>
          <w:szCs w:val="44"/>
        </w:rPr>
      </w:pPr>
      <w:r>
        <w:rPr>
          <w:rFonts w:ascii="宋体" w:hAnsi="宋体" w:eastAsia="宋体"/>
          <w:b/>
          <w:sz w:val="44"/>
          <w:szCs w:val="44"/>
        </w:rPr>
        <w:t>2019年部门预算公开说明</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按照《</w:t>
      </w:r>
      <w:r>
        <w:rPr>
          <w:rFonts w:hint="eastAsia" w:ascii="仿宋" w:hAnsi="仿宋" w:eastAsia="仿宋" w:cs="Times New Roman"/>
          <w:sz w:val="32"/>
          <w:szCs w:val="32"/>
          <w:lang w:val="en-US" w:eastAsia="zh-CN"/>
        </w:rPr>
        <w:t>中华人民共和国</w:t>
      </w:r>
      <w:r>
        <w:rPr>
          <w:rFonts w:hint="eastAsia" w:ascii="仿宋" w:hAnsi="仿宋" w:eastAsia="仿宋" w:cs="Times New Roman"/>
          <w:sz w:val="32"/>
          <w:szCs w:val="32"/>
        </w:rPr>
        <w:t>预算法》、《地方预决算公开操作规程》等文件规定，现将我部门预算信息公开如下：</w:t>
      </w:r>
    </w:p>
    <w:p>
      <w:pPr>
        <w:spacing w:line="360" w:lineRule="auto"/>
        <w:ind w:firstLine="643" w:firstLineChars="200"/>
        <w:jc w:val="center"/>
        <w:rPr>
          <w:rFonts w:ascii="仿宋" w:hAnsi="仿宋" w:eastAsia="仿宋" w:cs="Times New Roman"/>
          <w:b/>
          <w:sz w:val="32"/>
          <w:szCs w:val="32"/>
        </w:rPr>
      </w:pPr>
      <w:r>
        <w:rPr>
          <w:rFonts w:hint="eastAsia" w:ascii="仿宋" w:hAnsi="仿宋" w:eastAsia="仿宋" w:cs="Times New Roman"/>
          <w:b/>
          <w:sz w:val="32"/>
          <w:szCs w:val="32"/>
        </w:rPr>
        <w:t>第一部分</w:t>
      </w:r>
      <w:r>
        <w:rPr>
          <w:rFonts w:ascii="仿宋" w:hAnsi="仿宋" w:eastAsia="仿宋" w:cs="Times New Roman"/>
          <w:b/>
          <w:sz w:val="32"/>
          <w:szCs w:val="32"/>
        </w:rPr>
        <w:t>:部门职责及机构设置情况</w:t>
      </w:r>
    </w:p>
    <w:p>
      <w:pPr>
        <w:pStyle w:val="10"/>
        <w:numPr>
          <w:ilvl w:val="0"/>
          <w:numId w:val="1"/>
        </w:numPr>
        <w:spacing w:line="360" w:lineRule="auto"/>
        <w:ind w:firstLineChars="0"/>
        <w:rPr>
          <w:rFonts w:ascii="仿宋" w:hAnsi="仿宋" w:eastAsia="仿宋"/>
          <w:b/>
          <w:sz w:val="32"/>
          <w:szCs w:val="32"/>
        </w:rPr>
      </w:pPr>
      <w:r>
        <w:rPr>
          <w:rFonts w:hint="eastAsia" w:ascii="仿宋" w:hAnsi="仿宋" w:eastAsia="仿宋"/>
          <w:b/>
          <w:sz w:val="32"/>
          <w:szCs w:val="32"/>
        </w:rPr>
        <w:t>部门职责</w:t>
      </w:r>
    </w:p>
    <w:p>
      <w:pPr>
        <w:ind w:firstLine="640" w:firstLineChars="200"/>
        <w:rPr>
          <w:rFonts w:ascii="仿宋" w:hAnsi="仿宋" w:eastAsia="仿宋"/>
          <w:sz w:val="32"/>
          <w:szCs w:val="32"/>
        </w:rPr>
      </w:pPr>
      <w:r>
        <w:rPr>
          <w:rFonts w:hint="eastAsia" w:ascii="仿宋" w:hAnsi="仿宋" w:eastAsia="仿宋"/>
          <w:sz w:val="32"/>
          <w:szCs w:val="32"/>
        </w:rPr>
        <w:t>(一)执行本级代表大会的决议和上级国家行政机关的决定和命令，发布决定和命令；</w:t>
      </w:r>
    </w:p>
    <w:p>
      <w:pPr>
        <w:ind w:firstLine="640" w:firstLineChars="200"/>
        <w:rPr>
          <w:rFonts w:ascii="仿宋" w:hAnsi="仿宋" w:eastAsia="仿宋"/>
          <w:sz w:val="32"/>
          <w:szCs w:val="32"/>
        </w:rPr>
      </w:pPr>
      <w:r>
        <w:rPr>
          <w:rFonts w:hint="eastAsia" w:ascii="仿宋" w:hAnsi="仿宋" w:eastAsia="仿宋"/>
          <w:sz w:val="32"/>
          <w:szCs w:val="32"/>
        </w:rPr>
        <w:t>(二)</w:t>
      </w:r>
      <w:r>
        <w:rPr>
          <w:rFonts w:hint="eastAsia" w:ascii="仿宋" w:hAnsi="仿宋" w:eastAsia="仿宋"/>
          <w:sz w:val="32"/>
          <w:szCs w:val="32"/>
          <w:lang w:eastAsia="zh-CN"/>
        </w:rPr>
        <w:t>制订</w:t>
      </w:r>
      <w:r>
        <w:rPr>
          <w:rFonts w:hint="eastAsia" w:ascii="仿宋" w:hAnsi="仿宋" w:eastAsia="仿宋"/>
          <w:sz w:val="32"/>
          <w:szCs w:val="32"/>
        </w:rPr>
        <w:t>并落实本行政区域内的经济发展计划，加强公共设施的建设和管理，发展各项服务事业；</w:t>
      </w:r>
    </w:p>
    <w:p>
      <w:pPr>
        <w:ind w:firstLine="640" w:firstLineChars="200"/>
        <w:rPr>
          <w:rFonts w:ascii="仿宋" w:hAnsi="仿宋" w:eastAsia="仿宋"/>
          <w:sz w:val="32"/>
          <w:szCs w:val="32"/>
        </w:rPr>
      </w:pPr>
      <w:r>
        <w:rPr>
          <w:rFonts w:hint="eastAsia" w:ascii="仿宋" w:hAnsi="仿宋" w:eastAsia="仿宋"/>
          <w:sz w:val="32"/>
          <w:szCs w:val="32"/>
        </w:rPr>
        <w:t>(三)加强水利建设、土地使用管理和环境综合整治，合理利用自然资源，保护、改善生态和生活环境；</w:t>
      </w:r>
    </w:p>
    <w:p>
      <w:pPr>
        <w:ind w:firstLine="640" w:firstLineChars="200"/>
        <w:rPr>
          <w:rFonts w:ascii="仿宋" w:hAnsi="仿宋" w:eastAsia="仿宋"/>
          <w:sz w:val="32"/>
          <w:szCs w:val="32"/>
        </w:rPr>
      </w:pPr>
      <w:r>
        <w:rPr>
          <w:rFonts w:hint="eastAsia" w:ascii="仿宋" w:hAnsi="仿宋" w:eastAsia="仿宋"/>
          <w:sz w:val="32"/>
          <w:szCs w:val="32"/>
        </w:rPr>
        <w:t>(四)依法管理乡财政，执行本级预算；</w:t>
      </w:r>
    </w:p>
    <w:p>
      <w:pPr>
        <w:ind w:firstLine="640" w:firstLineChars="200"/>
        <w:rPr>
          <w:rFonts w:ascii="仿宋" w:hAnsi="仿宋" w:eastAsia="仿宋"/>
          <w:sz w:val="32"/>
          <w:szCs w:val="32"/>
        </w:rPr>
      </w:pPr>
      <w:r>
        <w:rPr>
          <w:rFonts w:hint="eastAsia" w:ascii="仿宋" w:hAnsi="仿宋" w:eastAsia="仿宋"/>
          <w:sz w:val="32"/>
          <w:szCs w:val="32"/>
        </w:rPr>
        <w:t>(五)管理和发展文化、教育、科学、广播、体育、卫生等事业；</w:t>
      </w:r>
    </w:p>
    <w:p>
      <w:pPr>
        <w:ind w:firstLine="640" w:firstLineChars="200"/>
        <w:rPr>
          <w:rFonts w:ascii="仿宋" w:hAnsi="仿宋" w:eastAsia="仿宋"/>
          <w:sz w:val="32"/>
          <w:szCs w:val="32"/>
        </w:rPr>
      </w:pPr>
      <w:r>
        <w:rPr>
          <w:rFonts w:hint="eastAsia" w:ascii="仿宋" w:hAnsi="仿宋" w:eastAsia="仿宋"/>
          <w:sz w:val="32"/>
          <w:szCs w:val="32"/>
        </w:rPr>
        <w:t>(六)保护社会主义的全民所有财产和劳动群众的集体所有财产，保护公民个人所有的合法财产，保护公民的人身权利、民主权力和其他权利，保护各种经济的合法权益；</w:t>
      </w:r>
    </w:p>
    <w:p>
      <w:pPr>
        <w:ind w:firstLine="640" w:firstLineChars="200"/>
        <w:rPr>
          <w:rFonts w:ascii="仿宋" w:hAnsi="仿宋" w:eastAsia="仿宋"/>
          <w:sz w:val="32"/>
          <w:szCs w:val="32"/>
        </w:rPr>
      </w:pPr>
      <w:r>
        <w:rPr>
          <w:rFonts w:hint="eastAsia" w:ascii="仿宋" w:hAnsi="仿宋" w:eastAsia="仿宋"/>
          <w:sz w:val="32"/>
          <w:szCs w:val="32"/>
        </w:rPr>
        <w:t>(七)组织实施社会主义与民主法制教育，协调公安、司法行政工作，调解民事纠纷，维护社会秩序；</w:t>
      </w:r>
    </w:p>
    <w:p>
      <w:pPr>
        <w:ind w:firstLine="640" w:firstLineChars="200"/>
        <w:rPr>
          <w:rFonts w:ascii="仿宋" w:hAnsi="仿宋" w:eastAsia="仿宋"/>
          <w:sz w:val="32"/>
          <w:szCs w:val="32"/>
        </w:rPr>
      </w:pPr>
      <w:r>
        <w:rPr>
          <w:rFonts w:hint="eastAsia" w:ascii="仿宋" w:hAnsi="仿宋" w:eastAsia="仿宋"/>
          <w:sz w:val="32"/>
          <w:szCs w:val="32"/>
        </w:rPr>
        <w:t>(八)推行计划生育政策，控制人口增长，保护妇女、儿童和老人的合法权益；</w:t>
      </w:r>
    </w:p>
    <w:p>
      <w:pPr>
        <w:ind w:firstLine="640" w:firstLineChars="200"/>
        <w:rPr>
          <w:rFonts w:ascii="仿宋" w:hAnsi="仿宋" w:eastAsia="仿宋"/>
          <w:sz w:val="32"/>
          <w:szCs w:val="32"/>
        </w:rPr>
      </w:pPr>
      <w:r>
        <w:rPr>
          <w:rFonts w:hint="eastAsia" w:ascii="仿宋" w:hAnsi="仿宋" w:eastAsia="仿宋"/>
          <w:sz w:val="32"/>
          <w:szCs w:val="32"/>
        </w:rPr>
        <w:t>(九)管理民政事务工作，发展社会福利事业，做好社会保障工作，办理兵役事项；</w:t>
      </w:r>
    </w:p>
    <w:p>
      <w:pPr>
        <w:spacing w:line="360" w:lineRule="auto"/>
        <w:ind w:firstLine="640" w:firstLineChars="200"/>
        <w:rPr>
          <w:rFonts w:ascii="仿宋" w:hAnsi="仿宋" w:eastAsia="仿宋"/>
          <w:b/>
          <w:sz w:val="32"/>
          <w:szCs w:val="32"/>
        </w:rPr>
      </w:pPr>
      <w:r>
        <w:rPr>
          <w:rFonts w:hint="eastAsia" w:ascii="仿宋" w:hAnsi="仿宋" w:eastAsia="仿宋"/>
          <w:sz w:val="32"/>
          <w:szCs w:val="32"/>
        </w:rPr>
        <w:t>(十)办理上级人民政府交办的其他事项。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940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74"/>
        <w:gridCol w:w="1719"/>
        <w:gridCol w:w="1116"/>
        <w:gridCol w:w="289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74" w:type="dxa"/>
            <w:tcBorders>
              <w:bottom w:val="single" w:color="000000" w:sz="6" w:space="0"/>
            </w:tcBorders>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1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116" w:type="dxa"/>
            <w:tcBorders>
              <w:bottom w:val="single" w:color="000000" w:sz="6" w:space="0"/>
            </w:tcBorders>
            <w:vAlign w:val="center"/>
          </w:tcPr>
          <w:p>
            <w:pPr>
              <w:widowControl/>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899" w:type="dxa"/>
            <w:tcBorders>
              <w:bottom w:val="single" w:color="000000" w:sz="6" w:space="0"/>
            </w:tcBorders>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74" w:type="dxa"/>
            <w:tcBorders>
              <w:bottom w:val="single" w:color="auto" w:sz="4" w:space="0"/>
            </w:tcBorders>
            <w:vAlign w:val="center"/>
          </w:tcPr>
          <w:p>
            <w:pPr>
              <w:widowControl/>
              <w:ind w:firstLine="560" w:firstLineChars="200"/>
              <w:jc w:val="center"/>
              <w:rPr>
                <w:rFonts w:ascii="仿宋" w:hAnsi="仿宋" w:eastAsia="仿宋"/>
                <w:sz w:val="28"/>
                <w:szCs w:val="28"/>
              </w:rPr>
            </w:pPr>
            <w:r>
              <w:rPr>
                <w:rFonts w:hint="eastAsia" w:ascii="仿宋" w:hAnsi="仿宋" w:eastAsia="仿宋"/>
                <w:sz w:val="28"/>
                <w:szCs w:val="28"/>
              </w:rPr>
              <w:t>党政办公室</w:t>
            </w:r>
          </w:p>
        </w:tc>
        <w:tc>
          <w:tcPr>
            <w:tcW w:w="1719" w:type="dxa"/>
            <w:vAlign w:val="center"/>
          </w:tcPr>
          <w:p>
            <w:pPr>
              <w:widowControl/>
              <w:ind w:firstLine="560" w:firstLineChars="200"/>
              <w:jc w:val="left"/>
              <w:rPr>
                <w:rFonts w:ascii="仿宋" w:hAnsi="仿宋" w:eastAsia="仿宋"/>
                <w:sz w:val="28"/>
                <w:szCs w:val="28"/>
              </w:rPr>
            </w:pPr>
            <w:r>
              <w:rPr>
                <w:rFonts w:hint="eastAsia" w:ascii="仿宋" w:hAnsi="仿宋" w:eastAsia="仿宋"/>
                <w:sz w:val="28"/>
                <w:szCs w:val="28"/>
              </w:rPr>
              <w:t>行政</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ind w:firstLine="560" w:firstLineChars="200"/>
              <w:jc w:val="center"/>
              <w:rPr>
                <w:rFonts w:ascii="仿宋" w:hAnsi="仿宋" w:eastAsia="仿宋"/>
                <w:sz w:val="28"/>
                <w:szCs w:val="28"/>
              </w:rPr>
            </w:pPr>
            <w:r>
              <w:rPr>
                <w:rFonts w:hint="eastAsia" w:ascii="仿宋" w:hAnsi="仿宋" w:eastAsia="仿宋"/>
                <w:sz w:val="28"/>
                <w:szCs w:val="28"/>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74" w:type="dxa"/>
            <w:tcBorders>
              <w:top w:val="single" w:color="auto" w:sz="4" w:space="0"/>
              <w:bottom w:val="single" w:color="auto" w:sz="4" w:space="0"/>
            </w:tcBorders>
            <w:vAlign w:val="center"/>
          </w:tcPr>
          <w:p>
            <w:pPr>
              <w:widowControl/>
              <w:rPr>
                <w:rFonts w:ascii="仿宋" w:hAnsi="仿宋" w:eastAsia="仿宋"/>
                <w:sz w:val="28"/>
                <w:szCs w:val="28"/>
              </w:rPr>
            </w:pPr>
            <w:r>
              <w:rPr>
                <w:rFonts w:hint="eastAsia" w:ascii="仿宋" w:hAnsi="仿宋" w:eastAsia="仿宋"/>
                <w:sz w:val="28"/>
                <w:szCs w:val="28"/>
              </w:rPr>
              <w:t>经济发展办公室（挂财政所的牌子）</w:t>
            </w:r>
          </w:p>
        </w:tc>
        <w:tc>
          <w:tcPr>
            <w:tcW w:w="1719" w:type="dxa"/>
            <w:vAlign w:val="center"/>
          </w:tcPr>
          <w:p>
            <w:pPr>
              <w:widowControl/>
              <w:ind w:firstLine="560" w:firstLineChars="200"/>
              <w:jc w:val="left"/>
              <w:rPr>
                <w:rFonts w:ascii="仿宋" w:hAnsi="仿宋" w:eastAsia="仿宋"/>
                <w:sz w:val="28"/>
                <w:szCs w:val="28"/>
              </w:rPr>
            </w:pPr>
            <w:r>
              <w:rPr>
                <w:rFonts w:hint="eastAsia" w:ascii="仿宋" w:hAnsi="仿宋" w:eastAsia="仿宋"/>
                <w:sz w:val="28"/>
                <w:szCs w:val="28"/>
              </w:rPr>
              <w:t>行政</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rPr>
                <w:rFonts w:ascii="仿宋" w:hAnsi="仿宋" w:eastAsia="仿宋"/>
                <w:sz w:val="28"/>
                <w:szCs w:val="28"/>
              </w:rPr>
            </w:pPr>
            <w:r>
              <w:rPr>
                <w:rFonts w:hint="eastAsia" w:ascii="仿宋" w:hAnsi="仿宋" w:eastAsia="仿宋"/>
                <w:sz w:val="28"/>
                <w:szCs w:val="28"/>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74" w:type="dxa"/>
            <w:tcBorders>
              <w:top w:val="single" w:color="auto" w:sz="4" w:space="0"/>
              <w:bottom w:val="single" w:color="auto" w:sz="4" w:space="0"/>
            </w:tcBorders>
            <w:vAlign w:val="center"/>
          </w:tcPr>
          <w:p>
            <w:pPr>
              <w:widowControl/>
              <w:rPr>
                <w:rFonts w:ascii="仿宋" w:hAnsi="仿宋" w:eastAsia="仿宋"/>
                <w:sz w:val="28"/>
                <w:szCs w:val="28"/>
              </w:rPr>
            </w:pPr>
            <w:r>
              <w:rPr>
                <w:rFonts w:hint="eastAsia" w:ascii="仿宋" w:hAnsi="仿宋" w:eastAsia="仿宋"/>
                <w:sz w:val="28"/>
                <w:szCs w:val="28"/>
              </w:rPr>
              <w:t>社会事务管理办公室（挂计划生育办公室的牌子）</w:t>
            </w:r>
          </w:p>
        </w:tc>
        <w:tc>
          <w:tcPr>
            <w:tcW w:w="1719" w:type="dxa"/>
            <w:vAlign w:val="center"/>
          </w:tcPr>
          <w:p>
            <w:pPr>
              <w:widowControl/>
              <w:ind w:firstLine="560" w:firstLineChars="200"/>
              <w:jc w:val="left"/>
              <w:rPr>
                <w:rFonts w:ascii="仿宋" w:hAnsi="仿宋" w:eastAsia="仿宋"/>
                <w:sz w:val="28"/>
                <w:szCs w:val="28"/>
              </w:rPr>
            </w:pPr>
            <w:r>
              <w:rPr>
                <w:rFonts w:hint="eastAsia" w:ascii="仿宋" w:hAnsi="仿宋" w:eastAsia="仿宋"/>
                <w:sz w:val="28"/>
                <w:szCs w:val="28"/>
              </w:rPr>
              <w:t>行政</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rPr>
                <w:rFonts w:ascii="仿宋" w:hAnsi="仿宋" w:eastAsia="仿宋"/>
                <w:sz w:val="28"/>
                <w:szCs w:val="28"/>
              </w:rPr>
            </w:pPr>
            <w:r>
              <w:rPr>
                <w:rFonts w:hint="eastAsia" w:ascii="仿宋" w:hAnsi="仿宋" w:eastAsia="仿宋"/>
                <w:sz w:val="28"/>
                <w:szCs w:val="28"/>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74" w:type="dxa"/>
            <w:tcBorders>
              <w:top w:val="single" w:color="auto" w:sz="4" w:space="0"/>
              <w:bottom w:val="single" w:color="auto" w:sz="4" w:space="0"/>
            </w:tcBorders>
            <w:vAlign w:val="center"/>
          </w:tcPr>
          <w:p>
            <w:pPr>
              <w:widowControl/>
              <w:rPr>
                <w:rFonts w:ascii="仿宋" w:hAnsi="仿宋" w:eastAsia="仿宋"/>
                <w:sz w:val="28"/>
                <w:szCs w:val="28"/>
              </w:rPr>
            </w:pPr>
            <w:r>
              <w:rPr>
                <w:rFonts w:hint="eastAsia" w:ascii="仿宋" w:hAnsi="仿宋" w:eastAsia="仿宋"/>
                <w:sz w:val="28"/>
                <w:szCs w:val="28"/>
              </w:rPr>
              <w:t>社会治安综合治理办公室（司法所与其合署办公）</w:t>
            </w:r>
          </w:p>
        </w:tc>
        <w:tc>
          <w:tcPr>
            <w:tcW w:w="1719" w:type="dxa"/>
            <w:vAlign w:val="center"/>
          </w:tcPr>
          <w:p>
            <w:pPr>
              <w:widowControl/>
              <w:ind w:firstLine="560" w:firstLineChars="200"/>
              <w:jc w:val="center"/>
              <w:rPr>
                <w:rFonts w:ascii="仿宋" w:hAnsi="仿宋" w:eastAsia="仿宋"/>
                <w:sz w:val="28"/>
                <w:szCs w:val="28"/>
              </w:rPr>
            </w:pPr>
            <w:r>
              <w:rPr>
                <w:rFonts w:hint="eastAsia" w:ascii="仿宋" w:hAnsi="仿宋" w:eastAsia="仿宋"/>
                <w:sz w:val="28"/>
                <w:szCs w:val="28"/>
              </w:rPr>
              <w:t>行政</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rPr>
                <w:rFonts w:ascii="仿宋" w:hAnsi="仿宋" w:eastAsia="仿宋"/>
                <w:sz w:val="28"/>
                <w:szCs w:val="28"/>
              </w:rPr>
            </w:pPr>
            <w:r>
              <w:rPr>
                <w:rFonts w:hint="eastAsia" w:ascii="仿宋" w:hAnsi="仿宋" w:eastAsia="仿宋"/>
                <w:sz w:val="28"/>
                <w:szCs w:val="28"/>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2674" w:type="dxa"/>
            <w:tcBorders>
              <w:top w:val="single" w:color="auto" w:sz="4" w:space="0"/>
            </w:tcBorders>
            <w:vAlign w:val="center"/>
          </w:tcPr>
          <w:p>
            <w:pPr>
              <w:widowControl/>
              <w:rPr>
                <w:rFonts w:ascii="仿宋" w:hAnsi="仿宋" w:eastAsia="仿宋"/>
                <w:sz w:val="28"/>
                <w:szCs w:val="28"/>
              </w:rPr>
            </w:pPr>
            <w:r>
              <w:rPr>
                <w:rFonts w:hint="eastAsia" w:ascii="仿宋" w:hAnsi="仿宋" w:eastAsia="仿宋"/>
                <w:sz w:val="28"/>
                <w:szCs w:val="28"/>
              </w:rPr>
              <w:t>计划生育服务中心</w:t>
            </w:r>
          </w:p>
        </w:tc>
        <w:tc>
          <w:tcPr>
            <w:tcW w:w="1719" w:type="dxa"/>
            <w:vAlign w:val="center"/>
          </w:tcPr>
          <w:p>
            <w:pPr>
              <w:widowControl/>
              <w:ind w:firstLine="560" w:firstLineChars="200"/>
              <w:jc w:val="center"/>
              <w:rPr>
                <w:rFonts w:ascii="仿宋" w:hAnsi="仿宋" w:eastAsia="仿宋"/>
                <w:sz w:val="28"/>
                <w:szCs w:val="28"/>
              </w:rPr>
            </w:pPr>
            <w:r>
              <w:rPr>
                <w:rFonts w:hint="eastAsia" w:ascii="仿宋" w:hAnsi="仿宋" w:eastAsia="仿宋"/>
                <w:sz w:val="28"/>
                <w:szCs w:val="28"/>
              </w:rPr>
              <w:t>事业</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rPr>
                <w:rFonts w:ascii="仿宋" w:hAnsi="仿宋" w:eastAsia="仿宋"/>
                <w:sz w:val="28"/>
                <w:szCs w:val="28"/>
              </w:rPr>
            </w:pPr>
            <w:r>
              <w:rPr>
                <w:rFonts w:hint="eastAsia" w:ascii="仿宋" w:hAnsi="仿宋" w:eastAsia="仿宋"/>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96"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2674" w:type="dxa"/>
            <w:tcBorders>
              <w:top w:val="single" w:color="auto" w:sz="4" w:space="0"/>
            </w:tcBorders>
            <w:vAlign w:val="center"/>
          </w:tcPr>
          <w:p>
            <w:pPr>
              <w:widowControl/>
              <w:rPr>
                <w:rFonts w:ascii="仿宋" w:hAnsi="仿宋" w:eastAsia="仿宋"/>
                <w:sz w:val="28"/>
                <w:szCs w:val="28"/>
              </w:rPr>
            </w:pPr>
            <w:r>
              <w:rPr>
                <w:rFonts w:hint="eastAsia" w:ascii="仿宋" w:hAnsi="仿宋" w:eastAsia="仿宋"/>
                <w:sz w:val="28"/>
                <w:szCs w:val="28"/>
              </w:rPr>
              <w:t>综合文化服务中心</w:t>
            </w:r>
          </w:p>
        </w:tc>
        <w:tc>
          <w:tcPr>
            <w:tcW w:w="1719" w:type="dxa"/>
            <w:vAlign w:val="center"/>
          </w:tcPr>
          <w:p>
            <w:pPr>
              <w:widowControl/>
              <w:ind w:firstLine="560" w:firstLineChars="200"/>
              <w:jc w:val="center"/>
              <w:rPr>
                <w:rFonts w:ascii="仿宋" w:hAnsi="仿宋" w:eastAsia="仿宋"/>
                <w:sz w:val="28"/>
                <w:szCs w:val="28"/>
              </w:rPr>
            </w:pPr>
            <w:r>
              <w:rPr>
                <w:rFonts w:hint="eastAsia" w:ascii="仿宋" w:hAnsi="仿宋" w:eastAsia="仿宋"/>
                <w:sz w:val="28"/>
                <w:szCs w:val="28"/>
              </w:rPr>
              <w:t>事业</w:t>
            </w:r>
          </w:p>
        </w:tc>
        <w:tc>
          <w:tcPr>
            <w:tcW w:w="1116" w:type="dxa"/>
            <w:vAlign w:val="center"/>
          </w:tcPr>
          <w:p>
            <w:pPr>
              <w:widowControl/>
              <w:rPr>
                <w:rFonts w:ascii="仿宋" w:hAnsi="仿宋" w:eastAsia="仿宋"/>
                <w:sz w:val="28"/>
                <w:szCs w:val="28"/>
              </w:rPr>
            </w:pPr>
            <w:r>
              <w:rPr>
                <w:rFonts w:hint="eastAsia" w:ascii="仿宋" w:hAnsi="仿宋" w:eastAsia="仿宋"/>
                <w:sz w:val="28"/>
                <w:szCs w:val="28"/>
              </w:rPr>
              <w:t>正科级</w:t>
            </w:r>
          </w:p>
        </w:tc>
        <w:tc>
          <w:tcPr>
            <w:tcW w:w="2899" w:type="dxa"/>
            <w:vAlign w:val="center"/>
          </w:tcPr>
          <w:p>
            <w:pPr>
              <w:widowControl/>
              <w:jc w:val="left"/>
              <w:rPr>
                <w:rFonts w:ascii="仿宋" w:hAnsi="仿宋" w:eastAsia="仿宋"/>
                <w:sz w:val="28"/>
                <w:szCs w:val="28"/>
              </w:rPr>
            </w:pPr>
            <w:r>
              <w:rPr>
                <w:rFonts w:hint="eastAsia" w:ascii="仿宋" w:hAnsi="仿宋" w:eastAsia="仿宋"/>
                <w:sz w:val="28"/>
                <w:szCs w:val="28"/>
              </w:rPr>
              <w:t>财政性资金基本保证</w:t>
            </w:r>
          </w:p>
        </w:tc>
      </w:tr>
    </w:tbl>
    <w:p>
      <w:pPr>
        <w:spacing w:line="360" w:lineRule="auto"/>
        <w:ind w:firstLine="643" w:firstLineChars="200"/>
        <w:rPr>
          <w:rFonts w:ascii="仿宋" w:hAnsi="仿宋" w:eastAsia="仿宋"/>
          <w:b/>
          <w:sz w:val="32"/>
          <w:szCs w:val="32"/>
        </w:rPr>
      </w:pP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第二部分：部门预算安排的总体情况</w:t>
      </w:r>
      <w:r>
        <w:rPr>
          <w:rFonts w:ascii="黑体" w:hAnsi="黑体" w:eastAsia="黑体" w:cs="Times New Roman"/>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2019年预算收入为</w:t>
      </w:r>
      <w:r>
        <w:rPr>
          <w:rFonts w:hint="eastAsia" w:ascii="仿宋" w:hAnsi="仿宋" w:eastAsia="仿宋"/>
          <w:sz w:val="32"/>
          <w:szCs w:val="32"/>
        </w:rPr>
        <w:t>1535.95</w:t>
      </w:r>
      <w:r>
        <w:rPr>
          <w:rFonts w:ascii="仿宋" w:hAnsi="仿宋" w:eastAsia="仿宋"/>
          <w:sz w:val="32"/>
          <w:szCs w:val="32"/>
        </w:rPr>
        <w:t>万元,其中：一般公共预算收入</w:t>
      </w:r>
      <w:r>
        <w:rPr>
          <w:rFonts w:hint="eastAsia" w:ascii="仿宋" w:hAnsi="仿宋" w:eastAsia="仿宋"/>
          <w:sz w:val="32"/>
          <w:szCs w:val="32"/>
        </w:rPr>
        <w:t>1525.95</w:t>
      </w:r>
      <w:r>
        <w:rPr>
          <w:rFonts w:ascii="仿宋" w:hAnsi="仿宋" w:eastAsia="仿宋"/>
          <w:sz w:val="32"/>
          <w:szCs w:val="32"/>
        </w:rPr>
        <w:t>万元，基金预算收入</w:t>
      </w:r>
      <w:r>
        <w:rPr>
          <w:rFonts w:hint="eastAsia" w:ascii="仿宋" w:hAnsi="仿宋" w:eastAsia="仿宋"/>
          <w:sz w:val="32"/>
          <w:szCs w:val="32"/>
        </w:rPr>
        <w:t>10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2019年部门支出预算：</w:t>
      </w:r>
      <w:r>
        <w:rPr>
          <w:rFonts w:hint="eastAsia" w:ascii="仿宋" w:hAnsi="仿宋" w:eastAsia="仿宋"/>
          <w:sz w:val="32"/>
          <w:szCs w:val="32"/>
        </w:rPr>
        <w:t>15</w:t>
      </w:r>
      <w:r>
        <w:rPr>
          <w:rFonts w:ascii="仿宋" w:hAnsi="仿宋" w:eastAsia="仿宋"/>
          <w:sz w:val="32"/>
          <w:szCs w:val="32"/>
        </w:rPr>
        <w:t>3</w:t>
      </w:r>
      <w:r>
        <w:rPr>
          <w:rFonts w:hint="eastAsia" w:ascii="仿宋" w:hAnsi="仿宋" w:eastAsia="仿宋"/>
          <w:sz w:val="32"/>
          <w:szCs w:val="32"/>
        </w:rPr>
        <w:t>5.95</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其中：</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基本支出1165.24万元，</w:t>
      </w:r>
      <w:r>
        <w:rPr>
          <w:rFonts w:ascii="仿宋" w:hAnsi="仿宋" w:eastAsia="仿宋"/>
          <w:sz w:val="32"/>
          <w:szCs w:val="32"/>
        </w:rPr>
        <w:t>其中：人员经费</w:t>
      </w:r>
      <w:r>
        <w:rPr>
          <w:rFonts w:hint="eastAsia" w:ascii="仿宋" w:hAnsi="仿宋" w:eastAsia="仿宋"/>
          <w:sz w:val="32"/>
          <w:szCs w:val="32"/>
        </w:rPr>
        <w:t>1072.78</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日常公用经费</w:t>
      </w:r>
      <w:r>
        <w:rPr>
          <w:rFonts w:hint="eastAsia" w:ascii="仿宋" w:hAnsi="仿宋" w:eastAsia="仿宋"/>
          <w:sz w:val="32"/>
          <w:szCs w:val="32"/>
        </w:rPr>
        <w:t>92.46</w:t>
      </w:r>
      <w:r>
        <w:rPr>
          <w:rFonts w:ascii="仿宋" w:hAnsi="仿宋" w:eastAsia="仿宋"/>
          <w:sz w:val="32"/>
          <w:szCs w:val="32"/>
        </w:rPr>
        <w:t>万元</w:t>
      </w:r>
      <w:r>
        <w:rPr>
          <w:rFonts w:hint="eastAsia"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3</w:t>
      </w:r>
      <w:r>
        <w:rPr>
          <w:rFonts w:ascii="仿宋" w:hAnsi="仿宋" w:eastAsia="仿宋"/>
          <w:sz w:val="32"/>
          <w:szCs w:val="32"/>
        </w:rPr>
        <w:t>7</w:t>
      </w:r>
      <w:r>
        <w:rPr>
          <w:rFonts w:hint="eastAsia" w:ascii="仿宋" w:hAnsi="仿宋" w:eastAsia="仿宋"/>
          <w:sz w:val="32"/>
          <w:szCs w:val="32"/>
        </w:rPr>
        <w:t>0.71</w:t>
      </w:r>
      <w:r>
        <w:rPr>
          <w:rFonts w:ascii="仿宋" w:hAnsi="仿宋" w:eastAsia="仿宋"/>
          <w:sz w:val="32"/>
          <w:szCs w:val="32"/>
        </w:rPr>
        <w:t>万</w:t>
      </w:r>
      <w:r>
        <w:rPr>
          <w:rFonts w:hint="eastAsia" w:ascii="仿宋" w:hAnsi="仿宋" w:eastAsia="仿宋"/>
          <w:sz w:val="32"/>
          <w:szCs w:val="32"/>
        </w:rPr>
        <w:t>元</w:t>
      </w:r>
      <w:r>
        <w:rPr>
          <w:rFonts w:ascii="仿宋" w:hAnsi="仿宋" w:eastAsia="仿宋"/>
          <w:sz w:val="32"/>
          <w:szCs w:val="32"/>
        </w:rPr>
        <w:t>，其中：本级支出</w:t>
      </w:r>
      <w:r>
        <w:rPr>
          <w:rFonts w:hint="eastAsia" w:ascii="仿宋" w:hAnsi="仿宋" w:eastAsia="仿宋"/>
          <w:sz w:val="32"/>
          <w:szCs w:val="32"/>
        </w:rPr>
        <w:t>3</w:t>
      </w:r>
      <w:r>
        <w:rPr>
          <w:rFonts w:ascii="仿宋" w:hAnsi="仿宋" w:eastAsia="仿宋"/>
          <w:sz w:val="32"/>
          <w:szCs w:val="32"/>
        </w:rPr>
        <w:t>7</w:t>
      </w:r>
      <w:r>
        <w:rPr>
          <w:rFonts w:hint="eastAsia" w:ascii="仿宋" w:hAnsi="仿宋" w:eastAsia="仿宋"/>
          <w:sz w:val="32"/>
          <w:szCs w:val="32"/>
        </w:rPr>
        <w:t>0.71</w:t>
      </w:r>
      <w:r>
        <w:rPr>
          <w:rFonts w:ascii="仿宋" w:hAnsi="仿宋" w:eastAsia="仿宋"/>
          <w:sz w:val="32"/>
          <w:szCs w:val="32"/>
        </w:rPr>
        <w:t>万元</w:t>
      </w:r>
      <w:r>
        <w:rPr>
          <w:rFonts w:hint="eastAsia" w:ascii="仿宋" w:hAnsi="仿宋" w:eastAsia="仿宋"/>
          <w:sz w:val="32"/>
          <w:szCs w:val="32"/>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本年度预算收支安排1535.95万元，较上年增加433.35</w:t>
      </w:r>
      <w:r>
        <w:rPr>
          <w:rFonts w:ascii="仿宋" w:hAnsi="仿宋" w:eastAsia="仿宋"/>
          <w:sz w:val="32"/>
          <w:szCs w:val="32"/>
        </w:rPr>
        <w:t>万元。其中:基本支出增加</w:t>
      </w:r>
      <w:r>
        <w:rPr>
          <w:rFonts w:hint="eastAsia" w:ascii="仿宋" w:hAnsi="仿宋" w:eastAsia="仿宋"/>
          <w:sz w:val="32"/>
          <w:szCs w:val="32"/>
        </w:rPr>
        <w:t>336.7</w:t>
      </w:r>
      <w:r>
        <w:rPr>
          <w:rFonts w:ascii="仿宋" w:hAnsi="仿宋" w:eastAsia="仿宋"/>
          <w:sz w:val="32"/>
          <w:szCs w:val="32"/>
        </w:rPr>
        <w:t>万元，主要原因是</w:t>
      </w:r>
      <w:r>
        <w:rPr>
          <w:rFonts w:hint="eastAsia" w:ascii="仿宋" w:hAnsi="仿宋" w:eastAsia="仿宋"/>
          <w:sz w:val="32"/>
          <w:szCs w:val="32"/>
        </w:rPr>
        <w:t>人员工资</w:t>
      </w:r>
      <w:r>
        <w:rPr>
          <w:rFonts w:ascii="仿宋" w:hAnsi="仿宋" w:eastAsia="仿宋"/>
          <w:sz w:val="32"/>
          <w:szCs w:val="32"/>
        </w:rPr>
        <w:t>调整及</w:t>
      </w:r>
      <w:r>
        <w:rPr>
          <w:rFonts w:hint="eastAsia" w:ascii="仿宋" w:hAnsi="仿宋" w:eastAsia="仿宋"/>
          <w:sz w:val="32"/>
          <w:szCs w:val="32"/>
        </w:rPr>
        <w:t>调入人员经费比去年增加</w:t>
      </w:r>
      <w:r>
        <w:rPr>
          <w:rFonts w:ascii="仿宋" w:hAnsi="仿宋" w:eastAsia="仿宋"/>
          <w:sz w:val="32"/>
          <w:szCs w:val="32"/>
        </w:rPr>
        <w:t>；项目支出增加9</w:t>
      </w:r>
      <w:r>
        <w:rPr>
          <w:rFonts w:hint="eastAsia" w:ascii="仿宋" w:hAnsi="仿宋" w:eastAsia="仿宋"/>
          <w:sz w:val="32"/>
          <w:szCs w:val="32"/>
        </w:rPr>
        <w:t>6.65</w:t>
      </w:r>
      <w:r>
        <w:rPr>
          <w:rFonts w:ascii="仿宋" w:hAnsi="仿宋" w:eastAsia="仿宋"/>
          <w:sz w:val="32"/>
          <w:szCs w:val="32"/>
        </w:rPr>
        <w:t>万元，主要原因是</w:t>
      </w:r>
      <w:r>
        <w:rPr>
          <w:rFonts w:hint="eastAsia" w:ascii="仿宋" w:hAnsi="仿宋" w:eastAsia="仿宋" w:cs="仿宋"/>
          <w:sz w:val="32"/>
          <w:szCs w:val="32"/>
        </w:rPr>
        <w:t>增加村级正常</w:t>
      </w:r>
      <w:r>
        <w:rPr>
          <w:rFonts w:ascii="仿宋" w:hAnsi="仿宋" w:eastAsia="仿宋" w:cs="仿宋"/>
          <w:sz w:val="32"/>
          <w:szCs w:val="32"/>
        </w:rPr>
        <w:t>运转经费</w:t>
      </w:r>
      <w:r>
        <w:rPr>
          <w:rFonts w:ascii="仿宋" w:hAnsi="仿宋" w:eastAsia="仿宋"/>
          <w:sz w:val="32"/>
          <w:szCs w:val="32"/>
        </w:rPr>
        <w:t>。</w:t>
      </w: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2019年我部门机关运行经费安排92.46万元，其中办公费29.81万元，邮电费</w:t>
      </w:r>
      <w:r>
        <w:rPr>
          <w:rFonts w:hint="eastAsia" w:ascii="仿宋" w:hAnsi="仿宋" w:eastAsia="仿宋"/>
          <w:sz w:val="32"/>
          <w:szCs w:val="32"/>
        </w:rPr>
        <w:t>3.06</w:t>
      </w:r>
      <w:r>
        <w:rPr>
          <w:rFonts w:ascii="仿宋" w:hAnsi="仿宋" w:eastAsia="仿宋"/>
          <w:sz w:val="32"/>
          <w:szCs w:val="32"/>
        </w:rPr>
        <w:t>万元，</w:t>
      </w:r>
      <w:r>
        <w:rPr>
          <w:rFonts w:hint="eastAsia" w:ascii="仿宋" w:hAnsi="仿宋" w:eastAsia="仿宋"/>
          <w:sz w:val="32"/>
          <w:szCs w:val="32"/>
        </w:rPr>
        <w:t>取暖费3.65万元，</w:t>
      </w:r>
      <w:r>
        <w:rPr>
          <w:rFonts w:ascii="仿宋" w:hAnsi="仿宋" w:eastAsia="仿宋"/>
          <w:sz w:val="32"/>
          <w:szCs w:val="32"/>
        </w:rPr>
        <w:t>工会经费</w:t>
      </w:r>
      <w:r>
        <w:rPr>
          <w:rFonts w:hint="eastAsia" w:ascii="仿宋" w:hAnsi="仿宋" w:eastAsia="仿宋"/>
          <w:sz w:val="32"/>
          <w:szCs w:val="32"/>
        </w:rPr>
        <w:t>8.43万元，</w:t>
      </w:r>
      <w:r>
        <w:rPr>
          <w:rFonts w:ascii="仿宋" w:hAnsi="仿宋" w:eastAsia="仿宋"/>
          <w:sz w:val="32"/>
          <w:szCs w:val="32"/>
        </w:rPr>
        <w:t>福利费6.57万元，公务用车运行维护费</w:t>
      </w:r>
      <w:r>
        <w:rPr>
          <w:rFonts w:hint="eastAsia" w:ascii="仿宋" w:hAnsi="仿宋" w:eastAsia="仿宋"/>
          <w:sz w:val="32"/>
          <w:szCs w:val="32"/>
        </w:rPr>
        <w:t>12</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其他支出28.94万元。</w:t>
      </w:r>
    </w:p>
    <w:p>
      <w:pPr>
        <w:spacing w:line="360" w:lineRule="auto"/>
        <w:rPr>
          <w:rFonts w:ascii="黑体" w:hAnsi="黑体" w:eastAsia="黑体" w:cs="Times New Roman"/>
          <w:sz w:val="32"/>
          <w:szCs w:val="32"/>
        </w:rPr>
      </w:pPr>
      <w:r>
        <w:rPr>
          <w:rFonts w:hint="eastAsia" w:ascii="黑体" w:hAnsi="黑体" w:eastAsia="黑体" w:cs="Times New Roman"/>
          <w:sz w:val="32"/>
          <w:szCs w:val="32"/>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003"/>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1097"/>
              <w:gridCol w:w="2410"/>
            </w:tblGrid>
            <w:tr>
              <w:tblPrEx>
                <w:tblCellMar>
                  <w:top w:w="0" w:type="dxa"/>
                  <w:left w:w="108" w:type="dxa"/>
                  <w:bottom w:w="0" w:type="dxa"/>
                  <w:right w:w="108" w:type="dxa"/>
                </w:tblCellMar>
              </w:tblPrEx>
              <w:trPr>
                <w:trHeight w:val="405" w:hRule="atLeast"/>
                <w:jc w:val="center"/>
              </w:trPr>
              <w:tc>
                <w:tcPr>
                  <w:tcW w:w="8364" w:type="dxa"/>
                  <w:gridSpan w:val="5"/>
                  <w:tcBorders>
                    <w:top w:val="nil"/>
                    <w:left w:val="nil"/>
                    <w:bottom w:val="nil"/>
                    <w:right w:val="nil"/>
                  </w:tcBorders>
                  <w:vAlign w:val="center"/>
                </w:tcPr>
                <w:p>
                  <w:pPr>
                    <w:widowControl/>
                    <w:spacing w:line="520" w:lineRule="exact"/>
                    <w:ind w:firstLine="640" w:firstLineChars="200"/>
                    <w:jc w:val="center"/>
                    <w:rPr>
                      <w:rFonts w:ascii="黑体" w:hAnsi="黑体" w:eastAsia="黑体" w:cs="宋体"/>
                      <w:kern w:val="0"/>
                      <w:sz w:val="32"/>
                      <w:szCs w:val="32"/>
                    </w:rPr>
                  </w:pPr>
                  <w:r>
                    <w:rPr>
                      <w:rFonts w:hint="eastAsia" w:ascii="黑体" w:hAnsi="黑体" w:eastAsia="黑体"/>
                      <w:sz w:val="32"/>
                      <w:szCs w:val="32"/>
                    </w:rPr>
                    <w:t>“三公”经费预算情况及增减变化原因</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276"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418"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097"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2410" w:type="dxa"/>
                  <w:tcBorders>
                    <w:top w:val="nil"/>
                    <w:left w:val="nil"/>
                    <w:bottom w:val="nil"/>
                    <w:right w:val="nil"/>
                  </w:tcBorders>
                  <w:vAlign w:val="center"/>
                </w:tcPr>
                <w:p>
                  <w:pPr>
                    <w:widowControl/>
                    <w:ind w:firstLine="480" w:firstLineChars="200"/>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ind w:firstLine="482" w:firstLineChars="200"/>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ind w:firstLine="482" w:firstLineChars="200"/>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2018年度预算</w:t>
                  </w:r>
                </w:p>
              </w:tc>
              <w:tc>
                <w:tcPr>
                  <w:tcW w:w="1418" w:type="dxa"/>
                  <w:tcBorders>
                    <w:top w:val="single" w:color="auto" w:sz="4" w:space="0"/>
                    <w:left w:val="nil"/>
                    <w:bottom w:val="single" w:color="auto" w:sz="4" w:space="0"/>
                    <w:right w:val="single" w:color="auto" w:sz="4" w:space="0"/>
                  </w:tcBorders>
                  <w:vAlign w:val="center"/>
                </w:tcPr>
                <w:p>
                  <w:pPr>
                    <w:widowControl/>
                    <w:ind w:firstLine="482" w:firstLineChars="200"/>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2019年度预算</w:t>
                  </w:r>
                </w:p>
              </w:tc>
              <w:tc>
                <w:tcPr>
                  <w:tcW w:w="1097"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410" w:type="dxa"/>
                  <w:tcBorders>
                    <w:top w:val="single" w:color="auto" w:sz="4" w:space="0"/>
                    <w:left w:val="nil"/>
                    <w:bottom w:val="single" w:color="auto" w:sz="4" w:space="0"/>
                    <w:right w:val="single" w:color="auto" w:sz="4" w:space="0"/>
                  </w:tcBorders>
                  <w:vAlign w:val="center"/>
                </w:tcPr>
                <w:p>
                  <w:pPr>
                    <w:widowControl/>
                    <w:ind w:firstLine="482" w:firstLineChars="200"/>
                    <w:jc w:val="center"/>
                    <w:rPr>
                      <w:rFonts w:hint="eastAsia" w:ascii="仿宋_GB2312" w:hAnsi="宋体" w:eastAsia="仿宋_GB2312" w:cs="宋体"/>
                      <w:b/>
                      <w:kern w:val="0"/>
                      <w:sz w:val="24"/>
                      <w:szCs w:val="24"/>
                      <w:lang w:eastAsia="zh-CN"/>
                    </w:rPr>
                  </w:pPr>
                  <w:r>
                    <w:rPr>
                      <w:rFonts w:hint="eastAsia" w:ascii="仿宋_GB2312" w:hAnsi="宋体" w:eastAsia="仿宋_GB2312" w:cs="宋体"/>
                      <w:b/>
                      <w:kern w:val="0"/>
                      <w:sz w:val="24"/>
                      <w:szCs w:val="24"/>
                    </w:rPr>
                    <w:t>变化原因</w:t>
                  </w:r>
                  <w:r>
                    <w:rPr>
                      <w:rFonts w:hint="eastAsia" w:ascii="仿宋_GB2312" w:hAnsi="宋体" w:eastAsia="仿宋_GB2312" w:cs="宋体"/>
                      <w:b/>
                      <w:kern w:val="0"/>
                      <w:sz w:val="24"/>
                      <w:szCs w:val="24"/>
                      <w:lang w:eastAsia="zh-CN"/>
                    </w:rPr>
                    <w:t>：</w:t>
                  </w:r>
                  <w:bookmarkStart w:id="0" w:name="_GoBack"/>
                  <w:bookmarkEnd w:id="0"/>
                </w:p>
              </w:tc>
            </w:tr>
            <w:tr>
              <w:tblPrEx>
                <w:tblCellMar>
                  <w:top w:w="0" w:type="dxa"/>
                  <w:left w:w="108" w:type="dxa"/>
                  <w:bottom w:w="0" w:type="dxa"/>
                  <w:right w:w="108" w:type="dxa"/>
                </w:tblCellMar>
              </w:tblPrEx>
              <w:trPr>
                <w:trHeight w:val="48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097"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410" w:type="dxa"/>
                  <w:tcBorders>
                    <w:top w:val="nil"/>
                    <w:left w:val="nil"/>
                    <w:bottom w:val="single" w:color="auto" w:sz="4" w:space="0"/>
                    <w:right w:val="single" w:color="auto" w:sz="4" w:space="0"/>
                  </w:tcBorders>
                  <w:vAlign w:val="center"/>
                </w:tcPr>
                <w:p>
                  <w:pPr>
                    <w:widowControl/>
                    <w:ind w:firstLine="480" w:firstLineChars="20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tblPrEx>
                <w:tblCellMar>
                  <w:top w:w="0" w:type="dxa"/>
                  <w:left w:w="108" w:type="dxa"/>
                  <w:bottom w:w="0" w:type="dxa"/>
                  <w:right w:w="108" w:type="dxa"/>
                </w:tblCellMar>
              </w:tblPrEx>
              <w:trPr>
                <w:trHeight w:val="449" w:hRule="atLeast"/>
                <w:jc w:val="center"/>
              </w:trPr>
              <w:tc>
                <w:tcPr>
                  <w:tcW w:w="2163"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097"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410" w:type="dxa"/>
                  <w:tcBorders>
                    <w:top w:val="nil"/>
                    <w:left w:val="nil"/>
                    <w:bottom w:val="single" w:color="auto" w:sz="4" w:space="0"/>
                    <w:right w:val="single" w:color="auto" w:sz="4" w:space="0"/>
                  </w:tcBorders>
                  <w:vAlign w:val="center"/>
                </w:tcPr>
                <w:p>
                  <w:pPr>
                    <w:widowControl/>
                    <w:ind w:firstLine="480" w:firstLineChars="20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9</w:t>
                  </w:r>
                </w:p>
              </w:tc>
              <w:tc>
                <w:tcPr>
                  <w:tcW w:w="1418"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12</w:t>
                  </w:r>
                </w:p>
              </w:tc>
              <w:tc>
                <w:tcPr>
                  <w:tcW w:w="1097"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24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新增土地所划拨车辆</w:t>
                  </w:r>
                </w:p>
              </w:tc>
            </w:tr>
            <w:tr>
              <w:tblPrEx>
                <w:tblCellMar>
                  <w:top w:w="0" w:type="dxa"/>
                  <w:left w:w="108" w:type="dxa"/>
                  <w:bottom w:w="0" w:type="dxa"/>
                  <w:right w:w="108" w:type="dxa"/>
                </w:tblCellMar>
              </w:tblPrEx>
              <w:trPr>
                <w:trHeight w:val="40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6.3</w:t>
                  </w:r>
                </w:p>
              </w:tc>
              <w:tc>
                <w:tcPr>
                  <w:tcW w:w="1418"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6.3</w:t>
                  </w:r>
                </w:p>
              </w:tc>
              <w:tc>
                <w:tcPr>
                  <w:tcW w:w="1097"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410" w:type="dxa"/>
                  <w:tcBorders>
                    <w:top w:val="nil"/>
                    <w:left w:val="nil"/>
                    <w:bottom w:val="single" w:color="auto" w:sz="4" w:space="0"/>
                    <w:right w:val="single" w:color="auto" w:sz="4" w:space="0"/>
                  </w:tcBorders>
                  <w:vAlign w:val="center"/>
                </w:tcPr>
                <w:p>
                  <w:pPr>
                    <w:widowControl/>
                    <w:ind w:firstLine="480" w:firstLineChars="20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tblPrEx>
                <w:tblCellMar>
                  <w:top w:w="0" w:type="dxa"/>
                  <w:left w:w="108" w:type="dxa"/>
                  <w:bottom w:w="0" w:type="dxa"/>
                  <w:right w:w="108" w:type="dxa"/>
                </w:tblCellMar>
              </w:tblPrEx>
              <w:trPr>
                <w:trHeight w:val="450" w:hRule="atLeast"/>
                <w:jc w:val="center"/>
              </w:trPr>
              <w:tc>
                <w:tcPr>
                  <w:tcW w:w="2163" w:type="dxa"/>
                  <w:tcBorders>
                    <w:top w:val="nil"/>
                    <w:left w:val="single" w:color="auto" w:sz="4" w:space="0"/>
                    <w:bottom w:val="single" w:color="auto" w:sz="4" w:space="0"/>
                    <w:right w:val="single" w:color="auto" w:sz="4" w:space="0"/>
                  </w:tcBorders>
                  <w:vAlign w:val="center"/>
                </w:tcPr>
                <w:p>
                  <w:pPr>
                    <w:widowControl/>
                    <w:ind w:firstLine="480" w:firstLineChars="200"/>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15.3</w:t>
                  </w:r>
                </w:p>
              </w:tc>
              <w:tc>
                <w:tcPr>
                  <w:tcW w:w="1418"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18.3</w:t>
                  </w:r>
                </w:p>
              </w:tc>
              <w:tc>
                <w:tcPr>
                  <w:tcW w:w="1097" w:type="dxa"/>
                  <w:tcBorders>
                    <w:top w:val="nil"/>
                    <w:left w:val="nil"/>
                    <w:bottom w:val="single" w:color="auto" w:sz="4" w:space="0"/>
                    <w:right w:val="single" w:color="auto" w:sz="4" w:space="0"/>
                  </w:tcBorders>
                  <w:vAlign w:val="center"/>
                </w:tcPr>
                <w:p>
                  <w:pPr>
                    <w:widowControl/>
                    <w:ind w:firstLine="480" w:firstLineChars="200"/>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24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新增土地所划拨车辆</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276"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418"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1097"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c>
                <w:tcPr>
                  <w:tcW w:w="2410" w:type="dxa"/>
                  <w:tcBorders>
                    <w:top w:val="nil"/>
                    <w:left w:val="nil"/>
                    <w:bottom w:val="nil"/>
                    <w:right w:val="nil"/>
                  </w:tcBorders>
                  <w:vAlign w:val="center"/>
                </w:tcPr>
                <w:p>
                  <w:pPr>
                    <w:widowControl/>
                    <w:ind w:firstLine="480" w:firstLineChars="200"/>
                    <w:jc w:val="left"/>
                    <w:rPr>
                      <w:rFonts w:ascii="宋体" w:hAnsi="宋体" w:cs="宋体"/>
                      <w:kern w:val="0"/>
                      <w:sz w:val="24"/>
                      <w:szCs w:val="24"/>
                    </w:rPr>
                  </w:pPr>
                </w:p>
              </w:tc>
            </w:tr>
          </w:tbl>
          <w:p>
            <w:pPr>
              <w:widowControl/>
              <w:spacing w:line="520" w:lineRule="exact"/>
              <w:ind w:right="480" w:firstLine="480" w:firstLineChars="200"/>
              <w:rPr>
                <w:rFonts w:ascii="仿宋" w:hAnsi="仿宋" w:eastAsia="仿宋" w:cs="宋体"/>
                <w:kern w:val="0"/>
                <w:sz w:val="24"/>
                <w:szCs w:val="24"/>
              </w:rPr>
            </w:pPr>
          </w:p>
        </w:tc>
      </w:tr>
    </w:tbl>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第五部分：绩效预算信息</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一、总体绩效目标：</w:t>
      </w:r>
    </w:p>
    <w:p>
      <w:pPr>
        <w:ind w:left="283" w:leftChars="135" w:firstLine="643" w:firstLineChars="200"/>
        <w:rPr>
          <w:rFonts w:ascii="仿宋" w:hAnsi="仿宋" w:eastAsia="仿宋" w:cs="宋体"/>
          <w:sz w:val="32"/>
          <w:szCs w:val="32"/>
        </w:rPr>
      </w:pPr>
      <w:r>
        <w:rPr>
          <w:rFonts w:hint="eastAsia" w:ascii="仿宋" w:hAnsi="仿宋" w:eastAsia="仿宋" w:cs="宋体"/>
          <w:b/>
          <w:sz w:val="32"/>
          <w:szCs w:val="32"/>
        </w:rPr>
        <w:t>总体目标：</w:t>
      </w:r>
      <w:r>
        <w:rPr>
          <w:rFonts w:ascii="仿宋" w:hAnsi="仿宋" w:eastAsia="仿宋"/>
          <w:sz w:val="32"/>
          <w:szCs w:val="32"/>
        </w:rPr>
        <w:t>201</w:t>
      </w:r>
      <w:r>
        <w:rPr>
          <w:rFonts w:hint="eastAsia" w:ascii="仿宋" w:hAnsi="仿宋" w:eastAsia="仿宋"/>
          <w:sz w:val="32"/>
          <w:szCs w:val="32"/>
        </w:rPr>
        <w:t>9</w:t>
      </w:r>
      <w:r>
        <w:rPr>
          <w:rFonts w:hint="eastAsia" w:ascii="仿宋" w:hAnsi="仿宋" w:eastAsia="仿宋" w:cs="宋体"/>
          <w:sz w:val="32"/>
          <w:szCs w:val="32"/>
        </w:rPr>
        <w:t>年我镇将在区委、区政府的正确领导下，持续唱响</w:t>
      </w:r>
      <w:r>
        <w:rPr>
          <w:rFonts w:ascii="仿宋" w:hAnsi="仿宋" w:eastAsia="仿宋"/>
          <w:sz w:val="32"/>
          <w:szCs w:val="32"/>
        </w:rPr>
        <w:t>“</w:t>
      </w:r>
      <w:r>
        <w:rPr>
          <w:rFonts w:hint="eastAsia" w:ascii="仿宋" w:hAnsi="仿宋" w:eastAsia="仿宋" w:cs="宋体"/>
          <w:sz w:val="32"/>
          <w:szCs w:val="32"/>
        </w:rPr>
        <w:t>园区强镇、工业立镇、生态优镇、民生惠镇、实干兴镇</w:t>
      </w:r>
      <w:r>
        <w:rPr>
          <w:rFonts w:ascii="仿宋" w:hAnsi="仿宋" w:eastAsia="仿宋"/>
          <w:sz w:val="32"/>
          <w:szCs w:val="32"/>
        </w:rPr>
        <w:t>”</w:t>
      </w:r>
      <w:r>
        <w:rPr>
          <w:rFonts w:hint="eastAsia" w:ascii="仿宋" w:hAnsi="仿宋" w:eastAsia="仿宋" w:cs="宋体"/>
          <w:sz w:val="32"/>
          <w:szCs w:val="32"/>
        </w:rPr>
        <w:t>主旋律，突出</w:t>
      </w:r>
      <w:r>
        <w:rPr>
          <w:rFonts w:ascii="仿宋" w:hAnsi="仿宋" w:eastAsia="仿宋"/>
          <w:sz w:val="32"/>
          <w:szCs w:val="32"/>
        </w:rPr>
        <w:t>“</w:t>
      </w:r>
      <w:r>
        <w:rPr>
          <w:rFonts w:hint="eastAsia" w:ascii="仿宋" w:hAnsi="仿宋" w:eastAsia="仿宋" w:cs="宋体"/>
          <w:sz w:val="32"/>
          <w:szCs w:val="32"/>
        </w:rPr>
        <w:t>五抓</w:t>
      </w:r>
      <w:r>
        <w:rPr>
          <w:rFonts w:ascii="仿宋" w:hAnsi="仿宋" w:eastAsia="仿宋"/>
          <w:sz w:val="32"/>
          <w:szCs w:val="32"/>
        </w:rPr>
        <w:t>”</w:t>
      </w:r>
      <w:r>
        <w:rPr>
          <w:rFonts w:hint="eastAsia" w:ascii="仿宋" w:hAnsi="仿宋" w:eastAsia="仿宋" w:cs="宋体"/>
          <w:sz w:val="32"/>
          <w:szCs w:val="32"/>
        </w:rPr>
        <w:t>（园区发展抓服务、基层党建抓示范、民生工程抓升级、社会治理抓防范、环境建设抓生态），开创各项工作新局面，奋力谱写富裕、文明、实力大王店新篇章。</w:t>
      </w:r>
      <w:r>
        <w:rPr>
          <w:rFonts w:ascii="仿宋" w:hAnsi="仿宋" w:eastAsia="仿宋"/>
          <w:sz w:val="32"/>
          <w:szCs w:val="32"/>
        </w:rPr>
        <w:t xml:space="preserve"> </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二、部门职责及工作活动绩效目标指标</w:t>
      </w:r>
    </w:p>
    <w:p>
      <w:pPr>
        <w:pStyle w:val="11"/>
        <w:tabs>
          <w:tab w:val="left" w:pos="420"/>
          <w:tab w:val="left" w:pos="855"/>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jc w:val="left"/>
        <w:rPr>
          <w:rFonts w:ascii="仿宋" w:hAnsi="仿宋" w:eastAsia="仿宋" w:cs="宋体"/>
          <w:kern w:val="2"/>
          <w:sz w:val="32"/>
          <w:szCs w:val="32"/>
          <w:lang w:eastAsia="zh-CN"/>
        </w:rPr>
      </w:pPr>
      <w:r>
        <w:rPr>
          <w:rFonts w:ascii="仿宋" w:hAnsi="仿宋" w:eastAsia="仿宋" w:cs="宋体"/>
          <w:kern w:val="2"/>
          <w:sz w:val="32"/>
          <w:szCs w:val="32"/>
          <w:lang w:eastAsia="zh-CN"/>
        </w:rPr>
        <w:t>2019年大王店镇紧紧围绕全区中心工作和区委重要部署，按照建设“生产发展、生活宽裕、乡风文明、村容整洁、管理民主”的社会主义新农村的要求，着眼于全面推进农村的经济、政治、文化、社会和党的建设，履行促进经济发展、加强社会管理、提供公共服务和维护农村稳定四项职能。</w:t>
      </w:r>
    </w:p>
    <w:p>
      <w:pPr>
        <w:pStyle w:val="11"/>
        <w:tabs>
          <w:tab w:val="left" w:pos="420"/>
          <w:tab w:val="left" w:pos="855"/>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jc w:val="left"/>
        <w:rPr>
          <w:rFonts w:ascii="仿宋" w:hAnsi="仿宋" w:eastAsia="仿宋" w:cs="宋体"/>
          <w:kern w:val="2"/>
          <w:sz w:val="32"/>
          <w:szCs w:val="32"/>
          <w:lang w:eastAsia="zh-CN"/>
        </w:rPr>
      </w:pPr>
      <w:r>
        <w:rPr>
          <w:rFonts w:ascii="仿宋" w:hAnsi="仿宋" w:eastAsia="仿宋" w:cs="宋体"/>
          <w:kern w:val="2"/>
          <w:sz w:val="32"/>
          <w:szCs w:val="32"/>
          <w:lang w:eastAsia="zh-CN"/>
        </w:rPr>
        <w:t xml:space="preserve"> (一) 社会管理与服务</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基层政权和社区建设。建立健全基层群众自治组织，搞好服务保障，保障村级组织正常运转。矛盾纠纷排查率100%，化解率98%。</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搞好服务保障，为广大干部职工提供安全、快捷、细致、周到的工作环境；加强财务管理，确保资金安全，提高财政资金使用效益。改革共青团干部队伍模式，改革创新团的基层基础,充分发挥桥梁纽带作用,切实从严治团、改进作风。</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（二）水利水电项目建设管理与服务</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保障农村饮水安全。保障农村饮水问题得到解决。饮水质量得到保障。</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（三）农村文化建设</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公共服务工程推广。公共文化设施达标，机构和队伍健全，实现公共文化资源共享，形成城乡一体公共文化服务网络；公共文化产品生产和服务能力提高，基本公共文化服务标准化、均等化水平不断提高。组织文化及体育活动5次以上，文化资源共享，群众对基本公共文化服务满意度达90%以上。</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（四）政务管理</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综合事务管理。搞好服务保障，实施政府维修改造工程，为广大干部职工提供安全、快捷、细致、周到的工作环境；加强财务管理，确保资金安全，提高财政资金使用效益。保障纪检工作经费，确保纪检工作顺利开展。保障村级农村税费改革转移支付资金，确保28个村级组织正常运转。</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建立就业扶贫公益性岗位长效机制，聘用一批建档立卡人员为简单服务岗服务人员，通过就业扶贫带动建档立卡贫困人口增收脱贫。</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（五）环境污染综合防治</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大气污染防治。秸秆禁烧顺利开展，大气环境有所改善，资金社会效益明显。镇村两级做好夏秋两季禁烧及秸秆清运工作，加强大气污染防治，推动镇区环境空气质量改善</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（六）自然生态保护</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农村环境综合整治。切实保障村级护林员工作扎实开展，为村级护林员提供基本人身保障。聘用一批建档立卡人员为护林员，通过就业扶贫带动建档立卡贫困人口增收脱贫。补贴资金到位率达100%，贫困人口年收入增加。</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（七）安全生产综合管理</w:t>
      </w: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40" w:firstLineChars="200"/>
        <w:rPr>
          <w:rFonts w:ascii="仿宋" w:hAnsi="仿宋" w:eastAsia="仿宋" w:cs="宋体"/>
          <w:kern w:val="2"/>
          <w:sz w:val="32"/>
          <w:szCs w:val="32"/>
          <w:lang w:eastAsia="zh-CN"/>
        </w:rPr>
      </w:pPr>
      <w:r>
        <w:rPr>
          <w:rFonts w:ascii="仿宋" w:hAnsi="仿宋" w:eastAsia="仿宋" w:cs="宋体"/>
          <w:kern w:val="2"/>
          <w:sz w:val="32"/>
          <w:szCs w:val="32"/>
          <w:lang w:eastAsia="zh-CN"/>
        </w:rPr>
        <w:t>加强安全生产综合监督管理。加强基层安全生产保障能力的建设，确保满足安全生产工作的实际需要，进一步加大安全生产延生到基层，掌握全区的安全生产动态，确保全镇不出现安全生产事故。隐患排查率达100%。</w:t>
      </w:r>
    </w:p>
    <w:p>
      <w:pPr>
        <w:spacing w:line="360" w:lineRule="auto"/>
        <w:ind w:firstLine="643"/>
        <w:rPr>
          <w:rFonts w:ascii="仿宋" w:hAnsi="仿宋" w:eastAsia="仿宋"/>
          <w:b/>
          <w:sz w:val="32"/>
          <w:szCs w:val="32"/>
        </w:rPr>
      </w:pPr>
      <w:r>
        <w:rPr>
          <w:rFonts w:hint="eastAsia" w:ascii="仿宋" w:hAnsi="仿宋" w:eastAsia="仿宋"/>
          <w:b/>
          <w:sz w:val="32"/>
          <w:szCs w:val="32"/>
        </w:rPr>
        <w:t>三、工作保障措施</w:t>
      </w:r>
    </w:p>
    <w:p>
      <w:pPr>
        <w:spacing w:line="500" w:lineRule="exact"/>
        <w:ind w:firstLine="560"/>
        <w:rPr>
          <w:rFonts w:ascii="方正仿宋_GBK" w:eastAsia="方正仿宋_GBK"/>
          <w:sz w:val="28"/>
        </w:rPr>
      </w:pPr>
      <w:r>
        <w:rPr>
          <w:rFonts w:hint="eastAsia" w:ascii="方正仿宋_GBK" w:hAnsi="宋体" w:eastAsia="方正仿宋_GBK"/>
          <w:sz w:val="28"/>
        </w:rPr>
        <w:t>为充分履行我单位部门职责，达到上述绩效目标要求，并保证年度发展规划目标的顺利实现，本年度计划</w:t>
      </w:r>
      <w:r>
        <w:rPr>
          <w:rFonts w:ascii="方正仿宋_GBK" w:eastAsia="方正仿宋_GBK"/>
          <w:sz w:val="28"/>
        </w:rPr>
        <w:t>10</w:t>
      </w:r>
      <w:r>
        <w:rPr>
          <w:rFonts w:hint="eastAsia" w:ascii="方正仿宋_GBK" w:hAnsi="宋体" w:eastAsia="方正仿宋_GBK"/>
          <w:sz w:val="28"/>
        </w:rPr>
        <w:t>类项目，汇总如下：</w:t>
      </w:r>
    </w:p>
    <w:p>
      <w:pPr>
        <w:spacing w:line="500" w:lineRule="exact"/>
        <w:ind w:firstLine="560"/>
        <w:rPr>
          <w:rFonts w:ascii="方正仿宋_GBK" w:eastAsia="方正仿宋_GBK"/>
          <w:sz w:val="28"/>
        </w:rPr>
      </w:pPr>
      <w:r>
        <w:rPr>
          <w:rFonts w:ascii="方正仿宋_GBK" w:eastAsia="方正仿宋_GBK"/>
          <w:sz w:val="28"/>
        </w:rPr>
        <w:t>1</w:t>
      </w:r>
      <w:r>
        <w:rPr>
          <w:rFonts w:hint="eastAsia" w:ascii="方正仿宋_GBK" w:hAnsi="宋体" w:eastAsia="方正仿宋_GBK"/>
          <w:sz w:val="28"/>
        </w:rPr>
        <w:t>、开展维稳工作：实行联合办公，整合维护稳定工作力量；实行联合排查，畅通矛盾纠纷信息渠道；实行联合调解，形成工作合力妥善处结。要有足额工作经费保障全乡维稳工作的正常运转。</w:t>
      </w:r>
    </w:p>
    <w:p>
      <w:pPr>
        <w:spacing w:line="500" w:lineRule="exact"/>
        <w:ind w:firstLine="560"/>
        <w:rPr>
          <w:rFonts w:ascii="方正仿宋_GBK" w:eastAsia="方正仿宋_GBK"/>
          <w:sz w:val="28"/>
        </w:rPr>
      </w:pPr>
      <w:r>
        <w:rPr>
          <w:rFonts w:ascii="方正仿宋_GBK" w:eastAsia="方正仿宋_GBK"/>
          <w:sz w:val="28"/>
        </w:rPr>
        <w:t>2</w:t>
      </w:r>
      <w:r>
        <w:rPr>
          <w:rFonts w:hint="eastAsia" w:ascii="方正仿宋_GBK" w:hAnsi="宋体" w:eastAsia="方正仿宋_GBK"/>
          <w:sz w:val="28"/>
        </w:rPr>
        <w:t>、政府机关运行维护工作：机关内部房屋、锅炉、锅炉管道等进行日常维护、修缮，临时工工资，以及院内绿化种植，确保机关大院内部正常运转。</w:t>
      </w:r>
    </w:p>
    <w:p>
      <w:pPr>
        <w:spacing w:line="500" w:lineRule="exact"/>
        <w:ind w:firstLine="560"/>
        <w:rPr>
          <w:rFonts w:ascii="方正仿宋_GBK" w:eastAsia="方正仿宋_GBK"/>
          <w:sz w:val="28"/>
        </w:rPr>
      </w:pPr>
      <w:r>
        <w:rPr>
          <w:rFonts w:ascii="方正仿宋_GBK" w:eastAsia="方正仿宋_GBK"/>
          <w:sz w:val="28"/>
        </w:rPr>
        <w:t>3</w:t>
      </w:r>
      <w:r>
        <w:rPr>
          <w:rFonts w:hint="eastAsia" w:ascii="方正仿宋_GBK" w:hAnsi="宋体" w:eastAsia="方正仿宋_GBK"/>
          <w:sz w:val="28"/>
        </w:rPr>
        <w:t>、大气污染综合防治工作：落实工作责任，采取多种有效措施进行大气污染防治，强化部门配合，严格奖惩制度，禁烧期间，将派出工作人员进行督查。严格落实环境保政策，清理本乡村内环境卫生，亮化美化村容村貌，提升村形像。</w:t>
      </w:r>
    </w:p>
    <w:p>
      <w:pPr>
        <w:spacing w:line="500" w:lineRule="exact"/>
        <w:ind w:firstLine="560"/>
        <w:rPr>
          <w:rFonts w:ascii="方正仿宋_GBK" w:eastAsia="方正仿宋_GBK"/>
          <w:sz w:val="28"/>
        </w:rPr>
      </w:pPr>
      <w:r>
        <w:rPr>
          <w:rFonts w:ascii="方正仿宋_GBK" w:eastAsia="方正仿宋_GBK"/>
          <w:sz w:val="28"/>
        </w:rPr>
        <w:t>4</w:t>
      </w:r>
      <w:r>
        <w:rPr>
          <w:rFonts w:hint="eastAsia" w:ascii="方正仿宋_GBK" w:hAnsi="宋体" w:eastAsia="方正仿宋_GBK"/>
          <w:sz w:val="28"/>
        </w:rPr>
        <w:t>、纪检工作：支持配合纪检工作</w:t>
      </w:r>
      <w:r>
        <w:rPr>
          <w:rFonts w:ascii="方正仿宋_GBK" w:eastAsia="方正仿宋_GBK"/>
          <w:sz w:val="28"/>
        </w:rPr>
        <w:t xml:space="preserve"> </w:t>
      </w:r>
      <w:r>
        <w:rPr>
          <w:rFonts w:hint="eastAsia" w:ascii="方正仿宋_GBK" w:hAnsi="宋体" w:eastAsia="方正仿宋_GBK"/>
          <w:sz w:val="28"/>
        </w:rPr>
        <w:t>，严格落实纪检人员补助及相关的经费保障。</w:t>
      </w:r>
    </w:p>
    <w:p>
      <w:pPr>
        <w:spacing w:line="500" w:lineRule="exact"/>
        <w:ind w:firstLine="560"/>
        <w:rPr>
          <w:rFonts w:ascii="方正仿宋_GBK" w:eastAsia="方正仿宋_GBK"/>
          <w:sz w:val="28"/>
        </w:rPr>
      </w:pPr>
      <w:r>
        <w:rPr>
          <w:rFonts w:ascii="方正仿宋_GBK" w:eastAsia="方正仿宋_GBK"/>
          <w:sz w:val="28"/>
        </w:rPr>
        <w:t>5</w:t>
      </w:r>
      <w:r>
        <w:rPr>
          <w:rFonts w:hint="eastAsia" w:ascii="方正仿宋_GBK" w:hAnsi="宋体" w:eastAsia="方正仿宋_GBK"/>
          <w:sz w:val="28"/>
        </w:rPr>
        <w:t>、村级组织活动及党组织活动及服务群众专项工作。用于村级组织及党组织日常活动开展。保障村服务日常运转，提升基层服务质量。</w:t>
      </w:r>
    </w:p>
    <w:p>
      <w:pPr>
        <w:spacing w:line="500" w:lineRule="exact"/>
        <w:ind w:firstLine="560"/>
        <w:rPr>
          <w:rFonts w:ascii="方正仿宋_GBK" w:eastAsia="方正仿宋_GBK"/>
          <w:sz w:val="28"/>
        </w:rPr>
      </w:pPr>
      <w:r>
        <w:rPr>
          <w:rFonts w:ascii="方正仿宋_GBK" w:eastAsia="方正仿宋_GBK"/>
          <w:sz w:val="28"/>
        </w:rPr>
        <w:t>6</w:t>
      </w:r>
      <w:r>
        <w:rPr>
          <w:rFonts w:hint="eastAsia" w:ascii="方正仿宋_GBK" w:hAnsi="宋体" w:eastAsia="方正仿宋_GBK"/>
          <w:sz w:val="28"/>
        </w:rPr>
        <w:t>、扶贫项目工作及三员补贴项目工作：确保资金发放，提高群众满意度，增加贫困人口年收入。</w:t>
      </w:r>
    </w:p>
    <w:p>
      <w:pPr>
        <w:spacing w:line="500" w:lineRule="exact"/>
        <w:ind w:firstLine="560"/>
        <w:rPr>
          <w:rFonts w:ascii="方正仿宋_GBK" w:eastAsia="方正仿宋_GBK"/>
          <w:sz w:val="28"/>
        </w:rPr>
      </w:pPr>
      <w:r>
        <w:rPr>
          <w:rFonts w:ascii="方正仿宋_GBK" w:eastAsia="方正仿宋_GBK"/>
          <w:sz w:val="28"/>
        </w:rPr>
        <w:t>7</w:t>
      </w:r>
      <w:r>
        <w:rPr>
          <w:rFonts w:hint="eastAsia" w:ascii="方正仿宋_GBK" w:hAnsi="宋体" w:eastAsia="方正仿宋_GBK"/>
          <w:sz w:val="28"/>
        </w:rPr>
        <w:t>、农村文化服务体系建设工作：公共文化设施达标，机构和队伍健全，实现公共文化资源共享，形成城乡一体公共文化服务网络；公共文化产品生产和服务能力提高，基本公共文化服务标准化、均等化水平不断提高。</w:t>
      </w:r>
    </w:p>
    <w:p>
      <w:pPr>
        <w:spacing w:line="500" w:lineRule="exact"/>
        <w:ind w:firstLine="560"/>
        <w:rPr>
          <w:rFonts w:ascii="方正仿宋_GBK" w:eastAsia="方正仿宋_GBK"/>
          <w:sz w:val="28"/>
        </w:rPr>
      </w:pPr>
      <w:r>
        <w:rPr>
          <w:rFonts w:ascii="方正仿宋_GBK" w:eastAsia="方正仿宋_GBK"/>
          <w:sz w:val="28"/>
        </w:rPr>
        <w:t>8</w:t>
      </w:r>
      <w:r>
        <w:rPr>
          <w:rFonts w:hint="eastAsia" w:ascii="方正仿宋_GBK" w:hAnsi="宋体" w:eastAsia="方正仿宋_GBK"/>
          <w:sz w:val="28"/>
        </w:rPr>
        <w:t>、东黑山饮水安全工程项目质保金及镇政府吃水井项目。保障东黑山村民的饮水安全问题及质量问题。保障镇政府干部吃水井的安全问题及质量问题。</w:t>
      </w:r>
    </w:p>
    <w:p>
      <w:pPr>
        <w:spacing w:line="500" w:lineRule="exact"/>
        <w:ind w:firstLine="560"/>
        <w:rPr>
          <w:rFonts w:ascii="方正仿宋_GBK" w:eastAsia="方正仿宋_GBK"/>
          <w:sz w:val="28"/>
        </w:rPr>
      </w:pPr>
      <w:r>
        <w:rPr>
          <w:rFonts w:ascii="方正仿宋_GBK" w:eastAsia="方正仿宋_GBK"/>
          <w:sz w:val="28"/>
        </w:rPr>
        <w:t>9</w:t>
      </w:r>
      <w:r>
        <w:rPr>
          <w:rFonts w:hint="eastAsia" w:ascii="方正仿宋_GBK" w:hAnsi="宋体" w:eastAsia="方正仿宋_GBK"/>
          <w:sz w:val="28"/>
        </w:rPr>
        <w:t>、安全生产信息员及地震群测群防岗位津贴项目。加强基层安全生产保障能力的建设，确保满足安全生产工作的实际需要，进一步加大安全生产延生到基层，掌握全区的安全生产动态，确保全镇不出现安全生产事故。实现城乡地震安全建设常态化，提高防震减变宣传意识，提升社会公众防震避险意识及技能。</w:t>
      </w:r>
    </w:p>
    <w:p>
      <w:pPr>
        <w:spacing w:line="500" w:lineRule="exact"/>
        <w:ind w:firstLine="560"/>
        <w:rPr>
          <w:rFonts w:ascii="方正仿宋_GBK" w:eastAsia="方正仿宋_GBK"/>
          <w:sz w:val="28"/>
        </w:rPr>
      </w:pPr>
      <w:r>
        <w:rPr>
          <w:rFonts w:ascii="方正仿宋_GBK" w:eastAsia="方正仿宋_GBK"/>
          <w:sz w:val="28"/>
        </w:rPr>
        <w:t>10</w:t>
      </w:r>
      <w:r>
        <w:rPr>
          <w:rFonts w:hint="eastAsia" w:ascii="方正仿宋_GBK" w:hAnsi="宋体" w:eastAsia="方正仿宋_GBK"/>
          <w:sz w:val="28"/>
        </w:rPr>
        <w:t>、农村公路养护项目。加强道路养护管理，提高居民出行环境。</w:t>
      </w:r>
    </w:p>
    <w:p>
      <w:pPr>
        <w:ind w:firstLine="643"/>
      </w:pPr>
    </w:p>
    <w:p>
      <w:pPr>
        <w:ind w:firstLine="643"/>
      </w:pPr>
    </w:p>
    <w:p>
      <w:pPr>
        <w:spacing w:line="360" w:lineRule="auto"/>
        <w:ind w:firstLine="643"/>
        <w:rPr>
          <w:rFonts w:ascii="仿宋" w:hAnsi="仿宋" w:eastAsia="仿宋"/>
          <w:b/>
          <w:sz w:val="32"/>
          <w:szCs w:val="32"/>
        </w:rPr>
      </w:pPr>
      <w:r>
        <w:rPr>
          <w:rFonts w:hint="eastAsia" w:ascii="仿宋" w:hAnsi="仿宋" w:eastAsia="仿宋"/>
          <w:b/>
          <w:sz w:val="32"/>
          <w:szCs w:val="32"/>
        </w:rPr>
        <w:t>四、部门职责</w:t>
      </w:r>
      <w:r>
        <w:rPr>
          <w:rFonts w:ascii="仿宋" w:hAnsi="仿宋" w:eastAsia="仿宋"/>
          <w:b/>
          <w:sz w:val="32"/>
          <w:szCs w:val="32"/>
        </w:rPr>
        <w:t>-工作活动绩效目标</w:t>
      </w:r>
    </w:p>
    <w:tbl>
      <w:tblPr>
        <w:tblStyle w:val="5"/>
        <w:tblW w:w="1393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341"/>
        <w:gridCol w:w="1276"/>
        <w:gridCol w:w="2976"/>
        <w:gridCol w:w="2976"/>
        <w:gridCol w:w="1417"/>
        <w:gridCol w:w="737"/>
        <w:gridCol w:w="737"/>
        <w:gridCol w:w="737"/>
        <w:gridCol w:w="7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10986"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908</w:t>
            </w:r>
            <w:r>
              <w:rPr>
                <w:rFonts w:hint="eastAsia" w:ascii="方正小标宋_GBK" w:eastAsia="方正小标宋_GBK"/>
                <w:sz w:val="24"/>
              </w:rPr>
              <w:t>保定市徐水区大王店镇人民政府</w:t>
            </w:r>
          </w:p>
        </w:tc>
        <w:tc>
          <w:tcPr>
            <w:tcW w:w="2948"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sz w:val="24"/>
              </w:rPr>
            </w:pPr>
            <w:r>
              <w:rPr>
                <w:rFonts w:hint="eastAsia" w:ascii="方正书宋_GBK" w:eastAsia="方正书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234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职责活动</w:t>
            </w:r>
          </w:p>
        </w:tc>
        <w:tc>
          <w:tcPr>
            <w:tcW w:w="12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年度预算数</w:t>
            </w:r>
          </w:p>
        </w:tc>
        <w:tc>
          <w:tcPr>
            <w:tcW w:w="29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内容描述</w:t>
            </w:r>
          </w:p>
        </w:tc>
        <w:tc>
          <w:tcPr>
            <w:tcW w:w="29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41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w:t>
            </w:r>
          </w:p>
        </w:tc>
        <w:tc>
          <w:tcPr>
            <w:tcW w:w="2948"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评价标准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2341" w:type="dxa"/>
            <w:vMerge w:val="continue"/>
            <w:shd w:val="clear" w:color="auto" w:fill="auto"/>
            <w:vAlign w:val="center"/>
          </w:tcPr>
          <w:p>
            <w:pPr>
              <w:spacing w:line="300" w:lineRule="exact"/>
              <w:jc w:val="left"/>
              <w:outlineLvl w:val="0"/>
            </w:pPr>
          </w:p>
        </w:tc>
        <w:tc>
          <w:tcPr>
            <w:tcW w:w="1276" w:type="dxa"/>
            <w:vMerge w:val="continue"/>
            <w:shd w:val="clear" w:color="auto" w:fill="auto"/>
            <w:vAlign w:val="center"/>
          </w:tcPr>
          <w:p>
            <w:pPr>
              <w:spacing w:line="300" w:lineRule="exact"/>
              <w:jc w:val="left"/>
              <w:outlineLvl w:val="0"/>
            </w:pPr>
          </w:p>
        </w:tc>
        <w:tc>
          <w:tcPr>
            <w:tcW w:w="2976" w:type="dxa"/>
            <w:vMerge w:val="continue"/>
            <w:shd w:val="clear" w:color="auto" w:fill="auto"/>
            <w:vAlign w:val="center"/>
          </w:tcPr>
          <w:p>
            <w:pPr>
              <w:spacing w:line="300" w:lineRule="exact"/>
              <w:jc w:val="left"/>
              <w:outlineLvl w:val="0"/>
            </w:pPr>
          </w:p>
        </w:tc>
        <w:tc>
          <w:tcPr>
            <w:tcW w:w="2976" w:type="dxa"/>
            <w:vMerge w:val="continue"/>
            <w:shd w:val="clear" w:color="auto" w:fill="auto"/>
            <w:vAlign w:val="center"/>
          </w:tcPr>
          <w:p>
            <w:pPr>
              <w:spacing w:line="300" w:lineRule="exact"/>
              <w:jc w:val="left"/>
              <w:outlineLvl w:val="0"/>
            </w:pPr>
          </w:p>
        </w:tc>
        <w:tc>
          <w:tcPr>
            <w:tcW w:w="1417" w:type="dxa"/>
            <w:vMerge w:val="continue"/>
            <w:shd w:val="clear" w:color="auto" w:fill="auto"/>
            <w:vAlign w:val="center"/>
          </w:tcPr>
          <w:p>
            <w:pPr>
              <w:spacing w:line="300" w:lineRule="exact"/>
              <w:jc w:val="left"/>
              <w:outlineLvl w:val="0"/>
            </w:pP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优</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良</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中</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一、选举和任免</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检查监督代表法、选举法及其实施办法的贯彻实施；承担人大换届选举及人事任免服务工作；负责对乡镇政府组成人员和乡镇人民法院主要负责人的目标责任书、述职报告的督办工作。</w:t>
            </w:r>
          </w:p>
        </w:tc>
        <w:tc>
          <w:tcPr>
            <w:tcW w:w="2976" w:type="dxa"/>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、确保有关选举的法律法规符合实际，在充分考察调研的基础上，实施对其进行修改。</w:t>
            </w:r>
            <w:r>
              <w:rPr>
                <w:rFonts w:ascii="方正书宋_GBK" w:eastAsia="方正书宋_GBK"/>
              </w:rPr>
              <w:t>2</w:t>
            </w:r>
            <w:r>
              <w:rPr>
                <w:rFonts w:hint="eastAsia" w:ascii="方正书宋_GBK" w:eastAsia="方正书宋_GBK"/>
              </w:rPr>
              <w:t>、对乡镇政府组成人员和乡镇人民法院主要负责人进行目标责任监督，确保依法履行职责，完成目标任务。</w:t>
            </w:r>
          </w:p>
        </w:tc>
        <w:tc>
          <w:tcPr>
            <w:tcW w:w="1417" w:type="dxa"/>
            <w:shd w:val="clear" w:color="auto" w:fill="auto"/>
            <w:vAlign w:val="center"/>
          </w:tcPr>
          <w:p>
            <w:pPr>
              <w:spacing w:line="300" w:lineRule="exact"/>
              <w:jc w:val="left"/>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、换届选举及人事任免</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承担乡镇人大换届选举、乡镇区领导人的选举和常委会人事任免的服务工作；指导乡镇人大换届选举工作；负责对乡镇政府组成人员和乡镇人民法院主要负责人的目标责任书、述职报告的督办工作。</w:t>
            </w:r>
          </w:p>
        </w:tc>
        <w:tc>
          <w:tcPr>
            <w:tcW w:w="2976"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确保乡镇人大换届选举工作顺利完成，提高组织换届选举工作水平；高质量完成乡镇领导人选举和常委会人事任免服务工作；高效督办有关部门负责人的目标责任书和述职报告。</w:t>
            </w:r>
          </w:p>
        </w:tc>
        <w:tc>
          <w:tcPr>
            <w:tcW w:w="1417"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换届选举工作完成率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政治任务实现率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二、民族宗教事务管理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贯彻执行宣传国家关于宗教工作的方针政策，监督检查宗教活动场所，创建和谐寺观教堂，培训宗教工作干部，对困难宗教教职人员进行补助，监控、制止天主教地下分子的非法活动。开展民族宗教政策和法制宣传教育工作，协助处理民族宗教方面的维稳问题促进民族宗教团结、稳定，妥善处置宗教突发事件、维护宗教界和谐稳定。</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加强宗教事务管理工作，加强其他民族宗教综合性事务管理工作。</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、民族宗教综合治理</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民族宗教的法制宣传和团结教育，团结和动员广大信教群众为改革开放和经济建设服务。协助处理民族宗教方面的维稳问题。进行清真食品检查；处理其他不可预见的民族宗教问题。对地下主教、神甫及其骨干分子进行监控、反渗透，巩固爱国人员的领导地位。</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加大补助力度，增强反渗透能力。不断提高民族宗教法律政策宣传覆盖率</w:t>
            </w:r>
            <w:r>
              <w:rPr>
                <w:rFonts w:ascii="方正书宋_GBK" w:eastAsia="方正书宋_GBK"/>
              </w:rPr>
              <w:t>,</w:t>
            </w:r>
            <w:r>
              <w:rPr>
                <w:rFonts w:hint="eastAsia" w:ascii="方正书宋_GBK" w:eastAsia="方正书宋_GBK"/>
              </w:rPr>
              <w:t>加大宣传教育力度</w:t>
            </w:r>
            <w:r>
              <w:rPr>
                <w:rFonts w:ascii="方正书宋_GBK" w:eastAsia="方正书宋_GBK"/>
              </w:rPr>
              <w:t>;</w:t>
            </w:r>
            <w:r>
              <w:rPr>
                <w:rFonts w:hint="eastAsia" w:ascii="方正书宋_GBK" w:eastAsia="方正书宋_GBK"/>
              </w:rPr>
              <w:t>妥善协助解决突发事件</w:t>
            </w:r>
            <w:r>
              <w:rPr>
                <w:rFonts w:ascii="方正书宋_GBK" w:eastAsia="方正书宋_GBK"/>
              </w:rPr>
              <w:t>;</w:t>
            </w:r>
            <w:r>
              <w:rPr>
                <w:rFonts w:hint="eastAsia" w:ascii="方正书宋_GBK" w:eastAsia="方正书宋_GBK"/>
              </w:rPr>
              <w:t>提高清真食品检查效率</w:t>
            </w:r>
            <w:r>
              <w:rPr>
                <w:rFonts w:ascii="方正书宋_GBK" w:eastAsia="方正书宋_GBK"/>
              </w:rPr>
              <w:t>,</w:t>
            </w:r>
            <w:r>
              <w:rPr>
                <w:rFonts w:hint="eastAsia" w:ascii="方正书宋_GBK" w:eastAsia="方正书宋_GBK"/>
              </w:rPr>
              <w:t>及时解决其他民族宗教问题。</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维稳突出问题解决率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天主教神职人员补助覆盖率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三、政法综治稳定和国家安全</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ascii="方正书宋_GBK" w:eastAsia="方正书宋_GBK"/>
              </w:rPr>
              <w:t>1</w:t>
            </w:r>
            <w:r>
              <w:rPr>
                <w:rFonts w:hint="eastAsia" w:ascii="方正书宋_GBK" w:eastAsia="方正书宋_GBK"/>
              </w:rPr>
              <w:t>、贯彻实施国家安全战略，推进国家安全法制建设，贯彻落实国家安全工作方针，研究解决涉及国家安全工作的重大问题。</w:t>
            </w:r>
            <w:r>
              <w:rPr>
                <w:rFonts w:ascii="方正书宋_GBK" w:eastAsia="方正书宋_GBK"/>
              </w:rPr>
              <w:t>2</w:t>
            </w:r>
            <w:r>
              <w:rPr>
                <w:rFonts w:hint="eastAsia" w:ascii="方正书宋_GBK" w:eastAsia="方正书宋_GBK"/>
              </w:rPr>
              <w:t>、推进社会治安综合治理，维护社会稳定，有效地维护本乡镇的可持续稳定。同时抓好全民普法工作，推进依法治理。</w:t>
            </w:r>
            <w:r>
              <w:rPr>
                <w:rFonts w:ascii="方正书宋_GBK" w:eastAsia="方正书宋_GBK"/>
              </w:rPr>
              <w:t>3</w:t>
            </w:r>
            <w:r>
              <w:rPr>
                <w:rFonts w:hint="eastAsia" w:ascii="方正书宋_GBK" w:eastAsia="方正书宋_GBK"/>
              </w:rPr>
              <w:t>、加强政法队伍建设和领导班子建设。</w:t>
            </w:r>
            <w:r>
              <w:rPr>
                <w:rFonts w:ascii="方正书宋_GBK" w:eastAsia="方正书宋_GBK"/>
              </w:rPr>
              <w:t>4</w:t>
            </w:r>
            <w:r>
              <w:rPr>
                <w:rFonts w:hint="eastAsia" w:ascii="方正书宋_GBK" w:eastAsia="方正书宋_GBK"/>
              </w:rPr>
              <w:t>、受理并查处涉法信访案件工作，促进司法公正。</w:t>
            </w:r>
            <w:r>
              <w:rPr>
                <w:rFonts w:ascii="方正书宋_GBK" w:eastAsia="方正书宋_GBK"/>
              </w:rPr>
              <w:t>5</w:t>
            </w:r>
            <w:r>
              <w:rPr>
                <w:rFonts w:hint="eastAsia" w:ascii="方正书宋_GBK" w:eastAsia="方正书宋_GBK"/>
              </w:rPr>
              <w:t>、坚持社会治安综合治理属地管理原则，抓好目标管理责任制、领导责任制、责任追究和一票否决权等</w:t>
            </w:r>
            <w:r>
              <w:rPr>
                <w:rFonts w:ascii="方正书宋_GBK" w:eastAsia="方正书宋_GBK"/>
              </w:rPr>
              <w:t xml:space="preserve"> </w:t>
            </w:r>
            <w:r>
              <w:rPr>
                <w:rFonts w:hint="eastAsia" w:ascii="方正书宋_GBK" w:eastAsia="方正书宋_GBK"/>
              </w:rPr>
              <w:t>制度的落实，抓好中小学校的社会治安综合治理和所辖乡镇铁路治安联防护路等工作。</w:t>
            </w:r>
            <w:r>
              <w:rPr>
                <w:rFonts w:ascii="方正书宋_GBK" w:eastAsia="方正书宋_GBK"/>
              </w:rPr>
              <w:t>6</w:t>
            </w:r>
            <w:r>
              <w:rPr>
                <w:rFonts w:hint="eastAsia" w:ascii="方正书宋_GBK" w:eastAsia="方正书宋_GBK"/>
              </w:rPr>
              <w:t>、依法打击并取缔各种非法宗教活动。</w:t>
            </w:r>
            <w:r>
              <w:rPr>
                <w:rFonts w:ascii="方正书宋_GBK" w:eastAsia="方正书宋_GBK"/>
              </w:rPr>
              <w:t>7</w:t>
            </w:r>
            <w:r>
              <w:rPr>
                <w:rFonts w:hint="eastAsia" w:ascii="方正书宋_GBK" w:eastAsia="方正书宋_GBK"/>
              </w:rPr>
              <w:t>、矛</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抓好乡镇政法综治稳定工作，预防减少不稳定因素的发生，有效化解不稳定隐患、群体性事件和突发事件，维护国家安全工作。</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、协调维护社会稳定和国家安全</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排查、化解影响社会稳定的重大不稳定隐患、群体性事件和突发事件及影响国家安全的事件。</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预防减少不稳定因素的发生，有效化解不稳定隐患、群体性事件和突发事件，维护国家安全工作。</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协调督导事项化解率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安保活动圆满完成情况</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、涉法涉诉信访工作</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认真做好群众来信来访工作，特别是涉及政法各部门的案件，信件，要及时准确的做好解释疏导工作，并转办（交办）政法各部限期办理或督导检查落实情况，维护群众利益诉求。</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强化接访中心建设，切实提高接访中心吸附力。积极推进涉法涉诉信访工作改革，把涉法涉诉信访问题的解决导入法治轨道。</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办结率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完成较好</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基本完成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未完成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3</w:t>
            </w:r>
            <w:r>
              <w:rPr>
                <w:rFonts w:hint="eastAsia" w:ascii="方正书宋_GBK" w:eastAsia="方正书宋_GBK"/>
                <w:b/>
              </w:rPr>
              <w:t>、矛盾纠纷排查化解</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完善矛盾纠纷排查机制，对乡镇内矛盾纠纷随时排查及时化解，做到小事不出村，大事不出镇，把矛盾化解在基层、化解在萌芽状态。</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矛盾纠纷排查率</w:t>
            </w:r>
            <w:r>
              <w:rPr>
                <w:rFonts w:ascii="方正书宋_GBK" w:eastAsia="方正书宋_GBK"/>
              </w:rPr>
              <w:t>100%</w:t>
            </w:r>
            <w:r>
              <w:rPr>
                <w:rFonts w:hint="eastAsia" w:ascii="方正书宋_GBK" w:eastAsia="方正书宋_GBK"/>
              </w:rPr>
              <w:t>，化解率</w:t>
            </w:r>
            <w:r>
              <w:rPr>
                <w:rFonts w:ascii="方正书宋_GBK" w:eastAsia="方正书宋_GBK"/>
              </w:rPr>
              <w:t>98%</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排查率、化解率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完成较好</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基本完成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未完成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4</w:t>
            </w:r>
            <w:r>
              <w:rPr>
                <w:rFonts w:hint="eastAsia" w:ascii="方正书宋_GBK" w:eastAsia="方正书宋_GBK"/>
                <w:b/>
              </w:rPr>
              <w:t>、铁路护路联防工作</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组织开展好全国两会及其他重要时期铁路护路联防工作，维护好铁路的安全运行，保障铁路运输安全。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保障铁路运输安全</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保障安全畅通</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完成较好</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基本完成</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未完成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四、社会管理与服务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309.74</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组织指导基层政权和社区建设；推进社会工作人员队伍建设</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推进乡镇社会组织健康发展，优化行政区划空间布局，建立健全城乡基层群众自治组织，逐步实现社会工作者专业化、职业化。</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、基层政权和社区建设</w:t>
            </w:r>
          </w:p>
        </w:tc>
        <w:tc>
          <w:tcPr>
            <w:tcW w:w="1276" w:type="dxa"/>
            <w:vMerge w:val="restart"/>
            <w:shd w:val="clear" w:color="auto" w:fill="auto"/>
            <w:vAlign w:val="center"/>
          </w:tcPr>
          <w:p>
            <w:pPr>
              <w:spacing w:line="300" w:lineRule="exact"/>
              <w:jc w:val="left"/>
              <w:rPr>
                <w:rFonts w:ascii="方正书宋_GBK" w:eastAsia="方正书宋_GBK"/>
              </w:rPr>
            </w:pPr>
            <w:r>
              <w:rPr>
                <w:rFonts w:ascii="方正书宋_GBK" w:eastAsia="方正书宋_GBK"/>
              </w:rPr>
              <w:t>309.74</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组织指导乡镇、街道办事处和基层群众自治组织、社区干部培训；指导村（居）民委员会民主选举、民主决策、民主管理和民主监督，村（居）务公开；指导城乡社区建设及服务管理工作。</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建立健全城乡基层群众自治组织，在村（居）民委员会实行</w:t>
            </w:r>
            <w:r>
              <w:rPr>
                <w:rFonts w:hint="cs" w:ascii="方正书宋_GBK" w:eastAsia="方正书宋_GBK"/>
              </w:rPr>
              <w:t>“</w:t>
            </w:r>
            <w:r>
              <w:rPr>
                <w:rFonts w:hint="eastAsia" w:ascii="方正书宋_GBK" w:eastAsia="方正书宋_GBK"/>
              </w:rPr>
              <w:t>四个民主</w:t>
            </w:r>
            <w:r>
              <w:rPr>
                <w:rFonts w:hint="cs" w:ascii="方正书宋_GBK" w:eastAsia="方正书宋_GBK"/>
              </w:rPr>
              <w:t>”</w:t>
            </w:r>
            <w:r>
              <w:rPr>
                <w:rFonts w:hint="eastAsia" w:ascii="方正书宋_GBK" w:eastAsia="方正书宋_GBK"/>
              </w:rPr>
              <w:t>；按照</w:t>
            </w:r>
            <w:r>
              <w:rPr>
                <w:rFonts w:hint="cs" w:ascii="方正书宋_GBK" w:eastAsia="方正书宋_GBK"/>
              </w:rPr>
              <w:t>“</w:t>
            </w:r>
            <w:r>
              <w:rPr>
                <w:rFonts w:hint="eastAsia" w:ascii="方正书宋_GBK" w:eastAsia="方正书宋_GBK"/>
              </w:rPr>
              <w:t>四有一创</w:t>
            </w:r>
            <w:r>
              <w:rPr>
                <w:rFonts w:hint="cs" w:ascii="方正书宋_GBK" w:eastAsia="方正书宋_GBK"/>
              </w:rPr>
              <w:t>”</w:t>
            </w:r>
            <w:r>
              <w:rPr>
                <w:rFonts w:hint="eastAsia" w:ascii="方正书宋_GBK" w:eastAsia="方正书宋_GBK"/>
              </w:rPr>
              <w:t>标准开展城市社区建设，按照农村社区建设实验全覆盖创建标准开展农村社区建设。</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开展农村社区建设的建制村到达全国平均水平</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41.53%</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40.53%</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39.53%</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39.53%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村民委员会换届选举率达到或超过上届水平。</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99.8%</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99.6%</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99.4%</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99.4%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社区综合设施覆盖率达到全国平均水平</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77.4%</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76.4%</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75.4%</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五、政府专项工作服务与管理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政府采购、农村综合改革、政府债务、综合治税、政府购买服务、规范津补贴等政府专项工作的服务与管理。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各专项工作依法规范管理，政策制度健全，执行程序规范，管控有力有效，各项政策落实，各项服务到位，业务风险有效控制，资金分配规范合理，经费使用节约。</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、政府债务管理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加强政府债券管理和土储融资审核；编制月季年报并上报分析材料；实施风险预警及专项检查与监督。</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有效发挥政府规范举债的积极作用，规范政府债务管理，防范政府债务风险</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乡镇债务风险警戒值</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全部低于财政部风险警戒标准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总体风险低于警戒标准，单项指标被风险预警</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总体风险低于警戒标准，两个单项指标被风险预警</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三个单项指标被风险预警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六、水利水电项目建设与管理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2.96</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水利水电项目的建设与维护管理。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按期完成水利水电项目建设和维修管护任务，对社会稳定和经济发展起到积极作用</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、水利工程运行与维护</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开展河道堤防、水库、水闸、排灌泵站、水文等水利工程运行管理和加强对乡镇水利行业的安全生产监督、检查。对水利工程进行维修养护，确保工程安全运行。</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年度维修养护工程质量全部合格，工程正常运行。</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工程质量验收合格率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工程运行故障率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2%</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、农田水利建设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建设小型农田水利设施，实施节水灌溉、灌区续建配套与节水改造等，推广综合节水技术，农业水价综合改革，开展乡镇水利站建设。</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提高农业用水效率、改善农业生产条件</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项目完工率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3</w:t>
            </w:r>
            <w:r>
              <w:rPr>
                <w:rFonts w:hint="eastAsia" w:ascii="方正书宋_GBK" w:eastAsia="方正书宋_GBK"/>
                <w:b/>
              </w:rPr>
              <w:t>、水库移民安置及后期管理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落实水库移民政策，扶持移民发展生产，保持移民稳定。</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增加移民收入，改善移民生产生活条件，促进移民稳定</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移民政策落实率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4</w:t>
            </w:r>
            <w:r>
              <w:rPr>
                <w:rFonts w:hint="eastAsia" w:ascii="方正书宋_GBK" w:eastAsia="方正书宋_GBK"/>
                <w:b/>
              </w:rPr>
              <w:t>、保障农村饮水安全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2.96</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在全县范围内通过实施农村饮水安全项目，解决农村居民饮水不安全问题。</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保障农村供水安全</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任务完成率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七、水利科技支撑和公共服务</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组织开展乡镇水利事业建设的科技创新和技术示范推广，为水利事业科学发展提供公共支撑。</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示范推广水利工程和管理技术，提高水利事业管理水平。</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、防汛抗旱</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负责乡镇防汛抗旱组织建设，应急调度，建设应急度汛、抗旱应急、海堤、山洪灾害防治项目，储备管理防汛抗旱物资，建设水利信息化基础设施，提高乡镇抗御水旱灾害能力。</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发挥防汛抗旱减灾体系作用，最大限度地减少水旱灾害造成的人员伤亡和财产损失。</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工程完成率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八、城乡建设管理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乡镇公用设施建设、安全和应急管理；落实村庄和小城镇建设政策；指导农村住房建设、住房安全和危房改造；改善小城镇和村庄人居环境。</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加强村镇建设，改善农村人居环境，实现城乡统筹发展。协调和指导推进城镇化工作，加快城镇化进程。</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、公用设施建设与管理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开展乡镇供水、节水、燃气、热力、市政设施、园林、污水处理、垃圾处理等设施建设，开展乡镇的绿化和生物多样性工作；组织实施城镇绿道绿廊建设；进行公用设施安全和应急管理。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加强乡镇基础设施建设</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基础设施建设工作目标完成率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、推进城镇化建设</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推进城镇建设与旧城改造，推进小城镇和集镇人居环境改善，落实推进省市重点镇的建设；做好乡镇规划、环境质量、居住水平、产业聚集、风貌特色、综合管理、乡镇建设投融资等工作，全面推进乡镇建设上水平，推进城镇化工作。</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结合本年乡镇建设工作重点，结合上级对乡镇建设工作考核评价指标体系，对乡镇建设工作进行评价，结果纳入乡镇领导综合考核评价</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危房改造完成率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98%</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垃圾处理率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98%</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乡镇建设工作考核完成率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九、交通运输基础设施建设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完成交通基础设施投资；管理乡镇重点工程建设、工程质量和安全生产，对项目招投标活动进行监督管理。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投资建设普通公路及农村公路；进行场站建设；建设物流园区</w:t>
            </w:r>
            <w:r>
              <w:rPr>
                <w:rFonts w:ascii="方正书宋_GBK" w:eastAsia="方正书宋_GBK"/>
              </w:rPr>
              <w:t>(</w:t>
            </w:r>
            <w:r>
              <w:rPr>
                <w:rFonts w:hint="eastAsia" w:ascii="方正书宋_GBK" w:eastAsia="方正书宋_GBK"/>
              </w:rPr>
              <w:t>中心</w:t>
            </w:r>
            <w:r>
              <w:rPr>
                <w:rFonts w:ascii="方正书宋_GBK" w:eastAsia="方正书宋_GBK"/>
              </w:rPr>
              <w:t>)</w:t>
            </w:r>
            <w:r>
              <w:rPr>
                <w:rFonts w:hint="eastAsia" w:ascii="方正书宋_GBK" w:eastAsia="方正书宋_GBK"/>
              </w:rPr>
              <w:t>项目；扩大农村客运站点、候车亭、招呼牌建设；保障交通基础设施建设项目质量。</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、开展交通基础设施建设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监管乡镇公路、水路、地方铁路建设市场，对公路、水路、地方铁路等有关重点工程建设、工程质量和安全生产及行业招投标活动进行监督和管理，做好建设过程中的协调管理工作。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公路、水路建设市场运转有序，各项业务顺利开展，工作按时完成。</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交通基础设施建设重点项目完成率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十、交通运输基础设施养护、维护</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开展交通运输基础设施养护、维护，对项目招投标活动进行监督管理。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完成路基路面大中型维修，加固桥梁，治理隐患；开展高速绿色廊道建设；农村公路养护实施</w:t>
            </w:r>
            <w:r>
              <w:rPr>
                <w:rFonts w:hint="cs" w:ascii="方正书宋_GBK" w:eastAsia="方正书宋_GBK"/>
              </w:rPr>
              <w:t>“</w:t>
            </w:r>
            <w:r>
              <w:rPr>
                <w:rFonts w:hint="eastAsia" w:ascii="方正书宋_GBK" w:eastAsia="方正书宋_GBK"/>
              </w:rPr>
              <w:t>以奖代补</w:t>
            </w:r>
            <w:r>
              <w:rPr>
                <w:rFonts w:hint="cs" w:ascii="方正书宋_GBK" w:eastAsia="方正书宋_GBK"/>
              </w:rPr>
              <w:t>”</w:t>
            </w:r>
            <w:r>
              <w:rPr>
                <w:rFonts w:hint="eastAsia" w:ascii="方正书宋_GBK" w:eastAsia="方正书宋_GBK"/>
              </w:rPr>
              <w:t>。</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、公路建设管理养护基础数据采集</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通过公路各项指标地理信息、数据采集及桥梁隧道检测、交通量调查等方式，适时采集相关数据并及时更新；管理维护设备及数据采集信息系统。</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按时、保质、保量完成数据采集分析，为公路管理提供依据和支持。</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公路基础信息数据更新率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公路基础信息数据使用率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、公路、水运工程养护监督和管理</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对公路、水运工程及其设施养护工程质量安全及招投标活动进行监督和管理。</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各项业务顺利开展，按时完成工作。</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工作质量</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按时完成工作，质量高</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按时完成工作，质量一般</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基本完成工作</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未按时完成工作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项目质量</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合格</w:t>
            </w: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不合格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十一、农村文化建设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12.54</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协助完成国家下达的广播电视直播卫星户户通工程、农村电影工作、数字影院升级改造、农家书屋建设、全民阅读活动、老放映员生活补助以及应急广播体系建设等任务目标。</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宣传党的路线、方针、政策和上级工作部署，坚持正确舆论导向，发挥主流媒体作用；开展各类宣传工作；组织农村群众文化体育活动，负责乡镇广播电视微波电路正常运行和维护；负责相关设备的正常运行和维护。在乡镇建立广播电视安全播出保障体系，组织实施重大公益工程和公益活动，扶助老少边穷地区新闻出版广播影视建设和发展</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、公共服务工程推广</w:t>
            </w:r>
          </w:p>
        </w:tc>
        <w:tc>
          <w:tcPr>
            <w:tcW w:w="1276" w:type="dxa"/>
            <w:vMerge w:val="restart"/>
            <w:shd w:val="clear" w:color="auto" w:fill="auto"/>
            <w:vAlign w:val="center"/>
          </w:tcPr>
          <w:p>
            <w:pPr>
              <w:spacing w:line="300" w:lineRule="exact"/>
              <w:jc w:val="left"/>
              <w:rPr>
                <w:rFonts w:ascii="方正书宋_GBK" w:eastAsia="方正书宋_GBK"/>
              </w:rPr>
            </w:pPr>
            <w:r>
              <w:rPr>
                <w:rFonts w:ascii="方正书宋_GBK" w:eastAsia="方正书宋_GBK"/>
              </w:rPr>
              <w:t>12.54</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农家书屋建设、群众文化体育活动、全民阅读活动、老放映员生活补助以及应急广播体系建设等任务目标。</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协助完成国家下达的广播电视直播卫星户户通工程、农村电影工作、数字影院升级改造、农家书屋建设、群众文化体育活动、全民阅读活动、老放映员生活补助以及应急广播体系建设等任务目标。</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群众文化体育活动组织覆盖率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100&amp;</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农村公益电影放映完成率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民间交流次数</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r>
              <w:rPr>
                <w:rFonts w:hint="eastAsia" w:ascii="方正书宋_GBK" w:eastAsia="方正书宋_GBK"/>
              </w:rPr>
              <w:t>次</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w:t>
            </w:r>
            <w:r>
              <w:rPr>
                <w:rFonts w:hint="eastAsia" w:ascii="方正书宋_GBK" w:eastAsia="方正书宋_GBK"/>
              </w:rPr>
              <w:t>次</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6</w:t>
            </w:r>
            <w:r>
              <w:rPr>
                <w:rFonts w:hint="eastAsia" w:ascii="方正书宋_GBK" w:eastAsia="方正书宋_GBK"/>
              </w:rPr>
              <w:t>次</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6</w:t>
            </w:r>
            <w:r>
              <w:rPr>
                <w:rFonts w:hint="eastAsia" w:ascii="方正书宋_GBK" w:eastAsia="方正书宋_GBK"/>
              </w:rPr>
              <w:t>次以下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对外交流次数</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4</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户户通工程任务完成率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60%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老放映员补助到位率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100&amp;</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全民阅读活动任务完成率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100&amp;</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农家书屋更新完成率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100&amp;</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应急广播体系建设任务完成率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100&amp;</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十二、医疗保障</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通过贯彻实施新型农村合作医疗、疾病应急救助、城乡居民大病保险以及公费医疗等制度，保障人民群众公平享有所需医疗服务权益。</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扩大各项保险的覆盖面，及时足额落实社会保险待遇。</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、新型农村合作医疗及城乡居民大病保险</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组织、引导、支持，农民自愿参加新型农村合作医疗，提高农村居民的医疗保障水平；建立大病保险制度；对城乡居民因患大病发生的高额医疗费用给予报销。</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有效降低城乡居民看病就医的经济负担。</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新农合参合率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十三、计划生育</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提供各类计划生育技术服务，开展出生人口性别比治理以及流动人口计划生育管理等各项工作。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稳定适度的低生育水平，有效保障计划生育家庭生活水平，提高妇女生殖健康水平，降低出生缺陷的发生，有效遏制出生人口性别比偏高问题。</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、计划生育服务</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免费为农村计划怀孕夫妇实行孕前优生健康检查；免费为公民提供计划生育避孕节育基本技术服务；免费为农村已婚育龄妇女提供生殖健康检查服务。</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改善乡镇农村计划怀孕夫妇健康状况，有效降低出生缺陷发生风险；为各类育龄人群提供安全、有效避孕节育技术服务；健全完善流动人口管理机制。</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免费孕前优生健康检查目标人群覆盖率</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十四、政务管理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18.89</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承担系统综合业务管理和部门综合事务管理。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促进乡镇机关事务管理工作科学发展。</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、综合事务管理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18.89</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管理乡镇机关网络建设、运转维护和电子政务；机关标准化建设、保密、档案以及政务接待、会务。办公楼物业管理和机关食堂管理；机关办公楼修缮、供水、供电、供暖以及机关环境绿化美化、卫生保洁、安全保卫。离退休干部慰问。党组织活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搞好服务保障，为广大干部职工提供安全、快捷、细致、周到的工作环境；加强财务管理，确保资金安全，提高财政资金使用效益。</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综合事务保障完成率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十五、环境污染综合防治</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18.00</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贯彻落实大气、水体、固体废物、化学品、机动车等污染防治管理制度，开展饮用水水源地环境保护。</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加强大气、水体、机动车污染防治，加强固体废弃物、重金属等重点污染治理工程的防治工作。</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、大气污染防治</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18.00</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重点对</w:t>
            </w:r>
            <w:r>
              <w:rPr>
                <w:rFonts w:ascii="方正书宋_GBK" w:eastAsia="方正书宋_GBK"/>
              </w:rPr>
              <w:t>PM</w:t>
            </w:r>
            <w:r>
              <w:rPr>
                <w:rFonts w:hint="eastAsia" w:ascii="方正书宋_GBK" w:eastAsia="方正书宋_GBK"/>
              </w:rPr>
              <w:t>、</w:t>
            </w:r>
            <w:r>
              <w:rPr>
                <w:rFonts w:ascii="方正书宋_GBK" w:eastAsia="方正书宋_GBK"/>
              </w:rPr>
              <w:t>VOC</w:t>
            </w:r>
            <w:r>
              <w:rPr>
                <w:rFonts w:hint="eastAsia" w:ascii="方正书宋_GBK" w:eastAsia="方正书宋_GBK"/>
              </w:rPr>
              <w:t>、二氧化硫等大气污染物进行综合防治，推动城镇环境空气质量改善。</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加强大气污染防治，推动城市环境空气质量改善。</w:t>
            </w:r>
          </w:p>
        </w:tc>
        <w:tc>
          <w:tcPr>
            <w:tcW w:w="1417" w:type="dxa"/>
            <w:shd w:val="clear" w:color="auto" w:fill="auto"/>
            <w:vAlign w:val="center"/>
          </w:tcPr>
          <w:p>
            <w:pPr>
              <w:spacing w:line="300" w:lineRule="exact"/>
              <w:jc w:val="left"/>
              <w:rPr>
                <w:rFonts w:hint="eastAsia" w:ascii="方正书宋_GBK" w:eastAsia="方正书宋_GBK"/>
              </w:rPr>
            </w:pPr>
            <w:r>
              <w:rPr>
                <w:rFonts w:ascii="方正书宋_GBK" w:eastAsia="方正书宋_GBK"/>
              </w:rPr>
              <w:t>VOC</w:t>
            </w:r>
            <w:r>
              <w:rPr>
                <w:rFonts w:hint="eastAsia" w:ascii="方正书宋_GBK" w:eastAsia="方正书宋_GBK"/>
              </w:rPr>
              <w:t>排放消减率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十六、自然生态保护</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6.67</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强化生态保护和监察监管，提高自然保护区建设水平，加强生物多样性保护力度，提升农村生态环境质量。</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加强自然生态保护。</w:t>
            </w:r>
          </w:p>
        </w:tc>
        <w:tc>
          <w:tcPr>
            <w:tcW w:w="1417" w:type="dxa"/>
            <w:shd w:val="clear" w:color="auto" w:fill="auto"/>
            <w:vAlign w:val="center"/>
          </w:tcPr>
          <w:p>
            <w:pPr>
              <w:spacing w:line="300" w:lineRule="exact"/>
              <w:jc w:val="left"/>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、农村环境综合整治</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6.67</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解决影响群众生活和健康较为直接的饮用水安全保障、生活垃圾和污水治理、畜禽养殖污染治理防治等突出环境问题，改善环境重点、敏感区域的农村人居和生态环境质量。</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解决农村区域性突出环境问题</w:t>
            </w:r>
          </w:p>
        </w:tc>
        <w:tc>
          <w:tcPr>
            <w:tcW w:w="1417"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试点、示范区域村庄污水处理率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十七、信访问题处理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负责正常信访、非访、突发性及群体性事件的办理；提供相关服务保障；协助区信访局处理群众进京上访；信访事项督查、复查复核、听证。</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及时办理正常信访业务，妥善处置非访、突发性及群体性事件，对信访事项督查、复查复核、听证。</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、办理正常信访业务</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办理人民群众来信、来访、网上信访；处理乡镇群众进京上访。</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涉密</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十八、民兵训练和专武干部培训</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加强后备力量建设，培养</w:t>
            </w:r>
            <w:r>
              <w:rPr>
                <w:rFonts w:hint="cs" w:ascii="方正书宋_GBK" w:eastAsia="方正书宋_GBK"/>
              </w:rPr>
              <w:t>“</w:t>
            </w:r>
            <w:r>
              <w:rPr>
                <w:rFonts w:hint="eastAsia" w:ascii="方正书宋_GBK" w:eastAsia="方正书宋_GBK"/>
              </w:rPr>
              <w:t>劳武</w:t>
            </w:r>
            <w:r>
              <w:rPr>
                <w:rFonts w:hint="cs" w:ascii="方正书宋_GBK" w:eastAsia="方正书宋_GBK"/>
              </w:rPr>
              <w:t>”</w:t>
            </w:r>
            <w:r>
              <w:rPr>
                <w:rFonts w:hint="eastAsia" w:ascii="方正书宋_GBK" w:eastAsia="方正书宋_GBK"/>
              </w:rPr>
              <w:t>两用人才的人民武装建设的基地。</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贯彻</w:t>
            </w:r>
            <w:r>
              <w:rPr>
                <w:rFonts w:hint="cs" w:ascii="方正书宋_GBK" w:eastAsia="方正书宋_GBK"/>
              </w:rPr>
              <w:t>“</w:t>
            </w:r>
            <w:r>
              <w:rPr>
                <w:rFonts w:hint="eastAsia" w:ascii="方正书宋_GBK" w:eastAsia="方正书宋_GBK"/>
              </w:rPr>
              <w:t>严格训练、严格要求</w:t>
            </w:r>
            <w:r>
              <w:rPr>
                <w:rFonts w:hint="cs" w:ascii="方正书宋_GBK" w:eastAsia="方正书宋_GBK"/>
              </w:rPr>
              <w:t>”</w:t>
            </w:r>
            <w:r>
              <w:rPr>
                <w:rFonts w:hint="eastAsia" w:ascii="方正书宋_GBK" w:eastAsia="方正书宋_GBK"/>
              </w:rPr>
              <w:t>的方针，坚持规范训练，保证完成上级赋予人武干部、专武干部和基干民兵的轮训任务。因地制宜地抓好专业人才培训，充分发挥其战备效益和社会效益。实施岗位责任制，使设施、物资、场地和器材经常保持良好状态。</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、民兵训练和专武干部培训</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根据上级要求，认真</w:t>
            </w:r>
            <w:r>
              <w:rPr>
                <w:rFonts w:hint="eastAsia" w:ascii="方正书宋_GBK" w:eastAsia="方正书宋_GBK"/>
                <w:lang w:eastAsia="zh-CN"/>
              </w:rPr>
              <w:t>制订</w:t>
            </w:r>
            <w:r>
              <w:rPr>
                <w:rFonts w:hint="eastAsia" w:ascii="方正书宋_GBK" w:eastAsia="方正书宋_GBK"/>
              </w:rPr>
              <w:t>基干民兵和专武干部培训计划和方案，严格组织人员按质按量完成训练任务。保证装备器材的良好状态，随时执行紧急拉动和应急任务。</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涉密</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涉密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十九、义务教育</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以农村教育为重点，推进义务教育均衡发展，建立中小学校舍安全保障机制，改善薄弱学校办学条件，促进公共教育资源向农村和经济欠发达地区倾斜。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提高义务教育公用经费保障水平，改善办学条件，均衡配置基础教育资源，缩小城乡、区域、校际之间办学差距，落实学生资助政策。</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、改善薄弱学校办学条件</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保障义务教育阶段薄弱学校基本教学条件，改善学校生活设施，办好必要的教学点，解决乡镇学校大班额问题，推进农村学校教育信息化。</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从</w:t>
            </w:r>
            <w:r>
              <w:rPr>
                <w:rFonts w:ascii="方正书宋_GBK" w:eastAsia="方正书宋_GBK"/>
              </w:rPr>
              <w:t>2014</w:t>
            </w:r>
            <w:r>
              <w:rPr>
                <w:rFonts w:hint="eastAsia" w:ascii="方正书宋_GBK" w:eastAsia="方正书宋_GBK"/>
              </w:rPr>
              <w:t>年开始，使贫困地区农村义务教育学校教学设施和生活设施满足基本生活需要，留守儿童学习和寄宿得到基本满足，中小学和教学点能够正常运转，乡镇超大班额现象基本消除，教师数量、素质、结构基本适应教学需要</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中小学生均校舍面积</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5.5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二十、食品药品安全管理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对食品制作流通各环节进行监管，及时发现和排除食品安全问题，确保大型活动期间的餐饮安全。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对食品各个环节的强力监管，及时发现食品监管中存在的问题，重点做好重大活动和暑期食品安全保障。加强食品药品检验能力建设，并开展相关业务活动。客观公正地完成对本乡的食品药品安全工作考核评价，突发事件得到及时处置。</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、食品（含保健品）安全监管</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通过对食品生产、流通、餐饮消费、保健食品的各个环节抽验和强力监管，及时发现和排除食品安全问题</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确保食品安全，重大活动和暑期食品不出现重大事故，保证人民群众饮食安全。不出现重大食品安全事故</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重大食品事故案件（个）</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0</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2</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、重大活动餐饮服务食品安全保障</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规范重大活动餐饮服务单位食品安全监管，确保大型政治、经济、文化、体育活动及举办各类大型会议、展览会和赛事等活动期间的餐饮服务食品安全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提升重大活动餐饮服务食品安全监管水平；规范重大活动餐饮服务单位食品安全监管；</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重大活动餐饮服务接待单位预监督率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3</w:t>
            </w:r>
            <w:r>
              <w:rPr>
                <w:rFonts w:hint="eastAsia" w:ascii="方正书宋_GBK" w:eastAsia="方正书宋_GBK"/>
                <w:b/>
              </w:rPr>
              <w:t>、综合业务管理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强化监管手段，组织开展食品药品科研项目、监督、检查、检测、案件处置、统计分析、信息公开、宣传教育等各项综合业务工作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食品药品检验能力进一步提升，监管能力全面提升</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检验监测能力与检测需求比率相适应</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二十一、安全生产综合监督管理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1.90</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承担全县安全生产综合监督管理责任，依法行使综合监督管理职权；根据《</w:t>
            </w:r>
            <w:r>
              <w:rPr>
                <w:rFonts w:hint="eastAsia" w:ascii="方正书宋_GBK" w:eastAsia="方正书宋_GBK"/>
                <w:lang w:val="en-US" w:eastAsia="zh-CN"/>
              </w:rPr>
              <w:t>中华人民共和国</w:t>
            </w:r>
            <w:r>
              <w:rPr>
                <w:rFonts w:hint="eastAsia" w:ascii="方正书宋_GBK" w:eastAsia="方正书宋_GBK"/>
              </w:rPr>
              <w:t>安全生产法》、《安全生产违法行为行政处罚办法》等法律法规，依法开展执法检查工作，对发现的安全生产违法行为依法进行行政处罚，遏制重特大事故发生，确保全县安全生产形势稳定好转。</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对重点行业和作业场所职业卫生安全生产加强行政执法监察；开展重大危险源执法检查工作；开展安全事故检查及安全生产宣传教育活动；促进企业全面落实安全生产诚信管理。</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、加强安全生产综合监督管理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1.90</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定期组织在乡镇内开展安全生产检查活动，对重点行业和作业场所职业卫生安全生产进行检查；不断加强安全生产监管能力建设；组织开展安全生产教育活动，促进企业全面落实安全生产诚信管理。</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通过检查安全生产，最大限度地发现、纠正、督促企业消除各类隐患，预防和减少事故的发生，确保乡镇安全生产形势持续稳定好转，加大安全生产宣传和信息公开力度，提高全社会安全生产意识。</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检查覆盖率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、加强重大危险源安全管理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加强重大危险源的监测、监控、辨识与评估及登记建档、备案与核销等安全管理；开展重大危险源执法检查工作。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科学准确进行重大危险源等级界定；有效开展监测数据的综合分析、数据发布工作；督促企业切实加强危险源监控，有效治理隐患，落实监管责任</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专项检查次数</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4</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3</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2</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二十二、防灾减灾救灾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组织开展乡镇防灾减灾救灾工作；组织救灾捐赠工作，负责救灾捐赠款物的接收和分配。</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实施分类救助，保障受灾群众基本生活。</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、防灾减灾及救灾准备</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组织乡级防灾减灾及救灾活动；提高专业队伍业务素质。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提高公民避灾自救能力和防灾减灾意识，提升重大自然灾害防御能力；提高专业队伍业务素质；保障上级救灾物资及时组织发放，提高抗灾水平。</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组织防灾减灾及救灾准备活动次数（次）</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2</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、灾民救助</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统计、汇总、核查、会商灾情，统一发布灾情；组织协调紧急转移安置灾民；承办救灾款物分配和监管，物资调运，组织民房恢复重建及灾民生活救助，指导紧急救灾和灾后生产恢复。</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组织协调紧急转移安置灾民，确保受灾群众妥善得到安置，确保灾民吃、穿、住、衣等基本生活，保证突发灾害后救灾物资及时运达灾区。组织民房恢复重建及灾民生活救助，保证受灾群众基本生活得到及时救助。</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救灾措施到位率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突发灾害报灾时效性和准确性</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r>
              <w:rPr>
                <w:rFonts w:hint="eastAsia" w:ascii="方正书宋_GBK" w:eastAsia="方正书宋_GBK"/>
              </w:rPr>
              <w:t>小时内，准确度</w:t>
            </w:r>
            <w:r>
              <w:rPr>
                <w:rFonts w:ascii="方正书宋_GBK" w:eastAsia="方正书宋_GBK"/>
              </w:rPr>
              <w:t>98%</w:t>
            </w:r>
            <w:r>
              <w:rPr>
                <w:rFonts w:hint="eastAsia" w:ascii="方正书宋_GBK" w:eastAsia="方正书宋_GBK"/>
              </w:rPr>
              <w:t>及以上</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24</w:t>
            </w:r>
            <w:r>
              <w:rPr>
                <w:rFonts w:hint="eastAsia" w:ascii="方正书宋_GBK" w:eastAsia="方正书宋_GBK"/>
              </w:rPr>
              <w:t>小时内，准确度</w:t>
            </w:r>
            <w:r>
              <w:rPr>
                <w:rFonts w:ascii="方正书宋_GBK" w:eastAsia="方正书宋_GBK"/>
              </w:rPr>
              <w:t>95%</w:t>
            </w:r>
            <w:r>
              <w:rPr>
                <w:rFonts w:hint="eastAsia" w:ascii="方正书宋_GBK" w:eastAsia="方正书宋_GBK"/>
              </w:rPr>
              <w:t>及以上</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24</w:t>
            </w:r>
            <w:r>
              <w:rPr>
                <w:rFonts w:hint="eastAsia" w:ascii="方正书宋_GBK" w:eastAsia="方正书宋_GBK"/>
              </w:rPr>
              <w:t>小时内，准确度</w:t>
            </w:r>
            <w:r>
              <w:rPr>
                <w:rFonts w:ascii="方正书宋_GBK" w:eastAsia="方正书宋_GBK"/>
              </w:rPr>
              <w:t>90%</w:t>
            </w:r>
            <w:r>
              <w:rPr>
                <w:rFonts w:hint="eastAsia" w:ascii="方正书宋_GBK" w:eastAsia="方正书宋_GBK"/>
              </w:rPr>
              <w:t>及以上</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超出</w:t>
            </w:r>
            <w:r>
              <w:rPr>
                <w:rFonts w:ascii="方正书宋_GBK" w:eastAsia="方正书宋_GBK"/>
              </w:rPr>
              <w:t>24</w:t>
            </w:r>
            <w:r>
              <w:rPr>
                <w:rFonts w:hint="eastAsia" w:ascii="方正书宋_GBK" w:eastAsia="方正书宋_GBK"/>
              </w:rPr>
              <w:t>小时，准确度低于</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二十三、扶持农产品生产</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对生产者采取直接补贴的办法，支持推广优良品种、先进适用种养技术，实施科学管理</w:t>
            </w:r>
            <w:r>
              <w:rPr>
                <w:rFonts w:ascii="方正书宋_GBK" w:eastAsia="方正书宋_GBK"/>
              </w:rPr>
              <w:t>,</w:t>
            </w:r>
            <w:r>
              <w:rPr>
                <w:rFonts w:hint="eastAsia" w:ascii="方正书宋_GBK" w:eastAsia="方正书宋_GBK"/>
              </w:rPr>
              <w:t>提高农产品产量、质量，提高生产经营效益。</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提高农产品产量和产量，优化农业产业结构，提高经济效益，增加农民收入。</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、实施良种补贴</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按照国家、省部署，对全乡主要粮食作物和猪、牛、羊、鸡等畜产品生产实施良种补贴。</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小麦、玉米、水稻、棉花良种补贴全覆盖。畜牧、水产品种优良化率持续提高</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良种补贴覆盖率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、实施菜篮子工程</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重点扶持一批有规模、生产技术基础好、区域优势突出、在增加产量和提高质量上有示范带动作用的农产品生产基地。通过改善生产条件，加强产品质量管理，强化品牌建设，大力推进标准化、集约化、现代化生产。</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促进</w:t>
            </w:r>
            <w:r>
              <w:rPr>
                <w:rFonts w:hint="cs" w:ascii="方正书宋_GBK" w:eastAsia="方正书宋_GBK"/>
              </w:rPr>
              <w:t>“</w:t>
            </w:r>
            <w:r>
              <w:rPr>
                <w:rFonts w:hint="eastAsia" w:ascii="方正书宋_GBK" w:eastAsia="方正书宋_GBK"/>
              </w:rPr>
              <w:t>菜篮子</w:t>
            </w:r>
            <w:r>
              <w:rPr>
                <w:rFonts w:hint="cs" w:ascii="方正书宋_GBK" w:eastAsia="方正书宋_GBK"/>
              </w:rPr>
              <w:t>”</w:t>
            </w:r>
            <w:r>
              <w:rPr>
                <w:rFonts w:hint="eastAsia" w:ascii="方正书宋_GBK" w:eastAsia="方正书宋_GBK"/>
              </w:rPr>
              <w:t>产品生产向规模化、园区化、设施化、标准化和产销一体化发展</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按要求完成畜禽标准化健康养殖规模场改造任务</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蔬菜标准园创建完成率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二十四、完善农村经营管理体制</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推进农村集体产权制度改革，完善农村土地承包制度，引导农村土地合理流转。创新农业经营主体。</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规范流转行为，优化资源配置，促进农民专业合作经济组织健康发展，加快新农村建设和城镇化进程</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、促进土地流转</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建设土地流转有形市场。</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指导全乡建立运转顺畅、便捷高效的农村土地承包经营权流转服务平台，带动土地流转依法、有序开展</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土地流转提高率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1.5%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1.3%</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1.1%</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、土地确权登记</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根据国家要求开展农村土地承包经营确权登记试点，并逐步向全县全面推开。</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完成全乡耕地面积</w:t>
            </w:r>
            <w:r>
              <w:rPr>
                <w:rFonts w:ascii="方正书宋_GBK" w:eastAsia="方正书宋_GBK"/>
              </w:rPr>
              <w:t>50%</w:t>
            </w:r>
            <w:r>
              <w:rPr>
                <w:rFonts w:hint="eastAsia" w:ascii="方正书宋_GBK" w:eastAsia="方正书宋_GBK"/>
              </w:rPr>
              <w:t>的确权登记颁证目标</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农村土地承包土地确权登记颁证率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50%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45%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40%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3</w:t>
            </w:r>
            <w:r>
              <w:rPr>
                <w:rFonts w:hint="eastAsia" w:ascii="方正书宋_GBK" w:eastAsia="方正书宋_GBK"/>
                <w:b/>
              </w:rPr>
              <w:t>、农村经营管理</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支持农民专业合作组织规范、健康发展。建立健全农村集体</w:t>
            </w:r>
            <w:r>
              <w:rPr>
                <w:rFonts w:hint="cs" w:ascii="方正书宋_GBK" w:eastAsia="方正书宋_GBK"/>
              </w:rPr>
              <w:t>“</w:t>
            </w:r>
            <w:r>
              <w:rPr>
                <w:rFonts w:hint="eastAsia" w:ascii="方正书宋_GBK" w:eastAsia="方正书宋_GBK"/>
              </w:rPr>
              <w:t>三资</w:t>
            </w:r>
            <w:r>
              <w:rPr>
                <w:rFonts w:hint="cs" w:ascii="方正书宋_GBK" w:eastAsia="方正书宋_GBK"/>
              </w:rPr>
              <w:t>”</w:t>
            </w:r>
            <w:r>
              <w:rPr>
                <w:rFonts w:hint="eastAsia" w:ascii="方正书宋_GBK" w:eastAsia="方正书宋_GBK"/>
              </w:rPr>
              <w:t>管理制度，盘活集体存量资产资源，拓宽集体增收渠道，促进农村集体资产保值增值。</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健全农村集体</w:t>
            </w:r>
            <w:r>
              <w:rPr>
                <w:rFonts w:hint="cs" w:ascii="方正书宋_GBK" w:eastAsia="方正书宋_GBK"/>
              </w:rPr>
              <w:t>“</w:t>
            </w:r>
            <w:r>
              <w:rPr>
                <w:rFonts w:hint="eastAsia" w:ascii="方正书宋_GBK" w:eastAsia="方正书宋_GBK"/>
              </w:rPr>
              <w:t>三资</w:t>
            </w:r>
            <w:r>
              <w:rPr>
                <w:rFonts w:hint="cs" w:ascii="方正书宋_GBK" w:eastAsia="方正书宋_GBK"/>
              </w:rPr>
              <w:t>”</w:t>
            </w:r>
            <w:r>
              <w:rPr>
                <w:rFonts w:hint="eastAsia" w:ascii="方正书宋_GBK" w:eastAsia="方正书宋_GBK"/>
              </w:rPr>
              <w:t>管理制度，指导农村经济组织健康、规范发展</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村集体经济业务规范率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二十五、林业生态建设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贯彻执行国家、省、关于林业及其生态建设的方针、政策和法律法规；组织落实林业及其生态环境建设、森林资源保护、国土绿化、荒漠化防治和林业产业发展的政策，并组织实施监督和检查，组织开展森林资源、承担林业生态文明建设的有关工作。</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完成国家下达和省委省政府</w:t>
            </w:r>
            <w:r>
              <w:rPr>
                <w:rFonts w:hint="eastAsia" w:ascii="方正书宋_GBK" w:eastAsia="方正书宋_GBK"/>
                <w:lang w:eastAsia="zh-CN"/>
              </w:rPr>
              <w:t>制订</w:t>
            </w:r>
            <w:r>
              <w:rPr>
                <w:rFonts w:hint="eastAsia" w:ascii="方正书宋_GBK" w:eastAsia="方正书宋_GBK"/>
              </w:rPr>
              <w:t>的造林任务及全区森林覆盖率考核目标。有效改善生态环境。</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、造林绿化</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贯彻落实国家、省有关标准和规程，指导公益林和商品林的培育，指导植树造林和以植树种草等生物措施防治水土流失工作，指导监督全民义务植树和造林绿化工作。承担林业应对气候变化的相关工作。承担乡镇绿化的日常工作</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增加有林地面积，提高乡镇绿化水平和森林覆盖率，改善生态环境。</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全乡镇完成年初造林绿化任务。</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森林覆盖率提高</w:t>
            </w:r>
            <w:r>
              <w:rPr>
                <w:rFonts w:ascii="方正书宋_GBK" w:eastAsia="方正书宋_GBK"/>
              </w:rPr>
              <w:t>1</w:t>
            </w:r>
            <w:r>
              <w:rPr>
                <w:rFonts w:hint="eastAsia" w:ascii="方正书宋_GBK" w:eastAsia="方正书宋_GBK"/>
              </w:rPr>
              <w:t>个百分点。</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1%</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0.8%</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0.6%</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二十六、推进新农村建设</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通过实施农村面貌改造提升行动，加快建设社会主义新农村。</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通过实施农村面貌改造提升行动和开展新民居中心村示范点建设，加快建设社会主义新农村。改善农村环境面貌，提升农民生产生活条件。</w:t>
            </w:r>
          </w:p>
        </w:tc>
        <w:tc>
          <w:tcPr>
            <w:tcW w:w="1417" w:type="dxa"/>
            <w:shd w:val="clear" w:color="auto" w:fill="auto"/>
            <w:vAlign w:val="center"/>
          </w:tcPr>
          <w:p>
            <w:pPr>
              <w:spacing w:line="300" w:lineRule="exact"/>
              <w:jc w:val="left"/>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c>
          <w:tcPr>
            <w:tcW w:w="737" w:type="dxa"/>
            <w:shd w:val="clear" w:color="auto" w:fill="auto"/>
            <w:vAlign w:val="center"/>
          </w:tcPr>
          <w:p>
            <w:pPr>
              <w:spacing w:line="300" w:lineRule="exact"/>
              <w:jc w:val="center"/>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1</w:t>
            </w:r>
            <w:r>
              <w:rPr>
                <w:rFonts w:hint="eastAsia" w:ascii="方正书宋_GBK" w:eastAsia="方正书宋_GBK"/>
                <w:b/>
              </w:rPr>
              <w:t>、农村面貌改造提升</w:t>
            </w:r>
          </w:p>
        </w:tc>
        <w:tc>
          <w:tcPr>
            <w:tcW w:w="1276" w:type="dxa"/>
            <w:shd w:val="clear" w:color="auto" w:fill="auto"/>
            <w:vAlign w:val="center"/>
          </w:tcPr>
          <w:p>
            <w:pPr>
              <w:spacing w:line="300" w:lineRule="exact"/>
              <w:jc w:val="left"/>
              <w:rPr>
                <w:rFonts w:ascii="方正书宋_GBK" w:eastAsia="方正书宋_GBK"/>
              </w:rPr>
            </w:pP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按照统筹城乡发展要求，以</w:t>
            </w:r>
            <w:r>
              <w:rPr>
                <w:rFonts w:hint="cs" w:ascii="方正书宋_GBK" w:eastAsia="方正书宋_GBK"/>
              </w:rPr>
              <w:t>“</w:t>
            </w:r>
            <w:r>
              <w:rPr>
                <w:rFonts w:hint="eastAsia" w:ascii="方正书宋_GBK" w:eastAsia="方正书宋_GBK"/>
              </w:rPr>
              <w:t>保持田园风光、增加现代设施、绿化村落庭院、传承优秀文化</w:t>
            </w:r>
            <w:r>
              <w:rPr>
                <w:rFonts w:hint="cs" w:ascii="方正书宋_GBK" w:eastAsia="方正书宋_GBK"/>
              </w:rPr>
              <w:t>”</w:t>
            </w:r>
            <w:r>
              <w:rPr>
                <w:rFonts w:hint="eastAsia" w:ascii="方正书宋_GBK" w:eastAsia="方正书宋_GBK"/>
              </w:rPr>
              <w:t>为重点，组织实施农村面貌改造提升行动。</w:t>
            </w:r>
          </w:p>
        </w:tc>
        <w:tc>
          <w:tcPr>
            <w:tcW w:w="2976"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围绕农村改造</w:t>
            </w:r>
            <w:r>
              <w:rPr>
                <w:rFonts w:ascii="方正书宋_GBK" w:eastAsia="方正书宋_GBK"/>
              </w:rPr>
              <w:t>15</w:t>
            </w:r>
            <w:r>
              <w:rPr>
                <w:rFonts w:hint="eastAsia" w:ascii="方正书宋_GBK" w:eastAsia="方正书宋_GBK"/>
              </w:rPr>
              <w:t>件实事，突出重点，因地制宜，开展农村面貌改造提升。按照分期分批推进的要求，每年选定一批重点村实施改造提升。</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重点村改造提升完成率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方正书宋_GBK" w:eastAsia="方正书宋_GBK"/>
                <w:b/>
              </w:rPr>
            </w:pPr>
            <w:r>
              <w:rPr>
                <w:rFonts w:hint="eastAsia" w:ascii="方正书宋_GBK" w:eastAsia="方正书宋_GBK"/>
                <w:b/>
              </w:rPr>
              <w:t>　　</w:t>
            </w:r>
            <w:r>
              <w:rPr>
                <w:rFonts w:ascii="方正书宋_GBK" w:eastAsia="方正书宋_GBK"/>
                <w:b/>
              </w:rPr>
              <w:t>2</w:t>
            </w:r>
            <w:r>
              <w:rPr>
                <w:rFonts w:hint="eastAsia" w:ascii="方正书宋_GBK" w:eastAsia="方正书宋_GBK"/>
                <w:b/>
              </w:rPr>
              <w:t>、美丽乡村建设</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按照市、县统筹城乡发展的要求，以</w:t>
            </w:r>
            <w:r>
              <w:rPr>
                <w:rFonts w:hint="cs" w:ascii="方正书宋_GBK" w:eastAsia="方正书宋_GBK"/>
              </w:rPr>
              <w:t>“</w:t>
            </w:r>
            <w:r>
              <w:rPr>
                <w:rFonts w:hint="eastAsia" w:ascii="方正书宋_GBK" w:eastAsia="方正书宋_GBK"/>
              </w:rPr>
              <w:t>环境美、产业美、精神美、生态美</w:t>
            </w:r>
            <w:r>
              <w:rPr>
                <w:rFonts w:hint="cs" w:ascii="方正书宋_GBK" w:eastAsia="方正书宋_GBK"/>
              </w:rPr>
              <w:t>”</w:t>
            </w:r>
            <w:r>
              <w:rPr>
                <w:rFonts w:hint="eastAsia" w:ascii="方正书宋_GBK" w:eastAsia="方正书宋_GBK"/>
              </w:rPr>
              <w:t>为重点，大力推进美丽乡村建设。</w:t>
            </w:r>
          </w:p>
        </w:tc>
        <w:tc>
          <w:tcPr>
            <w:tcW w:w="2976" w:type="dxa"/>
            <w:vMerge w:val="restart"/>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突出重点，因地制宜，按照分期分批推进的要求，每年选定一批重点村实施改造提升。</w:t>
            </w: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村民满意度</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w:t>
            </w:r>
            <w:r>
              <w:rPr>
                <w:rFonts w:ascii="方正书宋_GBK" w:eastAsia="方正书宋_GBK"/>
              </w:rPr>
              <w:t>80%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2976" w:type="dxa"/>
            <w:vMerge w:val="continue"/>
            <w:shd w:val="clear" w:color="auto" w:fill="auto"/>
            <w:vAlign w:val="center"/>
          </w:tcPr>
          <w:p>
            <w:pPr>
              <w:spacing w:line="300" w:lineRule="exact"/>
              <w:jc w:val="left"/>
              <w:rPr>
                <w:rFonts w:hint="eastAsia" w:ascii="方正书宋_GBK" w:eastAsia="方正书宋_GBK"/>
              </w:rPr>
            </w:pPr>
          </w:p>
        </w:tc>
        <w:tc>
          <w:tcPr>
            <w:tcW w:w="1417"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美丽乡村建设重点村任务完成率</w:t>
            </w:r>
          </w:p>
        </w:tc>
        <w:tc>
          <w:tcPr>
            <w:tcW w:w="737" w:type="dxa"/>
            <w:shd w:val="clear" w:color="auto" w:fill="auto"/>
            <w:vAlign w:val="center"/>
          </w:tcPr>
          <w:p>
            <w:pPr>
              <w:spacing w:line="300" w:lineRule="exact"/>
              <w:jc w:val="center"/>
              <w:rPr>
                <w:rFonts w:hint="eastAsia"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85%</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c>
          <w:tcPr>
            <w:tcW w:w="737" w:type="dxa"/>
            <w:shd w:val="clear" w:color="auto" w:fill="auto"/>
            <w:vAlign w:val="center"/>
          </w:tcPr>
          <w:p>
            <w:pPr>
              <w:spacing w:line="300" w:lineRule="exact"/>
              <w:jc w:val="center"/>
              <w:rPr>
                <w:rFonts w:hint="eastAsia" w:ascii="方正书宋_GBK" w:eastAsia="方正书宋_GBK"/>
              </w:rPr>
            </w:pPr>
            <w:r>
              <w:rPr>
                <w:rFonts w:hint="eastAsia" w:ascii="方正书宋_GBK" w:eastAsia="方正书宋_GBK"/>
              </w:rPr>
              <w:t>＜</w:t>
            </w:r>
            <w:r>
              <w:rPr>
                <w:rFonts w:ascii="方正书宋_GBK" w:eastAsia="方正书宋_GBK"/>
              </w:rPr>
              <w:t>70%</w:t>
            </w:r>
          </w:p>
        </w:tc>
      </w:tr>
    </w:tbl>
    <w:p>
      <w:pPr>
        <w:spacing w:line="360" w:lineRule="auto"/>
        <w:ind w:firstLine="643"/>
        <w:rPr>
          <w:rFonts w:hint="eastAsia" w:ascii="仿宋" w:hAnsi="仿宋" w:eastAsia="仿宋"/>
          <w:b/>
          <w:sz w:val="32"/>
          <w:szCs w:val="32"/>
        </w:rPr>
      </w:pPr>
    </w:p>
    <w:p>
      <w:pPr>
        <w:spacing w:line="360" w:lineRule="auto"/>
        <w:ind w:firstLine="643"/>
        <w:rPr>
          <w:rFonts w:hint="eastAsia" w:ascii="仿宋" w:hAnsi="仿宋" w:eastAsia="仿宋"/>
          <w:b/>
          <w:sz w:val="32"/>
          <w:szCs w:val="32"/>
        </w:rPr>
      </w:pPr>
    </w:p>
    <w:p>
      <w:pPr>
        <w:ind w:firstLine="643"/>
        <w:rPr>
          <w:rFonts w:hint="eastAsia"/>
        </w:rPr>
      </w:pPr>
    </w:p>
    <w:p>
      <w:pPr>
        <w:pStyle w:val="1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rPr>
          <w:rFonts w:hint="eastAsia" w:ascii="仿宋" w:hAnsi="仿宋" w:eastAsia="仿宋" w:cs="宋体"/>
          <w:kern w:val="2"/>
          <w:sz w:val="32"/>
          <w:szCs w:val="32"/>
          <w:lang w:eastAsia="zh-CN"/>
        </w:rPr>
      </w:pP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2019年，我部门无政府采购预算，空表列示。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下附部门政府采购预算表空表。</w:t>
      </w:r>
    </w:p>
    <w:p>
      <w:pPr>
        <w:spacing w:line="700" w:lineRule="exact"/>
        <w:ind w:firstLine="480" w:firstLineChars="200"/>
        <w:jc w:val="left"/>
        <w:rPr>
          <w:rFonts w:ascii="方正小标宋_GBK" w:eastAsia="方正小标宋_GBK"/>
          <w:sz w:val="24"/>
        </w:rPr>
      </w:pPr>
    </w:p>
    <w:p>
      <w:pPr>
        <w:spacing w:line="700" w:lineRule="exact"/>
        <w:ind w:firstLine="480" w:firstLineChars="200"/>
        <w:jc w:val="left"/>
        <w:rPr>
          <w:rFonts w:ascii="方正小标宋_GBK" w:eastAsia="方正小标宋_GBK"/>
          <w:sz w:val="24"/>
        </w:rPr>
        <w:sectPr>
          <w:footerReference r:id="rId3" w:type="default"/>
          <w:pgSz w:w="11906" w:h="16838"/>
          <w:pgMar w:top="1588" w:right="1531" w:bottom="1418" w:left="1588" w:header="851" w:footer="992" w:gutter="0"/>
          <w:cols w:space="425" w:num="1"/>
          <w:docGrid w:type="lines" w:linePitch="312" w:charSpace="0"/>
        </w:sectPr>
      </w:pPr>
    </w:p>
    <w:tbl>
      <w:tblPr>
        <w:tblStyle w:val="5"/>
        <w:tblW w:w="1316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21"/>
        <w:gridCol w:w="764"/>
        <w:gridCol w:w="1134"/>
        <w:gridCol w:w="1134"/>
        <w:gridCol w:w="992"/>
        <w:gridCol w:w="851"/>
        <w:gridCol w:w="834"/>
        <w:gridCol w:w="709"/>
        <w:gridCol w:w="992"/>
        <w:gridCol w:w="1134"/>
        <w:gridCol w:w="851"/>
        <w:gridCol w:w="850"/>
        <w:gridCol w:w="851"/>
        <w:gridCol w:w="8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6930" w:type="dxa"/>
            <w:gridSpan w:val="7"/>
            <w:tcBorders>
              <w:top w:val="single" w:color="FFFFFF" w:sz="6" w:space="0"/>
              <w:left w:val="single" w:color="FFFFFF" w:sz="6" w:space="0"/>
              <w:right w:val="single" w:color="FFFFFF" w:sz="6" w:space="0"/>
            </w:tcBorders>
            <w:vAlign w:val="center"/>
          </w:tcPr>
          <w:p>
            <w:pPr>
              <w:spacing w:line="700" w:lineRule="exact"/>
              <w:ind w:firstLine="480" w:firstLineChars="200"/>
              <w:jc w:val="left"/>
              <w:rPr>
                <w:rFonts w:ascii="方正小标宋_GBK" w:eastAsia="方正小标宋_GBK"/>
                <w:sz w:val="24"/>
              </w:rPr>
            </w:pPr>
            <w:r>
              <w:rPr>
                <w:rFonts w:hint="eastAsia" w:ascii="方正小标宋_GBK" w:hAnsi="方正小标宋_GBK" w:eastAsia="方正小标宋_GBK" w:cs="方正小标宋_GBK"/>
                <w:sz w:val="24"/>
              </w:rPr>
              <w:t>©</w:t>
            </w:r>
          </w:p>
        </w:tc>
        <w:tc>
          <w:tcPr>
            <w:tcW w:w="6237" w:type="dxa"/>
            <w:gridSpan w:val="7"/>
            <w:tcBorders>
              <w:top w:val="single" w:color="FFFFFF" w:sz="6" w:space="0"/>
              <w:left w:val="single" w:color="FFFFFF" w:sz="6" w:space="0"/>
              <w:right w:val="single" w:color="FFFFFF" w:sz="6" w:space="0"/>
            </w:tcBorders>
            <w:vAlign w:val="center"/>
          </w:tcPr>
          <w:p>
            <w:pPr>
              <w:spacing w:line="700" w:lineRule="exact"/>
              <w:ind w:firstLine="480" w:firstLineChars="200"/>
              <w:jc w:val="right"/>
              <w:rPr>
                <w:rFonts w:ascii="方正书宋_GBK" w:eastAsia="方正书宋_GBK"/>
                <w:sz w:val="24"/>
              </w:rPr>
            </w:pPr>
            <w:r>
              <w:rPr>
                <w:rFonts w:hint="eastAsia" w:ascii="宋体" w:hAnsi="宋体" w:cs="宋体"/>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1985" w:type="dxa"/>
            <w:gridSpan w:val="2"/>
            <w:vAlign w:val="center"/>
          </w:tcPr>
          <w:p>
            <w:pPr>
              <w:spacing w:line="700" w:lineRule="exact"/>
              <w:ind w:firstLine="420" w:firstLineChars="200"/>
              <w:jc w:val="center"/>
              <w:rPr>
                <w:rFonts w:ascii="方正书宋_GBK" w:eastAsia="方正书宋_GBK"/>
                <w:b/>
              </w:rPr>
            </w:pPr>
            <w:r>
              <w:rPr>
                <w:rFonts w:hint="eastAsia" w:ascii="宋体" w:hAnsi="宋体" w:cs="宋体"/>
                <w:b/>
              </w:rPr>
              <w:t>政府采购项目来源</w:t>
            </w:r>
          </w:p>
        </w:tc>
        <w:tc>
          <w:tcPr>
            <w:tcW w:w="1134" w:type="dxa"/>
            <w:vMerge w:val="restart"/>
            <w:vAlign w:val="center"/>
          </w:tcPr>
          <w:p>
            <w:pPr>
              <w:spacing w:line="700" w:lineRule="exact"/>
              <w:rPr>
                <w:rFonts w:ascii="方正书宋_GBK" w:eastAsia="方正书宋_GBK"/>
                <w:b/>
              </w:rPr>
            </w:pPr>
            <w:r>
              <w:rPr>
                <w:rFonts w:hint="eastAsia" w:ascii="宋体" w:hAnsi="宋体" w:cs="宋体"/>
                <w:b/>
              </w:rPr>
              <w:t>采购物品名称</w:t>
            </w:r>
          </w:p>
        </w:tc>
        <w:tc>
          <w:tcPr>
            <w:tcW w:w="1134" w:type="dxa"/>
            <w:vMerge w:val="restart"/>
            <w:vAlign w:val="center"/>
          </w:tcPr>
          <w:p>
            <w:pPr>
              <w:spacing w:line="700" w:lineRule="exact"/>
              <w:rPr>
                <w:rFonts w:ascii="方正书宋_GBK" w:eastAsia="方正书宋_GBK"/>
                <w:b/>
              </w:rPr>
            </w:pPr>
            <w:r>
              <w:rPr>
                <w:rFonts w:hint="eastAsia" w:ascii="宋体" w:hAnsi="宋体" w:cs="宋体"/>
                <w:b/>
              </w:rPr>
              <w:t>政府采购目录序号</w:t>
            </w:r>
          </w:p>
        </w:tc>
        <w:tc>
          <w:tcPr>
            <w:tcW w:w="992" w:type="dxa"/>
            <w:vMerge w:val="restart"/>
            <w:vAlign w:val="center"/>
          </w:tcPr>
          <w:p>
            <w:pPr>
              <w:spacing w:line="700" w:lineRule="exact"/>
              <w:rPr>
                <w:rFonts w:ascii="方正书宋_GBK" w:eastAsia="方正书宋_GBK"/>
                <w:b/>
              </w:rPr>
            </w:pPr>
            <w:r>
              <w:rPr>
                <w:rFonts w:hint="eastAsia" w:ascii="宋体" w:hAnsi="宋体" w:cs="宋体"/>
                <w:b/>
              </w:rPr>
              <w:t>数量</w:t>
            </w:r>
            <w:r>
              <w:rPr>
                <w:rFonts w:ascii="方正书宋_GBK" w:eastAsia="方正书宋_GBK"/>
                <w:b/>
              </w:rPr>
              <w:t xml:space="preserve">  </w:t>
            </w:r>
            <w:r>
              <w:rPr>
                <w:rFonts w:hint="eastAsia" w:ascii="宋体" w:hAnsi="宋体" w:cs="宋体"/>
                <w:b/>
              </w:rPr>
              <w:t>单位</w:t>
            </w:r>
          </w:p>
        </w:tc>
        <w:tc>
          <w:tcPr>
            <w:tcW w:w="851" w:type="dxa"/>
            <w:vMerge w:val="restart"/>
            <w:vAlign w:val="center"/>
          </w:tcPr>
          <w:p>
            <w:pPr>
              <w:spacing w:line="700" w:lineRule="exact"/>
              <w:rPr>
                <w:rFonts w:ascii="方正书宋_GBK" w:eastAsia="方正书宋_GBK"/>
                <w:b/>
              </w:rPr>
            </w:pPr>
            <w:r>
              <w:rPr>
                <w:rFonts w:hint="eastAsia" w:ascii="宋体" w:hAnsi="宋体" w:cs="宋体"/>
                <w:b/>
              </w:rPr>
              <w:t>数量</w:t>
            </w:r>
          </w:p>
        </w:tc>
        <w:tc>
          <w:tcPr>
            <w:tcW w:w="834" w:type="dxa"/>
            <w:vMerge w:val="restart"/>
            <w:vAlign w:val="center"/>
          </w:tcPr>
          <w:p>
            <w:pPr>
              <w:spacing w:line="700" w:lineRule="exact"/>
              <w:rPr>
                <w:rFonts w:ascii="方正书宋_GBK" w:eastAsia="方正书宋_GBK"/>
                <w:b/>
              </w:rPr>
            </w:pPr>
            <w:r>
              <w:rPr>
                <w:rFonts w:hint="eastAsia" w:ascii="宋体" w:hAnsi="宋体" w:cs="宋体"/>
                <w:b/>
              </w:rPr>
              <w:t>单价</w:t>
            </w:r>
          </w:p>
        </w:tc>
        <w:tc>
          <w:tcPr>
            <w:tcW w:w="6237" w:type="dxa"/>
            <w:gridSpan w:val="7"/>
            <w:vAlign w:val="center"/>
          </w:tcPr>
          <w:p>
            <w:pPr>
              <w:spacing w:line="700" w:lineRule="exact"/>
              <w:ind w:firstLine="420" w:firstLineChars="200"/>
              <w:jc w:val="center"/>
              <w:rPr>
                <w:rFonts w:ascii="方正书宋_GBK" w:eastAsia="方正书宋_GBK"/>
                <w:b/>
              </w:rPr>
            </w:pPr>
            <w:r>
              <w:rPr>
                <w:rFonts w:hint="eastAsia" w:ascii="宋体" w:hAnsi="宋体" w:cs="宋体"/>
                <w:b/>
              </w:rPr>
              <w:t>政府采购金额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1221" w:type="dxa"/>
            <w:vMerge w:val="restart"/>
            <w:vAlign w:val="center"/>
          </w:tcPr>
          <w:p>
            <w:pPr>
              <w:spacing w:line="700" w:lineRule="exact"/>
              <w:rPr>
                <w:rFonts w:ascii="方正书宋_GBK" w:eastAsia="方正书宋_GBK"/>
                <w:b/>
              </w:rPr>
            </w:pPr>
            <w:r>
              <w:rPr>
                <w:rFonts w:hint="eastAsia" w:ascii="宋体" w:hAnsi="宋体" w:cs="宋体"/>
                <w:b/>
              </w:rPr>
              <w:t>项目名称</w:t>
            </w:r>
          </w:p>
        </w:tc>
        <w:tc>
          <w:tcPr>
            <w:tcW w:w="764" w:type="dxa"/>
            <w:vMerge w:val="restart"/>
            <w:vAlign w:val="center"/>
          </w:tcPr>
          <w:p>
            <w:pPr>
              <w:spacing w:line="700" w:lineRule="exact"/>
              <w:rPr>
                <w:rFonts w:ascii="方正书宋_GBK" w:eastAsia="方正书宋_GBK"/>
                <w:b/>
              </w:rPr>
            </w:pPr>
            <w:r>
              <w:rPr>
                <w:rFonts w:hint="eastAsia" w:ascii="宋体" w:hAnsi="宋体" w:cs="宋体"/>
                <w:b/>
              </w:rPr>
              <w:t>预算资金</w:t>
            </w:r>
          </w:p>
        </w:tc>
        <w:tc>
          <w:tcPr>
            <w:tcW w:w="1134" w:type="dxa"/>
            <w:vMerge w:val="continue"/>
            <w:vAlign w:val="center"/>
          </w:tcPr>
          <w:p>
            <w:pPr>
              <w:spacing w:line="700" w:lineRule="exact"/>
              <w:ind w:firstLine="420" w:firstLineChars="200"/>
              <w:jc w:val="left"/>
              <w:outlineLvl w:val="0"/>
            </w:pPr>
          </w:p>
        </w:tc>
        <w:tc>
          <w:tcPr>
            <w:tcW w:w="1134" w:type="dxa"/>
            <w:vMerge w:val="continue"/>
            <w:vAlign w:val="center"/>
          </w:tcPr>
          <w:p>
            <w:pPr>
              <w:spacing w:line="700" w:lineRule="exact"/>
              <w:ind w:firstLine="420" w:firstLineChars="200"/>
              <w:jc w:val="left"/>
              <w:outlineLvl w:val="0"/>
            </w:pPr>
          </w:p>
        </w:tc>
        <w:tc>
          <w:tcPr>
            <w:tcW w:w="992" w:type="dxa"/>
            <w:vMerge w:val="continue"/>
            <w:vAlign w:val="center"/>
          </w:tcPr>
          <w:p>
            <w:pPr>
              <w:spacing w:line="700" w:lineRule="exact"/>
              <w:ind w:firstLine="420" w:firstLineChars="200"/>
              <w:jc w:val="left"/>
              <w:outlineLvl w:val="0"/>
            </w:pPr>
          </w:p>
        </w:tc>
        <w:tc>
          <w:tcPr>
            <w:tcW w:w="851" w:type="dxa"/>
            <w:vMerge w:val="continue"/>
            <w:vAlign w:val="center"/>
          </w:tcPr>
          <w:p>
            <w:pPr>
              <w:spacing w:line="700" w:lineRule="exact"/>
              <w:ind w:firstLine="420" w:firstLineChars="200"/>
              <w:jc w:val="left"/>
              <w:outlineLvl w:val="0"/>
            </w:pPr>
          </w:p>
        </w:tc>
        <w:tc>
          <w:tcPr>
            <w:tcW w:w="834" w:type="dxa"/>
            <w:vMerge w:val="continue"/>
            <w:vAlign w:val="center"/>
          </w:tcPr>
          <w:p>
            <w:pPr>
              <w:spacing w:line="700" w:lineRule="exact"/>
              <w:ind w:firstLine="420" w:firstLineChars="200"/>
              <w:jc w:val="left"/>
              <w:outlineLvl w:val="0"/>
            </w:pPr>
          </w:p>
        </w:tc>
        <w:tc>
          <w:tcPr>
            <w:tcW w:w="709" w:type="dxa"/>
            <w:vMerge w:val="restart"/>
            <w:vAlign w:val="center"/>
          </w:tcPr>
          <w:p>
            <w:pPr>
              <w:spacing w:line="700" w:lineRule="exact"/>
              <w:rPr>
                <w:rFonts w:ascii="方正书宋_GBK" w:eastAsia="方正书宋_GBK"/>
                <w:b/>
              </w:rPr>
            </w:pPr>
            <w:r>
              <w:rPr>
                <w:rFonts w:hint="eastAsia" w:ascii="宋体" w:hAnsi="宋体" w:cs="宋体"/>
                <w:b/>
              </w:rPr>
              <w:t>总计</w:t>
            </w:r>
          </w:p>
        </w:tc>
        <w:tc>
          <w:tcPr>
            <w:tcW w:w="4678" w:type="dxa"/>
            <w:gridSpan w:val="5"/>
            <w:vAlign w:val="center"/>
          </w:tcPr>
          <w:p>
            <w:pPr>
              <w:spacing w:line="700" w:lineRule="exact"/>
              <w:ind w:firstLine="420" w:firstLineChars="200"/>
              <w:jc w:val="center"/>
              <w:rPr>
                <w:rFonts w:ascii="方正书宋_GBK" w:eastAsia="方正书宋_GBK"/>
                <w:b/>
              </w:rPr>
            </w:pPr>
            <w:r>
              <w:rPr>
                <w:rFonts w:hint="eastAsia" w:ascii="宋体" w:hAnsi="宋体" w:cs="宋体"/>
                <w:b/>
              </w:rPr>
              <w:t>当年部门预算安排资金</w:t>
            </w:r>
          </w:p>
        </w:tc>
        <w:tc>
          <w:tcPr>
            <w:tcW w:w="850" w:type="dxa"/>
            <w:vMerge w:val="restart"/>
            <w:vAlign w:val="center"/>
          </w:tcPr>
          <w:p>
            <w:pPr>
              <w:spacing w:line="700" w:lineRule="exact"/>
              <w:rPr>
                <w:rFonts w:ascii="方正书宋_GBK" w:eastAsia="方正书宋_GBK"/>
                <w:b/>
              </w:rPr>
            </w:pPr>
            <w:r>
              <w:rPr>
                <w:rFonts w:hint="eastAsia" w:ascii="宋体" w:hAnsi="宋体" w:cs="宋体"/>
                <w:b/>
              </w:rPr>
              <w:t>其他渠道资金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8" w:hRule="atLeast"/>
          <w:tblHeader/>
          <w:jc w:val="center"/>
        </w:trPr>
        <w:tc>
          <w:tcPr>
            <w:tcW w:w="1221" w:type="dxa"/>
            <w:vMerge w:val="continue"/>
            <w:vAlign w:val="center"/>
          </w:tcPr>
          <w:p>
            <w:pPr>
              <w:spacing w:line="700" w:lineRule="exact"/>
              <w:ind w:firstLine="420" w:firstLineChars="200"/>
              <w:jc w:val="left"/>
              <w:outlineLvl w:val="0"/>
            </w:pPr>
          </w:p>
        </w:tc>
        <w:tc>
          <w:tcPr>
            <w:tcW w:w="764" w:type="dxa"/>
            <w:vMerge w:val="continue"/>
            <w:vAlign w:val="center"/>
          </w:tcPr>
          <w:p>
            <w:pPr>
              <w:spacing w:line="700" w:lineRule="exact"/>
              <w:ind w:firstLine="420" w:firstLineChars="200"/>
              <w:jc w:val="left"/>
              <w:outlineLvl w:val="0"/>
            </w:pPr>
          </w:p>
        </w:tc>
        <w:tc>
          <w:tcPr>
            <w:tcW w:w="1134" w:type="dxa"/>
            <w:vMerge w:val="continue"/>
            <w:vAlign w:val="center"/>
          </w:tcPr>
          <w:p>
            <w:pPr>
              <w:spacing w:line="700" w:lineRule="exact"/>
              <w:ind w:firstLine="420" w:firstLineChars="200"/>
              <w:jc w:val="left"/>
              <w:outlineLvl w:val="0"/>
            </w:pPr>
          </w:p>
        </w:tc>
        <w:tc>
          <w:tcPr>
            <w:tcW w:w="1134" w:type="dxa"/>
            <w:vMerge w:val="continue"/>
            <w:vAlign w:val="center"/>
          </w:tcPr>
          <w:p>
            <w:pPr>
              <w:spacing w:line="700" w:lineRule="exact"/>
              <w:ind w:firstLine="420" w:firstLineChars="200"/>
              <w:jc w:val="left"/>
              <w:outlineLvl w:val="0"/>
            </w:pPr>
          </w:p>
        </w:tc>
        <w:tc>
          <w:tcPr>
            <w:tcW w:w="992" w:type="dxa"/>
            <w:vMerge w:val="continue"/>
            <w:vAlign w:val="center"/>
          </w:tcPr>
          <w:p>
            <w:pPr>
              <w:spacing w:line="700" w:lineRule="exact"/>
              <w:ind w:firstLine="420" w:firstLineChars="200"/>
              <w:jc w:val="left"/>
              <w:outlineLvl w:val="0"/>
            </w:pPr>
          </w:p>
        </w:tc>
        <w:tc>
          <w:tcPr>
            <w:tcW w:w="851" w:type="dxa"/>
            <w:vMerge w:val="continue"/>
            <w:vAlign w:val="center"/>
          </w:tcPr>
          <w:p>
            <w:pPr>
              <w:spacing w:line="700" w:lineRule="exact"/>
              <w:ind w:firstLine="420" w:firstLineChars="200"/>
              <w:jc w:val="left"/>
              <w:outlineLvl w:val="0"/>
            </w:pPr>
          </w:p>
        </w:tc>
        <w:tc>
          <w:tcPr>
            <w:tcW w:w="834" w:type="dxa"/>
            <w:vMerge w:val="continue"/>
            <w:vAlign w:val="center"/>
          </w:tcPr>
          <w:p>
            <w:pPr>
              <w:spacing w:line="700" w:lineRule="exact"/>
              <w:ind w:firstLine="420" w:firstLineChars="200"/>
              <w:jc w:val="left"/>
              <w:outlineLvl w:val="0"/>
            </w:pPr>
          </w:p>
        </w:tc>
        <w:tc>
          <w:tcPr>
            <w:tcW w:w="709" w:type="dxa"/>
            <w:vMerge w:val="continue"/>
            <w:vAlign w:val="center"/>
          </w:tcPr>
          <w:p>
            <w:pPr>
              <w:spacing w:line="700" w:lineRule="exact"/>
              <w:ind w:firstLine="420" w:firstLineChars="200"/>
              <w:jc w:val="left"/>
              <w:outlineLvl w:val="0"/>
            </w:pPr>
          </w:p>
        </w:tc>
        <w:tc>
          <w:tcPr>
            <w:tcW w:w="992" w:type="dxa"/>
            <w:vAlign w:val="center"/>
          </w:tcPr>
          <w:p>
            <w:pPr>
              <w:spacing w:line="700" w:lineRule="exact"/>
              <w:rPr>
                <w:rFonts w:ascii="方正书宋_GBK" w:eastAsia="方正书宋_GBK"/>
                <w:b/>
              </w:rPr>
            </w:pPr>
            <w:r>
              <w:rPr>
                <w:rFonts w:hint="eastAsia" w:ascii="宋体" w:hAnsi="宋体" w:cs="宋体"/>
                <w:b/>
              </w:rPr>
              <w:t>合计</w:t>
            </w:r>
          </w:p>
        </w:tc>
        <w:tc>
          <w:tcPr>
            <w:tcW w:w="1134" w:type="dxa"/>
            <w:vAlign w:val="center"/>
          </w:tcPr>
          <w:p>
            <w:pPr>
              <w:spacing w:line="700" w:lineRule="exact"/>
              <w:rPr>
                <w:rFonts w:ascii="方正书宋_GBK" w:eastAsia="方正书宋_GBK"/>
                <w:b/>
              </w:rPr>
            </w:pPr>
            <w:r>
              <w:rPr>
                <w:rFonts w:hint="eastAsia" w:ascii="宋体" w:hAnsi="宋体" w:cs="宋体"/>
                <w:b/>
              </w:rPr>
              <w:t>一般公共预算拨款</w:t>
            </w:r>
          </w:p>
        </w:tc>
        <w:tc>
          <w:tcPr>
            <w:tcW w:w="851" w:type="dxa"/>
            <w:vAlign w:val="center"/>
          </w:tcPr>
          <w:p>
            <w:pPr>
              <w:spacing w:line="700" w:lineRule="exact"/>
              <w:rPr>
                <w:rFonts w:ascii="方正书宋_GBK" w:eastAsia="方正书宋_GBK"/>
                <w:b/>
              </w:rPr>
            </w:pPr>
            <w:r>
              <w:rPr>
                <w:rFonts w:hint="eastAsia" w:ascii="宋体" w:hAnsi="宋体" w:cs="宋体"/>
                <w:b/>
              </w:rPr>
              <w:t>基金预算拨款</w:t>
            </w:r>
          </w:p>
        </w:tc>
        <w:tc>
          <w:tcPr>
            <w:tcW w:w="850" w:type="dxa"/>
            <w:vAlign w:val="center"/>
          </w:tcPr>
          <w:p>
            <w:pPr>
              <w:spacing w:line="700" w:lineRule="exact"/>
              <w:rPr>
                <w:rFonts w:ascii="方正书宋_GBK" w:eastAsia="方正书宋_GBK"/>
                <w:b/>
              </w:rPr>
            </w:pPr>
            <w:r>
              <w:rPr>
                <w:rFonts w:hint="eastAsia" w:ascii="宋体" w:hAnsi="宋体" w:cs="宋体"/>
                <w:b/>
              </w:rPr>
              <w:t>财政专户核拨</w:t>
            </w:r>
          </w:p>
        </w:tc>
        <w:tc>
          <w:tcPr>
            <w:tcW w:w="851" w:type="dxa"/>
            <w:vAlign w:val="center"/>
          </w:tcPr>
          <w:p>
            <w:pPr>
              <w:spacing w:line="700" w:lineRule="exact"/>
              <w:rPr>
                <w:rFonts w:ascii="方正书宋_GBK" w:eastAsia="方正书宋_GBK"/>
                <w:b/>
              </w:rPr>
            </w:pPr>
            <w:r>
              <w:rPr>
                <w:rFonts w:hint="eastAsia" w:ascii="宋体" w:hAnsi="宋体" w:cs="宋体"/>
                <w:b/>
              </w:rPr>
              <w:t>其他来源收入</w:t>
            </w:r>
          </w:p>
        </w:tc>
        <w:tc>
          <w:tcPr>
            <w:tcW w:w="850" w:type="dxa"/>
            <w:vMerge w:val="continue"/>
            <w:vAlign w:val="center"/>
          </w:tcPr>
          <w:p>
            <w:pPr>
              <w:spacing w:line="700" w:lineRule="exact"/>
              <w:ind w:firstLine="420" w:firstLineChars="200"/>
              <w:jc w:val="left"/>
              <w:outlineLvl w:val="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64" w:hRule="atLeast"/>
          <w:jc w:val="center"/>
        </w:trPr>
        <w:tc>
          <w:tcPr>
            <w:tcW w:w="1221" w:type="dxa"/>
            <w:vAlign w:val="center"/>
          </w:tcPr>
          <w:p>
            <w:pPr>
              <w:spacing w:line="700" w:lineRule="exact"/>
              <w:ind w:firstLine="420" w:firstLineChars="200"/>
              <w:jc w:val="center"/>
              <w:rPr>
                <w:rFonts w:ascii="方正书宋_GBK" w:eastAsia="方正书宋_GBK"/>
                <w:b/>
              </w:rPr>
            </w:pPr>
          </w:p>
        </w:tc>
        <w:tc>
          <w:tcPr>
            <w:tcW w:w="764" w:type="dxa"/>
            <w:vAlign w:val="center"/>
          </w:tcPr>
          <w:p>
            <w:pPr>
              <w:spacing w:line="700" w:lineRule="exact"/>
              <w:ind w:firstLine="420" w:firstLineChars="200"/>
              <w:jc w:val="right"/>
              <w:rPr>
                <w:rFonts w:ascii="方正书宋_GBK" w:eastAsia="方正书宋_GBK"/>
                <w:b/>
              </w:rPr>
            </w:pPr>
          </w:p>
        </w:tc>
        <w:tc>
          <w:tcPr>
            <w:tcW w:w="1134" w:type="dxa"/>
            <w:vAlign w:val="center"/>
          </w:tcPr>
          <w:p>
            <w:pPr>
              <w:spacing w:line="700" w:lineRule="exact"/>
              <w:ind w:firstLine="420" w:firstLineChars="200"/>
              <w:jc w:val="left"/>
              <w:rPr>
                <w:rFonts w:ascii="方正书宋_GBK" w:eastAsia="方正书宋_GBK"/>
                <w:b/>
              </w:rPr>
            </w:pPr>
          </w:p>
        </w:tc>
        <w:tc>
          <w:tcPr>
            <w:tcW w:w="1134" w:type="dxa"/>
            <w:vAlign w:val="center"/>
          </w:tcPr>
          <w:p>
            <w:pPr>
              <w:spacing w:line="700" w:lineRule="exact"/>
              <w:ind w:firstLine="420" w:firstLineChars="200"/>
              <w:jc w:val="left"/>
              <w:rPr>
                <w:rFonts w:ascii="方正书宋_GBK" w:eastAsia="方正书宋_GBK"/>
                <w:b/>
              </w:rPr>
            </w:pPr>
          </w:p>
        </w:tc>
        <w:tc>
          <w:tcPr>
            <w:tcW w:w="992" w:type="dxa"/>
            <w:vAlign w:val="center"/>
          </w:tcPr>
          <w:p>
            <w:pPr>
              <w:spacing w:line="700" w:lineRule="exact"/>
              <w:ind w:firstLine="420" w:firstLineChars="200"/>
              <w:jc w:val="left"/>
              <w:rPr>
                <w:rFonts w:ascii="方正书宋_GBK" w:eastAsia="方正书宋_GBK"/>
                <w:b/>
              </w:rPr>
            </w:pPr>
          </w:p>
        </w:tc>
        <w:tc>
          <w:tcPr>
            <w:tcW w:w="851" w:type="dxa"/>
            <w:vAlign w:val="center"/>
          </w:tcPr>
          <w:p>
            <w:pPr>
              <w:spacing w:line="700" w:lineRule="exact"/>
              <w:ind w:firstLine="420" w:firstLineChars="200"/>
              <w:jc w:val="right"/>
              <w:rPr>
                <w:rFonts w:ascii="方正书宋_GBK" w:eastAsia="方正书宋_GBK"/>
                <w:b/>
              </w:rPr>
            </w:pPr>
          </w:p>
        </w:tc>
        <w:tc>
          <w:tcPr>
            <w:tcW w:w="834" w:type="dxa"/>
            <w:vAlign w:val="center"/>
          </w:tcPr>
          <w:p>
            <w:pPr>
              <w:ind w:firstLine="420" w:firstLineChars="200"/>
            </w:pPr>
          </w:p>
        </w:tc>
        <w:tc>
          <w:tcPr>
            <w:tcW w:w="709" w:type="dxa"/>
            <w:vAlign w:val="center"/>
          </w:tcPr>
          <w:p>
            <w:pPr>
              <w:spacing w:line="700" w:lineRule="exact"/>
              <w:ind w:firstLine="420" w:firstLineChars="200"/>
              <w:jc w:val="right"/>
              <w:rPr>
                <w:rFonts w:ascii="方正书宋_GBK" w:eastAsia="方正书宋_GBK"/>
                <w:b/>
              </w:rPr>
            </w:pPr>
          </w:p>
        </w:tc>
        <w:tc>
          <w:tcPr>
            <w:tcW w:w="992" w:type="dxa"/>
            <w:vAlign w:val="center"/>
          </w:tcPr>
          <w:p>
            <w:pPr>
              <w:spacing w:line="700" w:lineRule="exact"/>
              <w:ind w:firstLine="420" w:firstLineChars="200"/>
              <w:jc w:val="right"/>
              <w:rPr>
                <w:rFonts w:ascii="方正书宋_GBK" w:eastAsia="方正书宋_GBK"/>
                <w:b/>
              </w:rPr>
            </w:pPr>
          </w:p>
        </w:tc>
        <w:tc>
          <w:tcPr>
            <w:tcW w:w="1134" w:type="dxa"/>
            <w:vAlign w:val="center"/>
          </w:tcPr>
          <w:p>
            <w:pPr>
              <w:spacing w:line="700" w:lineRule="exact"/>
              <w:ind w:firstLine="420" w:firstLineChars="200"/>
              <w:jc w:val="right"/>
              <w:rPr>
                <w:rFonts w:ascii="方正书宋_GBK" w:eastAsia="方正书宋_GBK"/>
                <w:b/>
              </w:rPr>
            </w:pPr>
          </w:p>
        </w:tc>
        <w:tc>
          <w:tcPr>
            <w:tcW w:w="851" w:type="dxa"/>
            <w:vAlign w:val="center"/>
          </w:tcPr>
          <w:p>
            <w:pPr>
              <w:spacing w:line="700" w:lineRule="exact"/>
              <w:ind w:firstLine="420" w:firstLineChars="200"/>
              <w:jc w:val="right"/>
              <w:rPr>
                <w:rFonts w:ascii="方正书宋_GBK" w:eastAsia="方正书宋_GBK"/>
                <w:b/>
              </w:rPr>
            </w:pPr>
          </w:p>
        </w:tc>
        <w:tc>
          <w:tcPr>
            <w:tcW w:w="850" w:type="dxa"/>
            <w:vAlign w:val="center"/>
          </w:tcPr>
          <w:p>
            <w:pPr>
              <w:spacing w:line="700" w:lineRule="exact"/>
              <w:ind w:firstLine="420" w:firstLineChars="200"/>
              <w:jc w:val="right"/>
              <w:rPr>
                <w:rFonts w:ascii="方正书宋_GBK" w:eastAsia="方正书宋_GBK"/>
                <w:b/>
              </w:rPr>
            </w:pPr>
          </w:p>
        </w:tc>
        <w:tc>
          <w:tcPr>
            <w:tcW w:w="851" w:type="dxa"/>
            <w:vAlign w:val="center"/>
          </w:tcPr>
          <w:p>
            <w:pPr>
              <w:spacing w:line="700" w:lineRule="exact"/>
              <w:ind w:firstLine="420" w:firstLineChars="200"/>
              <w:jc w:val="right"/>
              <w:rPr>
                <w:rFonts w:ascii="方正书宋_GBK" w:eastAsia="方正书宋_GBK"/>
                <w:b/>
              </w:rPr>
            </w:pPr>
          </w:p>
        </w:tc>
        <w:tc>
          <w:tcPr>
            <w:tcW w:w="850" w:type="dxa"/>
            <w:vAlign w:val="center"/>
          </w:tcPr>
          <w:p>
            <w:pPr>
              <w:spacing w:line="700" w:lineRule="exact"/>
              <w:ind w:firstLine="420" w:firstLineChars="200"/>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39" w:hRule="atLeast"/>
          <w:jc w:val="center"/>
        </w:trPr>
        <w:tc>
          <w:tcPr>
            <w:tcW w:w="1221" w:type="dxa"/>
            <w:vAlign w:val="center"/>
          </w:tcPr>
          <w:p>
            <w:pPr>
              <w:spacing w:line="700" w:lineRule="exact"/>
              <w:ind w:firstLine="420" w:firstLineChars="200"/>
              <w:jc w:val="left"/>
              <w:rPr>
                <w:rFonts w:ascii="方正书宋_GBK" w:eastAsia="方正书宋_GBK"/>
              </w:rPr>
            </w:pPr>
          </w:p>
        </w:tc>
        <w:tc>
          <w:tcPr>
            <w:tcW w:w="764" w:type="dxa"/>
            <w:vAlign w:val="center"/>
          </w:tcPr>
          <w:p>
            <w:pPr>
              <w:spacing w:line="700" w:lineRule="exact"/>
              <w:ind w:firstLine="420" w:firstLineChars="200"/>
              <w:jc w:val="right"/>
              <w:rPr>
                <w:rFonts w:ascii="方正书宋_GBK" w:eastAsia="方正书宋_GBK"/>
              </w:rPr>
            </w:pPr>
          </w:p>
        </w:tc>
        <w:tc>
          <w:tcPr>
            <w:tcW w:w="1134" w:type="dxa"/>
            <w:vAlign w:val="center"/>
          </w:tcPr>
          <w:p>
            <w:pPr>
              <w:spacing w:line="700" w:lineRule="exact"/>
              <w:ind w:firstLine="420" w:firstLineChars="200"/>
              <w:jc w:val="left"/>
              <w:rPr>
                <w:rFonts w:ascii="方正书宋_GBK" w:eastAsia="方正书宋_GBK"/>
              </w:rPr>
            </w:pPr>
          </w:p>
        </w:tc>
        <w:tc>
          <w:tcPr>
            <w:tcW w:w="1134" w:type="dxa"/>
            <w:vAlign w:val="center"/>
          </w:tcPr>
          <w:p>
            <w:pPr>
              <w:spacing w:line="700" w:lineRule="exact"/>
              <w:ind w:firstLine="420" w:firstLineChars="200"/>
              <w:jc w:val="left"/>
              <w:rPr>
                <w:rFonts w:ascii="方正书宋_GBK" w:eastAsia="方正书宋_GBK"/>
              </w:rPr>
            </w:pPr>
          </w:p>
        </w:tc>
        <w:tc>
          <w:tcPr>
            <w:tcW w:w="992" w:type="dxa"/>
            <w:vAlign w:val="center"/>
          </w:tcPr>
          <w:p>
            <w:pPr>
              <w:spacing w:line="700" w:lineRule="exact"/>
              <w:ind w:firstLine="420" w:firstLineChars="200"/>
              <w:jc w:val="left"/>
              <w:rPr>
                <w:rFonts w:ascii="方正书宋_GBK" w:eastAsia="方正书宋_GBK"/>
              </w:rPr>
            </w:pPr>
          </w:p>
        </w:tc>
        <w:tc>
          <w:tcPr>
            <w:tcW w:w="851" w:type="dxa"/>
            <w:vAlign w:val="center"/>
          </w:tcPr>
          <w:p>
            <w:pPr>
              <w:spacing w:line="700" w:lineRule="exact"/>
              <w:ind w:firstLine="420" w:firstLineChars="200"/>
              <w:jc w:val="right"/>
              <w:rPr>
                <w:rFonts w:ascii="方正书宋_GBK" w:eastAsia="方正书宋_GBK"/>
              </w:rPr>
            </w:pPr>
          </w:p>
        </w:tc>
        <w:tc>
          <w:tcPr>
            <w:tcW w:w="834" w:type="dxa"/>
            <w:vAlign w:val="center"/>
          </w:tcPr>
          <w:p>
            <w:pPr>
              <w:spacing w:line="700" w:lineRule="exact"/>
              <w:ind w:firstLine="420" w:firstLineChars="200"/>
              <w:jc w:val="right"/>
              <w:rPr>
                <w:rFonts w:ascii="方正书宋_GBK" w:eastAsia="方正书宋_GBK"/>
              </w:rPr>
            </w:pPr>
          </w:p>
        </w:tc>
        <w:tc>
          <w:tcPr>
            <w:tcW w:w="709" w:type="dxa"/>
            <w:vAlign w:val="center"/>
          </w:tcPr>
          <w:p>
            <w:pPr>
              <w:spacing w:line="700" w:lineRule="exact"/>
              <w:ind w:firstLine="420" w:firstLineChars="200"/>
              <w:jc w:val="right"/>
              <w:rPr>
                <w:rFonts w:ascii="方正书宋_GBK" w:eastAsia="方正书宋_GBK"/>
              </w:rPr>
            </w:pPr>
          </w:p>
        </w:tc>
        <w:tc>
          <w:tcPr>
            <w:tcW w:w="992" w:type="dxa"/>
            <w:vAlign w:val="center"/>
          </w:tcPr>
          <w:p>
            <w:pPr>
              <w:spacing w:line="700" w:lineRule="exact"/>
              <w:ind w:firstLine="420" w:firstLineChars="200"/>
              <w:jc w:val="right"/>
              <w:rPr>
                <w:rFonts w:ascii="方正书宋_GBK" w:eastAsia="方正书宋_GBK"/>
              </w:rPr>
            </w:pPr>
          </w:p>
        </w:tc>
        <w:tc>
          <w:tcPr>
            <w:tcW w:w="1134" w:type="dxa"/>
            <w:vAlign w:val="center"/>
          </w:tcPr>
          <w:p>
            <w:pPr>
              <w:spacing w:line="700" w:lineRule="exact"/>
              <w:ind w:firstLine="420" w:firstLineChars="200"/>
              <w:jc w:val="right"/>
              <w:rPr>
                <w:rFonts w:ascii="方正书宋_GBK" w:eastAsia="方正书宋_GBK"/>
              </w:rPr>
            </w:pPr>
          </w:p>
        </w:tc>
        <w:tc>
          <w:tcPr>
            <w:tcW w:w="851" w:type="dxa"/>
            <w:vAlign w:val="center"/>
          </w:tcPr>
          <w:p>
            <w:pPr>
              <w:spacing w:line="700" w:lineRule="exact"/>
              <w:ind w:firstLine="420" w:firstLineChars="200"/>
              <w:jc w:val="right"/>
              <w:rPr>
                <w:rFonts w:ascii="方正书宋_GBK" w:eastAsia="方正书宋_GBK"/>
              </w:rPr>
            </w:pPr>
          </w:p>
        </w:tc>
        <w:tc>
          <w:tcPr>
            <w:tcW w:w="850" w:type="dxa"/>
            <w:vAlign w:val="center"/>
          </w:tcPr>
          <w:p>
            <w:pPr>
              <w:spacing w:line="700" w:lineRule="exact"/>
              <w:ind w:firstLine="420" w:firstLineChars="200"/>
              <w:jc w:val="right"/>
              <w:rPr>
                <w:rFonts w:ascii="方正书宋_GBK" w:eastAsia="方正书宋_GBK"/>
              </w:rPr>
            </w:pPr>
          </w:p>
        </w:tc>
        <w:tc>
          <w:tcPr>
            <w:tcW w:w="851" w:type="dxa"/>
            <w:vAlign w:val="center"/>
          </w:tcPr>
          <w:p>
            <w:pPr>
              <w:spacing w:line="700" w:lineRule="exact"/>
              <w:ind w:firstLine="420" w:firstLineChars="200"/>
              <w:jc w:val="right"/>
              <w:rPr>
                <w:rFonts w:ascii="方正书宋_GBK" w:eastAsia="方正书宋_GBK"/>
              </w:rPr>
            </w:pPr>
          </w:p>
        </w:tc>
        <w:tc>
          <w:tcPr>
            <w:tcW w:w="850" w:type="dxa"/>
            <w:vAlign w:val="center"/>
          </w:tcPr>
          <w:p>
            <w:pPr>
              <w:spacing w:line="700" w:lineRule="exact"/>
              <w:ind w:firstLine="420" w:firstLineChars="200"/>
              <w:jc w:val="right"/>
              <w:rPr>
                <w:rFonts w:ascii="方正书宋_GBK" w:eastAsia="方正书宋_GBK"/>
              </w:rPr>
            </w:pPr>
          </w:p>
        </w:tc>
      </w:tr>
    </w:tbl>
    <w:p>
      <w:pPr>
        <w:spacing w:line="360" w:lineRule="auto"/>
        <w:ind w:firstLine="640" w:firstLineChars="200"/>
        <w:rPr>
          <w:rFonts w:ascii="仿宋" w:hAnsi="仿宋" w:eastAsia="仿宋"/>
          <w:sz w:val="32"/>
          <w:szCs w:val="32"/>
        </w:rPr>
        <w:sectPr>
          <w:pgSz w:w="16838" w:h="11906" w:orient="landscape"/>
          <w:pgMar w:top="1797" w:right="1440" w:bottom="1797" w:left="1440" w:header="851" w:footer="992" w:gutter="0"/>
          <w:cols w:space="425" w:num="1"/>
          <w:docGrid w:type="linesAndChars" w:linePitch="312" w:charSpace="0"/>
        </w:sectPr>
      </w:pP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上年末我部门固定资产总金额为292.01万元（详见下表）。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ind w:firstLine="640" w:firstLineChars="200"/>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ind w:firstLine="640" w:firstLineChars="200"/>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截止时间：2018年12月31日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482" w:firstLineChars="200"/>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ind w:firstLine="482" w:firstLineChars="200"/>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482" w:firstLineChars="200"/>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ind w:firstLine="482" w:firstLineChars="200"/>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292.01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1305</w:t>
            </w:r>
          </w:p>
        </w:tc>
        <w:tc>
          <w:tcPr>
            <w:tcW w:w="4261" w:type="dxa"/>
            <w:tcBorders>
              <w:top w:val="nil"/>
              <w:left w:val="nil"/>
              <w:bottom w:val="single" w:color="auto" w:sz="4" w:space="0"/>
              <w:right w:val="single" w:color="auto" w:sz="4" w:space="0"/>
            </w:tcBorders>
            <w:shd w:val="clear" w:color="auto" w:fill="auto"/>
            <w:noWrap/>
            <w:vAlign w:val="center"/>
          </w:tcPr>
          <w:p>
            <w:pPr>
              <w:widowControl/>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102.85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481</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40.23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4261" w:type="dxa"/>
            <w:tcBorders>
              <w:top w:val="nil"/>
              <w:left w:val="nil"/>
              <w:bottom w:val="single" w:color="auto" w:sz="4" w:space="0"/>
              <w:right w:val="single" w:color="auto" w:sz="4" w:space="0"/>
            </w:tcBorders>
            <w:shd w:val="clear" w:color="auto" w:fill="auto"/>
            <w:noWrap/>
            <w:vAlign w:val="center"/>
          </w:tcPr>
          <w:p>
            <w:pPr>
              <w:widowControl/>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19.84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480" w:firstLineChars="2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480" w:firstLineChars="200"/>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ind w:firstLine="480" w:firstLineChars="200"/>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169.32</w:t>
            </w:r>
          </w:p>
        </w:tc>
      </w:tr>
    </w:tbl>
    <w:p>
      <w:pPr>
        <w:spacing w:line="360" w:lineRule="auto"/>
        <w:ind w:firstLine="640" w:firstLineChars="200"/>
        <w:rPr>
          <w:rFonts w:ascii="黑体" w:hAnsi="黑体" w:eastAsia="黑体" w:cs="Times New Roman"/>
          <w:sz w:val="32"/>
          <w:szCs w:val="32"/>
        </w:rPr>
      </w:pP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ascii="仿宋" w:hAnsi="仿宋" w:eastAsia="仿宋"/>
          <w:b/>
          <w:sz w:val="32"/>
          <w:szCs w:val="32"/>
        </w:rPr>
        <w:t>一般公共预算财政拨款收入</w:t>
      </w:r>
      <w:r>
        <w:rPr>
          <w:rFonts w:ascii="仿宋" w:hAnsi="仿宋" w:eastAsia="仿宋"/>
          <w:sz w:val="32"/>
          <w:szCs w:val="32"/>
        </w:rPr>
        <w:t>：指区级财政当年拨付的资金。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ascii="仿宋" w:hAnsi="仿宋" w:eastAsia="仿宋"/>
          <w:b/>
          <w:sz w:val="32"/>
          <w:szCs w:val="32"/>
        </w:rPr>
        <w:t>其他收入</w:t>
      </w:r>
      <w:r>
        <w:rPr>
          <w:rFonts w:ascii="仿宋" w:hAnsi="仿宋" w:eastAsia="仿宋"/>
          <w:sz w:val="32"/>
          <w:szCs w:val="32"/>
        </w:rPr>
        <w:t>：指除上述“财政拨款收入”、“事业收入”等以外的收入。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ascii="仿宋" w:hAnsi="仿宋" w:eastAsia="仿宋"/>
          <w:b/>
          <w:sz w:val="32"/>
          <w:szCs w:val="32"/>
        </w:rPr>
        <w:t>基本支出</w:t>
      </w:r>
      <w:r>
        <w:rPr>
          <w:rFonts w:ascii="仿宋" w:hAnsi="仿宋" w:eastAsia="仿宋"/>
          <w:sz w:val="32"/>
          <w:szCs w:val="32"/>
        </w:rPr>
        <w:t>：指为保障机构正常运转、完成日常工作任务而发生的人员支出和公用支出。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w:t>
      </w:r>
      <w:r>
        <w:rPr>
          <w:rFonts w:ascii="仿宋" w:hAnsi="仿宋" w:eastAsia="仿宋"/>
          <w:b/>
          <w:sz w:val="32"/>
          <w:szCs w:val="32"/>
        </w:rPr>
        <w:t>项目支出</w:t>
      </w:r>
      <w:r>
        <w:rPr>
          <w:rFonts w:ascii="仿宋" w:hAnsi="仿宋" w:eastAsia="仿宋"/>
          <w:sz w:val="32"/>
          <w:szCs w:val="32"/>
        </w:rPr>
        <w:t>：指在基本支出之外为完成特定行政任务和事业发展目标所发生的支出。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ascii="仿宋" w:hAnsi="仿宋" w:eastAsia="仿宋"/>
          <w:b/>
          <w:sz w:val="32"/>
          <w:szCs w:val="32"/>
        </w:rPr>
        <w:t>三公”经费</w:t>
      </w:r>
      <w:r>
        <w:rPr>
          <w:rFonts w:ascii="仿宋" w:hAnsi="仿宋" w:eastAsia="仿宋"/>
          <w:sz w:val="32"/>
          <w:szCs w:val="32"/>
        </w:rPr>
        <w:t>：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w:t>
      </w:r>
      <w:r>
        <w:rPr>
          <w:rFonts w:ascii="仿宋" w:hAnsi="仿宋" w:eastAsia="仿宋"/>
          <w:b/>
          <w:sz w:val="32"/>
          <w:szCs w:val="32"/>
        </w:rPr>
        <w:t>机关运行费</w:t>
      </w:r>
      <w:r>
        <w:rPr>
          <w:rFonts w:ascii="仿宋" w:hAnsi="仿宋" w:eastAsia="仿宋"/>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ind w:firstLine="640" w:firstLineChars="200"/>
        <w:jc w:val="center"/>
        <w:rPr>
          <w:rFonts w:ascii="黑体" w:hAnsi="黑体" w:eastAsia="黑体" w:cs="Times New Roman"/>
          <w:sz w:val="32"/>
          <w:szCs w:val="32"/>
        </w:rPr>
      </w:pPr>
    </w:p>
    <w:p>
      <w:pPr>
        <w:spacing w:line="360" w:lineRule="auto"/>
        <w:ind w:firstLine="640" w:firstLineChars="200"/>
        <w:jc w:val="center"/>
        <w:rPr>
          <w:rFonts w:ascii="黑体" w:hAnsi="黑体" w:eastAsia="黑体" w:cs="Times New Roman"/>
          <w:sz w:val="32"/>
          <w:szCs w:val="32"/>
        </w:rPr>
      </w:pPr>
      <w:r>
        <w:rPr>
          <w:rFonts w:hint="eastAsia" w:ascii="黑体" w:hAnsi="黑体" w:eastAsia="黑体" w:cs="Times New Roman"/>
          <w:sz w:val="32"/>
          <w:szCs w:val="32"/>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5373602"/>
      <w:docPartObj>
        <w:docPartGallery w:val="autotext"/>
      </w:docPartObj>
    </w:sdtPr>
    <w:sdtContent>
      <w:p>
        <w:pPr>
          <w:pStyle w:val="3"/>
          <w:jc w:val="center"/>
        </w:pPr>
        <w:r>
          <w:fldChar w:fldCharType="begin"/>
        </w:r>
        <w:r>
          <w:instrText xml:space="preserve">PAGE   \* MERGEFORMAT</w:instrText>
        </w:r>
        <w:r>
          <w:fldChar w:fldCharType="separate"/>
        </w:r>
        <w:r>
          <w:rPr>
            <w:lang w:val="zh-CN"/>
          </w:rPr>
          <w:t>9</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875289"/>
    <w:multiLevelType w:val="multilevel"/>
    <w:tmpl w:val="31875289"/>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iYmM0YWExZGUzN2QzZjkwOGRhZGUwZWIxNTZlZTkifQ=="/>
  </w:docVars>
  <w:rsids>
    <w:rsidRoot w:val="00055F1F"/>
    <w:rsid w:val="00013B8A"/>
    <w:rsid w:val="00044FBC"/>
    <w:rsid w:val="00055F1F"/>
    <w:rsid w:val="00057F18"/>
    <w:rsid w:val="000A445D"/>
    <w:rsid w:val="000C0E10"/>
    <w:rsid w:val="0011427C"/>
    <w:rsid w:val="0012795E"/>
    <w:rsid w:val="00131DEC"/>
    <w:rsid w:val="001462BD"/>
    <w:rsid w:val="00152380"/>
    <w:rsid w:val="001638BE"/>
    <w:rsid w:val="00181777"/>
    <w:rsid w:val="001867A2"/>
    <w:rsid w:val="001B4688"/>
    <w:rsid w:val="001F4875"/>
    <w:rsid w:val="00221CDB"/>
    <w:rsid w:val="002918C6"/>
    <w:rsid w:val="00296524"/>
    <w:rsid w:val="002E01F6"/>
    <w:rsid w:val="002F530F"/>
    <w:rsid w:val="00305E97"/>
    <w:rsid w:val="003170CA"/>
    <w:rsid w:val="003173E9"/>
    <w:rsid w:val="0032782B"/>
    <w:rsid w:val="00334225"/>
    <w:rsid w:val="00340B3D"/>
    <w:rsid w:val="00367A30"/>
    <w:rsid w:val="003A06D2"/>
    <w:rsid w:val="003C2317"/>
    <w:rsid w:val="003C442E"/>
    <w:rsid w:val="003D1092"/>
    <w:rsid w:val="003D37CD"/>
    <w:rsid w:val="003E5531"/>
    <w:rsid w:val="0040243C"/>
    <w:rsid w:val="00406BD1"/>
    <w:rsid w:val="00426C19"/>
    <w:rsid w:val="00450FD9"/>
    <w:rsid w:val="00453CE0"/>
    <w:rsid w:val="00470BBB"/>
    <w:rsid w:val="0048611E"/>
    <w:rsid w:val="00491CE1"/>
    <w:rsid w:val="004B6929"/>
    <w:rsid w:val="004F3C52"/>
    <w:rsid w:val="00502D2F"/>
    <w:rsid w:val="00510A1E"/>
    <w:rsid w:val="00570142"/>
    <w:rsid w:val="005B1B6F"/>
    <w:rsid w:val="005B6CCB"/>
    <w:rsid w:val="005C54AA"/>
    <w:rsid w:val="005C7B89"/>
    <w:rsid w:val="005D2172"/>
    <w:rsid w:val="0062788A"/>
    <w:rsid w:val="00641F8A"/>
    <w:rsid w:val="006C62DF"/>
    <w:rsid w:val="006D640F"/>
    <w:rsid w:val="006F5104"/>
    <w:rsid w:val="00727A45"/>
    <w:rsid w:val="00735B02"/>
    <w:rsid w:val="007657C8"/>
    <w:rsid w:val="00771E49"/>
    <w:rsid w:val="00782208"/>
    <w:rsid w:val="00795207"/>
    <w:rsid w:val="007C7FD7"/>
    <w:rsid w:val="007F3746"/>
    <w:rsid w:val="00833132"/>
    <w:rsid w:val="008672EA"/>
    <w:rsid w:val="00874F6F"/>
    <w:rsid w:val="00891680"/>
    <w:rsid w:val="008A0B5F"/>
    <w:rsid w:val="008B5402"/>
    <w:rsid w:val="0090527E"/>
    <w:rsid w:val="00905BB7"/>
    <w:rsid w:val="00912DA4"/>
    <w:rsid w:val="009302B8"/>
    <w:rsid w:val="009305C6"/>
    <w:rsid w:val="00945F83"/>
    <w:rsid w:val="00982F3D"/>
    <w:rsid w:val="00A269AA"/>
    <w:rsid w:val="00A46A9B"/>
    <w:rsid w:val="00A77E64"/>
    <w:rsid w:val="00A8079E"/>
    <w:rsid w:val="00A92D66"/>
    <w:rsid w:val="00AA4262"/>
    <w:rsid w:val="00AB0A0F"/>
    <w:rsid w:val="00AB5A90"/>
    <w:rsid w:val="00AD32CB"/>
    <w:rsid w:val="00AE4AA5"/>
    <w:rsid w:val="00AE7FA9"/>
    <w:rsid w:val="00B12C19"/>
    <w:rsid w:val="00B147EB"/>
    <w:rsid w:val="00B51108"/>
    <w:rsid w:val="00B80FAB"/>
    <w:rsid w:val="00B81C88"/>
    <w:rsid w:val="00B92430"/>
    <w:rsid w:val="00BA5C83"/>
    <w:rsid w:val="00BC6A7D"/>
    <w:rsid w:val="00BD719F"/>
    <w:rsid w:val="00C177A5"/>
    <w:rsid w:val="00C22B36"/>
    <w:rsid w:val="00C36E96"/>
    <w:rsid w:val="00C6153C"/>
    <w:rsid w:val="00CC6F71"/>
    <w:rsid w:val="00CC7D74"/>
    <w:rsid w:val="00CD38DC"/>
    <w:rsid w:val="00D02F97"/>
    <w:rsid w:val="00D13DB8"/>
    <w:rsid w:val="00D45530"/>
    <w:rsid w:val="00D6376C"/>
    <w:rsid w:val="00DA5DA7"/>
    <w:rsid w:val="00DE3935"/>
    <w:rsid w:val="00DF3601"/>
    <w:rsid w:val="00E12EEB"/>
    <w:rsid w:val="00E2325B"/>
    <w:rsid w:val="00E24075"/>
    <w:rsid w:val="00E35F38"/>
    <w:rsid w:val="00E46F27"/>
    <w:rsid w:val="00E509CC"/>
    <w:rsid w:val="00E71A04"/>
    <w:rsid w:val="00E96342"/>
    <w:rsid w:val="00EF3675"/>
    <w:rsid w:val="00F000B1"/>
    <w:rsid w:val="00F012D3"/>
    <w:rsid w:val="00F10D04"/>
    <w:rsid w:val="00F572CB"/>
    <w:rsid w:val="00F621AF"/>
    <w:rsid w:val="00F82447"/>
    <w:rsid w:val="00F93A15"/>
    <w:rsid w:val="00FA7C23"/>
    <w:rsid w:val="00FB2F32"/>
    <w:rsid w:val="00FE0F1F"/>
    <w:rsid w:val="00FF61F3"/>
    <w:rsid w:val="0DEF45BD"/>
    <w:rsid w:val="104C10E8"/>
    <w:rsid w:val="46D10C6C"/>
    <w:rsid w:val="4EA64496"/>
    <w:rsid w:val="777B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 w:type="character" w:customStyle="1" w:styleId="9">
    <w:name w:val="批注框文本 字符"/>
    <w:basedOn w:val="6"/>
    <w:link w:val="2"/>
    <w:autoRedefine/>
    <w:semiHidden/>
    <w:qFormat/>
    <w:uiPriority w:val="99"/>
    <w:rPr>
      <w:sz w:val="18"/>
      <w:szCs w:val="18"/>
    </w:rPr>
  </w:style>
  <w:style w:type="paragraph" w:styleId="10">
    <w:name w:val="List Paragraph"/>
    <w:basedOn w:val="1"/>
    <w:autoRedefine/>
    <w:qFormat/>
    <w:uiPriority w:val="34"/>
    <w:pPr>
      <w:ind w:firstLine="420" w:firstLineChars="200"/>
    </w:pPr>
  </w:style>
  <w:style w:type="paragraph" w:customStyle="1" w:styleId="11">
    <w:name w:val="正文1"/>
    <w:basedOn w:val="1"/>
    <w:autoRedefine/>
    <w:qFormat/>
    <w:uiPriority w:val="0"/>
    <w:pPr>
      <w:widowControl/>
    </w:pPr>
    <w:rPr>
      <w:rFonts w:ascii="Calibri" w:hAnsi="Calibri" w:eastAsia="Calibri" w:cs="Times New Roman"/>
      <w:kern w:val="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2745A-B54A-45F6-BB50-E592D145B556}">
  <ds:schemaRefs/>
</ds:datastoreItem>
</file>

<file path=docProps/app.xml><?xml version="1.0" encoding="utf-8"?>
<Properties xmlns="http://schemas.openxmlformats.org/officeDocument/2006/extended-properties" xmlns:vt="http://schemas.openxmlformats.org/officeDocument/2006/docPropsVTypes">
  <Template>Normal</Template>
  <Pages>21</Pages>
  <Words>2306</Words>
  <Characters>13147</Characters>
  <Lines>109</Lines>
  <Paragraphs>30</Paragraphs>
  <TotalTime>584</TotalTime>
  <ScaleCrop>false</ScaleCrop>
  <LinksUpToDate>false</LinksUpToDate>
  <CharactersWithSpaces>15423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平常心</cp:lastModifiedBy>
  <cp:lastPrinted>2019-02-19T07:03:00Z</cp:lastPrinted>
  <dcterms:modified xsi:type="dcterms:W3CDTF">2024-07-01T05:42:53Z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5B282918CD4746AEAEBA1D614D245D48_13</vt:lpwstr>
  </property>
</Properties>
</file>