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p>
    <w:p>
      <w:pPr>
        <w:spacing w:line="360" w:lineRule="auto"/>
        <w:jc w:val="center"/>
        <w:rPr>
          <w:rFonts w:ascii="宋体" w:hAnsi="宋体" w:eastAsia="宋体"/>
          <w:b/>
          <w:sz w:val="44"/>
          <w:szCs w:val="44"/>
        </w:rPr>
      </w:pPr>
      <w:r>
        <w:rPr>
          <w:rFonts w:hint="eastAsia" w:ascii="宋体" w:hAnsi="宋体" w:eastAsia="宋体"/>
          <w:b/>
          <w:sz w:val="44"/>
          <w:szCs w:val="44"/>
        </w:rPr>
        <w:t>保定市徐水区留村镇</w:t>
      </w:r>
    </w:p>
    <w:p>
      <w:pPr>
        <w:spacing w:line="360" w:lineRule="auto"/>
        <w:jc w:val="center"/>
        <w:rPr>
          <w:rFonts w:ascii="宋体" w:hAnsi="宋体" w:eastAsia="宋体"/>
          <w:b/>
          <w:sz w:val="44"/>
          <w:szCs w:val="44"/>
        </w:rPr>
      </w:pPr>
      <w:r>
        <w:rPr>
          <w:rFonts w:ascii="宋体" w:hAnsi="宋体" w:eastAsia="宋体"/>
          <w:b/>
          <w:sz w:val="44"/>
          <w:szCs w:val="44"/>
        </w:rPr>
        <w:t>2021年单位预算公开说明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482" w:firstLineChars="200"/>
        <w:rPr>
          <w:rFonts w:ascii="仿宋" w:hAnsi="仿宋" w:eastAsia="仿宋"/>
          <w:b/>
          <w:sz w:val="24"/>
          <w:szCs w:val="24"/>
        </w:rPr>
      </w:pPr>
      <w:r>
        <w:rPr>
          <w:rFonts w:hint="eastAsia" w:ascii="仿宋" w:hAnsi="仿宋" w:eastAsia="仿宋"/>
          <w:b/>
          <w:sz w:val="24"/>
          <w:szCs w:val="24"/>
        </w:rPr>
        <w:t>按照</w:t>
      </w:r>
      <w:r>
        <w:rPr>
          <w:rFonts w:hint="eastAsia" w:ascii="仿宋" w:hAnsi="仿宋" w:eastAsia="仿宋"/>
          <w:b/>
          <w:sz w:val="24"/>
          <w:szCs w:val="24"/>
          <w:lang w:eastAsia="zh-CN"/>
        </w:rPr>
        <w:t>《中华人民共和国预算法》</w:t>
      </w:r>
      <w:r>
        <w:rPr>
          <w:rFonts w:hint="eastAsia" w:ascii="仿宋" w:hAnsi="仿宋" w:eastAsia="仿宋"/>
          <w:b/>
          <w:sz w:val="24"/>
          <w:szCs w:val="24"/>
        </w:rPr>
        <w:t>、《地方预决算公开操作规程》等文件规定，现将我单位预算信息公开如下：</w:t>
      </w:r>
    </w:p>
    <w:p>
      <w:pPr>
        <w:ind w:left="420" w:leftChars="200" w:firstLine="482" w:firstLineChars="200"/>
        <w:jc w:val="left"/>
        <w:outlineLvl w:val="0"/>
        <w:rPr>
          <w:rFonts w:ascii="仿宋" w:hAnsi="仿宋" w:eastAsia="仿宋"/>
          <w:b/>
          <w:sz w:val="24"/>
          <w:szCs w:val="24"/>
        </w:rPr>
      </w:pPr>
      <w:r>
        <w:rPr>
          <w:rFonts w:hint="eastAsia" w:ascii="仿宋" w:hAnsi="仿宋" w:eastAsia="仿宋"/>
          <w:b/>
          <w:sz w:val="24"/>
          <w:szCs w:val="24"/>
        </w:rPr>
        <w:t>第一部分</w:t>
      </w:r>
      <w:r>
        <w:rPr>
          <w:rFonts w:ascii="仿宋" w:hAnsi="仿宋" w:eastAsia="仿宋"/>
          <w:b/>
          <w:sz w:val="24"/>
          <w:szCs w:val="24"/>
        </w:rPr>
        <w:t>:单位职责及机构设置情况</w:t>
      </w:r>
    </w:p>
    <w:p>
      <w:pPr>
        <w:pStyle w:val="14"/>
        <w:numPr>
          <w:ilvl w:val="0"/>
          <w:numId w:val="1"/>
        </w:numPr>
        <w:spacing w:line="360" w:lineRule="auto"/>
        <w:ind w:left="420" w:leftChars="200" w:firstLine="482"/>
        <w:jc w:val="left"/>
        <w:rPr>
          <w:rFonts w:ascii="仿宋" w:hAnsi="仿宋" w:eastAsia="仿宋"/>
          <w:b/>
          <w:sz w:val="24"/>
          <w:szCs w:val="24"/>
        </w:rPr>
      </w:pPr>
      <w:r>
        <w:rPr>
          <w:rFonts w:hint="eastAsia" w:ascii="仿宋" w:hAnsi="仿宋" w:eastAsia="仿宋"/>
          <w:b/>
          <w:sz w:val="24"/>
          <w:szCs w:val="24"/>
        </w:rPr>
        <w:t>单位职责</w:t>
      </w:r>
    </w:p>
    <w:p>
      <w:pPr>
        <w:pStyle w:val="14"/>
        <w:spacing w:line="500" w:lineRule="exact"/>
        <w:ind w:left="420" w:leftChars="200" w:firstLine="480"/>
        <w:jc w:val="left"/>
        <w:rPr>
          <w:rFonts w:ascii="Times New Roman" w:eastAsia="方正仿宋_GBK"/>
          <w:sz w:val="24"/>
          <w:szCs w:val="24"/>
        </w:rPr>
      </w:pPr>
      <w:r>
        <w:rPr>
          <w:rFonts w:hint="eastAsia" w:ascii="Times New Roman" w:eastAsia="方正仿宋_GBK"/>
          <w:sz w:val="24"/>
          <w:szCs w:val="24"/>
        </w:rPr>
        <w:t>根据《保定市徐水区留村镇人民政府职能配置、内设机构和人员编制规定》，</w:t>
      </w:r>
      <w:r>
        <w:rPr>
          <w:rFonts w:ascii="Times New Roman" w:eastAsia="方正仿宋_GBK"/>
          <w:sz w:val="24"/>
          <w:szCs w:val="24"/>
        </w:rPr>
        <w:t xml:space="preserve"> 保定市徐水区留村镇人民政府的主要职责是：</w:t>
      </w:r>
    </w:p>
    <w:p>
      <w:pPr>
        <w:pStyle w:val="14"/>
        <w:spacing w:line="500" w:lineRule="exact"/>
        <w:ind w:left="420" w:leftChars="200" w:firstLine="480"/>
        <w:jc w:val="left"/>
        <w:rPr>
          <w:rFonts w:ascii="Times New Roman" w:hAnsi="微软雅黑" w:eastAsia="方正仿宋_GBK" w:cs="微软雅黑"/>
          <w:sz w:val="24"/>
          <w:szCs w:val="24"/>
        </w:rPr>
      </w:pPr>
      <w:r>
        <w:rPr>
          <w:rFonts w:ascii="Times New Roman" w:eastAsia="方正仿宋_GBK"/>
          <w:sz w:val="24"/>
          <w:szCs w:val="24"/>
        </w:rPr>
        <w:t xml:space="preserve">     (</w:t>
      </w:r>
      <w:r>
        <w:rPr>
          <w:rFonts w:hint="eastAsia" w:ascii="Times New Roman" w:hAnsi="微软雅黑" w:eastAsia="方正仿宋_GBK" w:cs="微软雅黑"/>
          <w:sz w:val="24"/>
          <w:szCs w:val="24"/>
        </w:rPr>
        <w:t>一</w:t>
      </w:r>
      <w:r>
        <w:rPr>
          <w:rFonts w:ascii="Times New Roman" w:eastAsia="方正仿宋_GBK"/>
          <w:sz w:val="24"/>
          <w:szCs w:val="24"/>
        </w:rPr>
        <w:t>)</w:t>
      </w:r>
      <w:r>
        <w:rPr>
          <w:rFonts w:hint="eastAsia" w:ascii="Times New Roman" w:hAnsi="微软雅黑" w:eastAsia="方正仿宋_GBK" w:cs="微软雅黑"/>
          <w:sz w:val="24"/>
          <w:szCs w:val="24"/>
        </w:rPr>
        <w:t>宣传贯彻执行党的路线方针政策和党中央、上级党组织及本乡镇党员代表大会</w:t>
      </w:r>
      <w:r>
        <w:rPr>
          <w:rFonts w:ascii="Times New Roman" w:eastAsia="方正仿宋_GBK"/>
          <w:sz w:val="24"/>
          <w:szCs w:val="24"/>
        </w:rPr>
        <w:t>(</w:t>
      </w:r>
      <w:r>
        <w:rPr>
          <w:rFonts w:hint="eastAsia" w:ascii="Times New Roman" w:hAnsi="微软雅黑" w:eastAsia="方正仿宋_GBK" w:cs="微软雅黑"/>
          <w:sz w:val="24"/>
          <w:szCs w:val="24"/>
        </w:rPr>
        <w:t>党员大会</w:t>
      </w:r>
      <w:r>
        <w:rPr>
          <w:rFonts w:ascii="Times New Roman" w:eastAsia="方正仿宋_GBK"/>
          <w:sz w:val="24"/>
          <w:szCs w:val="24"/>
        </w:rPr>
        <w:t>)</w:t>
      </w:r>
      <w:r>
        <w:rPr>
          <w:rFonts w:hint="eastAsia" w:ascii="Times New Roman" w:hAnsi="微软雅黑" w:eastAsia="方正仿宋_GBK" w:cs="微软雅黑"/>
          <w:sz w:val="24"/>
          <w:szCs w:val="24"/>
        </w:rPr>
        <w:t>的决议。贯彻执行法律、法规、规章和上级人民代表大会及其常务委员会决议及上级政府的决定、命令，执行本级人民代表大会的决议。</w:t>
      </w:r>
    </w:p>
    <w:p>
      <w:pPr>
        <w:pStyle w:val="14"/>
        <w:spacing w:line="500" w:lineRule="exact"/>
        <w:ind w:left="420" w:leftChars="200" w:firstLine="480"/>
        <w:jc w:val="left"/>
        <w:rPr>
          <w:rFonts w:ascii="Times New Roman" w:hAnsi="微软雅黑" w:eastAsia="方正仿宋_GBK" w:cs="微软雅黑"/>
          <w:sz w:val="24"/>
          <w:szCs w:val="24"/>
        </w:rPr>
      </w:pPr>
      <w:r>
        <w:rPr>
          <w:rFonts w:ascii="Times New Roman" w:eastAsia="方正仿宋_GBK"/>
          <w:sz w:val="24"/>
          <w:szCs w:val="24"/>
        </w:rPr>
        <w:t>(</w:t>
      </w:r>
      <w:r>
        <w:rPr>
          <w:rFonts w:hint="eastAsia" w:ascii="Times New Roman" w:hAnsi="微软雅黑" w:eastAsia="方正仿宋_GBK" w:cs="微软雅黑"/>
          <w:sz w:val="24"/>
          <w:szCs w:val="24"/>
        </w:rPr>
        <w:t>二</w:t>
      </w:r>
      <w:r>
        <w:rPr>
          <w:rFonts w:ascii="Times New Roman" w:eastAsia="方正仿宋_GBK"/>
          <w:sz w:val="24"/>
          <w:szCs w:val="24"/>
        </w:rPr>
        <w:t>)</w:t>
      </w:r>
      <w:r>
        <w:rPr>
          <w:rFonts w:hint="eastAsia" w:ascii="Times New Roman" w:hAnsi="微软雅黑" w:eastAsia="方正仿宋_GBK" w:cs="微软雅黑"/>
          <w:sz w:val="24"/>
          <w:szCs w:val="24"/>
        </w:rPr>
        <w:t>加强党对基层治理的全面领导，统筹抓好基层党建工作和基层党组织各项制度建设。推进全面从严治党，强化</w:t>
      </w:r>
      <w:r>
        <w:rPr>
          <w:rFonts w:ascii="Times New Roman" w:eastAsia="方正仿宋_GBK"/>
          <w:sz w:val="24"/>
          <w:szCs w:val="24"/>
        </w:rPr>
        <w:t>“</w:t>
      </w:r>
      <w:r>
        <w:rPr>
          <w:rFonts w:hint="eastAsia" w:ascii="Times New Roman" w:hAnsi="微软雅黑" w:eastAsia="方正仿宋_GBK" w:cs="微软雅黑"/>
          <w:sz w:val="24"/>
          <w:szCs w:val="24"/>
        </w:rPr>
        <w:t>两个责任</w:t>
      </w:r>
      <w:r>
        <w:rPr>
          <w:rFonts w:ascii="Times New Roman" w:eastAsia="方正仿宋_GBK"/>
          <w:sz w:val="24"/>
          <w:szCs w:val="24"/>
        </w:rPr>
        <w:t>”</w:t>
      </w:r>
      <w:r>
        <w:rPr>
          <w:rFonts w:hint="eastAsia" w:ascii="Times New Roman" w:hAnsi="微软雅黑" w:eastAsia="方正仿宋_GBK" w:cs="微软雅黑"/>
          <w:sz w:val="24"/>
          <w:szCs w:val="24"/>
        </w:rPr>
        <w:t>，确保党的路线方针政策在基层得到全面贯彻落实。</w:t>
      </w:r>
    </w:p>
    <w:p>
      <w:pPr>
        <w:pStyle w:val="14"/>
        <w:spacing w:line="500" w:lineRule="exact"/>
        <w:ind w:left="420" w:leftChars="200" w:firstLine="480"/>
        <w:jc w:val="left"/>
        <w:rPr>
          <w:rFonts w:ascii="Times New Roman" w:hAnsi="微软雅黑" w:eastAsia="方正仿宋_GBK" w:cs="微软雅黑"/>
          <w:sz w:val="24"/>
          <w:szCs w:val="24"/>
        </w:rPr>
      </w:pPr>
      <w:r>
        <w:rPr>
          <w:rFonts w:ascii="Times New Roman" w:eastAsia="方正仿宋_GBK"/>
          <w:sz w:val="24"/>
          <w:szCs w:val="24"/>
        </w:rPr>
        <w:t>(</w:t>
      </w:r>
      <w:r>
        <w:rPr>
          <w:rFonts w:hint="eastAsia" w:ascii="Times New Roman" w:hAnsi="微软雅黑" w:eastAsia="方正仿宋_GBK" w:cs="微软雅黑"/>
          <w:sz w:val="24"/>
          <w:szCs w:val="24"/>
        </w:rPr>
        <w:t>三</w:t>
      </w:r>
      <w:r>
        <w:rPr>
          <w:rFonts w:ascii="Times New Roman" w:eastAsia="方正仿宋_GBK"/>
          <w:sz w:val="24"/>
          <w:szCs w:val="24"/>
        </w:rPr>
        <w:t>)</w:t>
      </w:r>
      <w:r>
        <w:rPr>
          <w:rFonts w:hint="eastAsia" w:ascii="Times New Roman" w:hAnsi="微软雅黑" w:eastAsia="方正仿宋_GBK" w:cs="微软雅黑"/>
          <w:sz w:val="24"/>
          <w:szCs w:val="24"/>
        </w:rPr>
        <w:t>讨论和决定本乡镇经济建设、政治建设、文化建设、社会建设、生态文明建设和党的建设以及乡村振兴中的重大问题。</w:t>
      </w:r>
    </w:p>
    <w:p>
      <w:pPr>
        <w:pStyle w:val="14"/>
        <w:spacing w:line="500" w:lineRule="exact"/>
        <w:ind w:left="420" w:leftChars="200" w:firstLine="480"/>
        <w:jc w:val="left"/>
        <w:rPr>
          <w:rFonts w:ascii="Times New Roman" w:hAnsi="微软雅黑" w:eastAsia="方正仿宋_GBK" w:cs="微软雅黑"/>
          <w:sz w:val="24"/>
          <w:szCs w:val="24"/>
        </w:rPr>
      </w:pPr>
      <w:r>
        <w:rPr>
          <w:rFonts w:ascii="Times New Roman" w:eastAsia="方正仿宋_GBK"/>
          <w:sz w:val="24"/>
          <w:szCs w:val="24"/>
        </w:rPr>
        <w:t>(</w:t>
      </w:r>
      <w:r>
        <w:rPr>
          <w:rFonts w:hint="eastAsia" w:ascii="Times New Roman" w:hAnsi="微软雅黑" w:eastAsia="方正仿宋_GBK" w:cs="微软雅黑"/>
          <w:sz w:val="24"/>
          <w:szCs w:val="24"/>
        </w:rPr>
        <w:t>四</w:t>
      </w:r>
      <w:r>
        <w:rPr>
          <w:rFonts w:ascii="Times New Roman" w:eastAsia="方正仿宋_GBK"/>
          <w:sz w:val="24"/>
          <w:szCs w:val="24"/>
        </w:rPr>
        <w:t>)</w:t>
      </w:r>
      <w:r>
        <w:rPr>
          <w:rFonts w:hint="eastAsia" w:ascii="Times New Roman" w:hAnsi="微软雅黑" w:eastAsia="方正仿宋_GBK" w:cs="微软雅黑"/>
          <w:sz w:val="24"/>
          <w:szCs w:val="24"/>
        </w:rPr>
        <w:t>组织召开本级人民代表大会，充分行使重大事项决定权、监督权和任免权，做好人大代表工作，联系选民、反映群众意见和要求。</w:t>
      </w:r>
    </w:p>
    <w:p>
      <w:pPr>
        <w:pStyle w:val="14"/>
        <w:spacing w:line="500" w:lineRule="exact"/>
        <w:ind w:left="420" w:leftChars="200" w:firstLine="480"/>
        <w:jc w:val="left"/>
        <w:rPr>
          <w:rFonts w:ascii="Times New Roman" w:hAnsi="微软雅黑" w:eastAsia="方正仿宋_GBK" w:cs="微软雅黑"/>
          <w:sz w:val="24"/>
          <w:szCs w:val="24"/>
        </w:rPr>
      </w:pPr>
      <w:r>
        <w:rPr>
          <w:rFonts w:ascii="Times New Roman" w:eastAsia="方正仿宋_GBK"/>
          <w:sz w:val="24"/>
          <w:szCs w:val="24"/>
        </w:rPr>
        <w:t>(</w:t>
      </w:r>
      <w:r>
        <w:rPr>
          <w:rFonts w:hint="eastAsia" w:ascii="Times New Roman" w:hAnsi="微软雅黑" w:eastAsia="方正仿宋_GBK" w:cs="微软雅黑"/>
          <w:sz w:val="24"/>
          <w:szCs w:val="24"/>
        </w:rPr>
        <w:t>五</w:t>
      </w:r>
      <w:r>
        <w:rPr>
          <w:rFonts w:ascii="Times New Roman" w:eastAsia="方正仿宋_GBK"/>
          <w:sz w:val="24"/>
          <w:szCs w:val="24"/>
        </w:rPr>
        <w:t>)</w:t>
      </w:r>
      <w:r>
        <w:rPr>
          <w:rFonts w:hint="eastAsia" w:ascii="Times New Roman" w:hAnsi="微软雅黑" w:eastAsia="方正仿宋_GBK" w:cs="微软雅黑"/>
          <w:sz w:val="24"/>
          <w:szCs w:val="24"/>
        </w:rPr>
        <w:t>组织实施与群众生活密切相关的各项公共服务，落实基层</w:t>
      </w:r>
      <w:r>
        <w:rPr>
          <w:rFonts w:ascii="Times New Roman" w:eastAsia="方正仿宋_GBK"/>
          <w:sz w:val="24"/>
          <w:szCs w:val="24"/>
        </w:rPr>
        <w:t>“</w:t>
      </w:r>
      <w:r>
        <w:rPr>
          <w:rFonts w:hint="eastAsia" w:ascii="Times New Roman" w:hAnsi="微软雅黑" w:eastAsia="方正仿宋_GBK" w:cs="微软雅黑"/>
          <w:sz w:val="24"/>
          <w:szCs w:val="24"/>
        </w:rPr>
        <w:t>最多跑一次</w:t>
      </w:r>
      <w:r>
        <w:rPr>
          <w:rFonts w:ascii="Times New Roman" w:eastAsia="方正仿宋_GBK"/>
          <w:sz w:val="24"/>
          <w:szCs w:val="24"/>
        </w:rPr>
        <w:t>”</w:t>
      </w:r>
      <w:r>
        <w:rPr>
          <w:rFonts w:hint="eastAsia" w:ascii="Times New Roman" w:hAnsi="微软雅黑" w:eastAsia="方正仿宋_GBK" w:cs="微软雅黑"/>
          <w:sz w:val="24"/>
          <w:szCs w:val="24"/>
        </w:rPr>
        <w:t>改革工作，拓宽服务渠道，改进服务方式，建立健全群众办事一次办结机制，推进乡镇便民服务平台标准化建设，实行</w:t>
      </w:r>
      <w:r>
        <w:rPr>
          <w:rFonts w:ascii="Times New Roman" w:eastAsia="方正仿宋_GBK"/>
          <w:sz w:val="24"/>
          <w:szCs w:val="24"/>
        </w:rPr>
        <w:t>“</w:t>
      </w:r>
      <w:r>
        <w:rPr>
          <w:rFonts w:hint="eastAsia" w:ascii="Times New Roman" w:hAnsi="微软雅黑" w:eastAsia="方正仿宋_GBK" w:cs="微软雅黑"/>
          <w:sz w:val="24"/>
          <w:szCs w:val="24"/>
        </w:rPr>
        <w:t>一站式服务</w:t>
      </w:r>
      <w:r>
        <w:rPr>
          <w:rFonts w:ascii="Times New Roman" w:eastAsia="方正仿宋_GBK"/>
          <w:sz w:val="24"/>
          <w:szCs w:val="24"/>
        </w:rPr>
        <w:t>”“</w:t>
      </w:r>
      <w:r>
        <w:rPr>
          <w:rFonts w:hint="eastAsia" w:ascii="Times New Roman" w:hAnsi="微软雅黑" w:eastAsia="方正仿宋_GBK" w:cs="微软雅黑"/>
          <w:sz w:val="24"/>
          <w:szCs w:val="24"/>
        </w:rPr>
        <w:t>一枚印章管审批</w:t>
      </w:r>
      <w:r>
        <w:rPr>
          <w:rFonts w:ascii="Times New Roman" w:eastAsia="方正仿宋_GBK"/>
          <w:sz w:val="24"/>
          <w:szCs w:val="24"/>
        </w:rPr>
        <w:t>(</w:t>
      </w:r>
      <w:r>
        <w:rPr>
          <w:rFonts w:hint="eastAsia" w:ascii="Times New Roman" w:hAnsi="微软雅黑" w:eastAsia="方正仿宋_GBK" w:cs="微软雅黑"/>
          <w:sz w:val="24"/>
          <w:szCs w:val="24"/>
        </w:rPr>
        <w:t>服务</w:t>
      </w:r>
      <w:r>
        <w:rPr>
          <w:rFonts w:ascii="Times New Roman" w:eastAsia="方正仿宋_GBK"/>
          <w:sz w:val="24"/>
          <w:szCs w:val="24"/>
        </w:rPr>
        <w:t>)”</w:t>
      </w:r>
      <w:r>
        <w:rPr>
          <w:rFonts w:hint="eastAsia" w:ascii="Times New Roman" w:hAnsi="微软雅黑" w:eastAsia="方正仿宋_GBK" w:cs="微软雅黑"/>
          <w:sz w:val="24"/>
          <w:szCs w:val="24"/>
        </w:rPr>
        <w:t>，提升群众获得感和幸福感。</w:t>
      </w:r>
    </w:p>
    <w:p>
      <w:pPr>
        <w:spacing w:line="500" w:lineRule="exact"/>
        <w:ind w:left="420" w:leftChars="200" w:firstLine="480" w:firstLineChars="200"/>
        <w:jc w:val="left"/>
        <w:rPr>
          <w:rFonts w:ascii="Times New Roman" w:hAnsi="微软雅黑" w:eastAsia="方正仿宋_GBK" w:cs="微软雅黑"/>
          <w:sz w:val="24"/>
          <w:szCs w:val="24"/>
        </w:rPr>
      </w:pPr>
      <w:r>
        <w:rPr>
          <w:rFonts w:ascii="Times New Roman" w:eastAsia="方正仿宋_GBK"/>
          <w:sz w:val="24"/>
          <w:szCs w:val="24"/>
        </w:rPr>
        <w:t>(</w:t>
      </w:r>
      <w:r>
        <w:rPr>
          <w:rFonts w:hint="eastAsia" w:ascii="Times New Roman" w:hAnsi="微软雅黑" w:eastAsia="方正仿宋_GBK" w:cs="微软雅黑"/>
          <w:sz w:val="24"/>
          <w:szCs w:val="24"/>
        </w:rPr>
        <w:t>六</w:t>
      </w:r>
      <w:r>
        <w:rPr>
          <w:rFonts w:ascii="Times New Roman" w:eastAsia="方正仿宋_GBK"/>
          <w:sz w:val="24"/>
          <w:szCs w:val="24"/>
        </w:rPr>
        <w:t>)</w:t>
      </w:r>
      <w:r>
        <w:rPr>
          <w:rFonts w:hint="eastAsia" w:ascii="Times New Roman" w:hAnsi="微软雅黑" w:eastAsia="方正仿宋_GBK" w:cs="微软雅黑"/>
          <w:sz w:val="24"/>
          <w:szCs w:val="24"/>
        </w:rPr>
        <w:t>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14"/>
        <w:spacing w:line="500" w:lineRule="exact"/>
        <w:ind w:left="420" w:leftChars="200" w:firstLine="480"/>
        <w:jc w:val="left"/>
        <w:rPr>
          <w:rFonts w:ascii="Times New Roman" w:hAnsi="微软雅黑" w:eastAsia="方正仿宋_GBK" w:cs="微软雅黑"/>
          <w:sz w:val="24"/>
          <w:szCs w:val="24"/>
        </w:rPr>
      </w:pPr>
      <w:r>
        <w:rPr>
          <w:rFonts w:ascii="Times New Roman" w:eastAsia="方正仿宋_GBK"/>
          <w:sz w:val="24"/>
          <w:szCs w:val="24"/>
        </w:rPr>
        <w:t>(</w:t>
      </w:r>
      <w:r>
        <w:rPr>
          <w:rFonts w:hint="eastAsia" w:ascii="Times New Roman" w:hAnsi="微软雅黑" w:eastAsia="方正仿宋_GBK" w:cs="微软雅黑"/>
          <w:sz w:val="24"/>
          <w:szCs w:val="24"/>
        </w:rPr>
        <w:t>七</w:t>
      </w:r>
      <w:r>
        <w:rPr>
          <w:rFonts w:ascii="Times New Roman" w:eastAsia="方正仿宋_GBK"/>
          <w:sz w:val="24"/>
          <w:szCs w:val="24"/>
        </w:rPr>
        <w:t>)</w:t>
      </w:r>
      <w:r>
        <w:rPr>
          <w:rFonts w:hint="eastAsia" w:ascii="Times New Roman" w:hAnsi="微软雅黑" w:eastAsia="方正仿宋_GBK" w:cs="微软雅黑"/>
          <w:sz w:val="24"/>
          <w:szCs w:val="24"/>
        </w:rPr>
        <w:t>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4"/>
        <w:spacing w:line="500" w:lineRule="exact"/>
        <w:ind w:left="420" w:leftChars="200" w:firstLine="480"/>
        <w:jc w:val="left"/>
        <w:rPr>
          <w:rFonts w:ascii="Times New Roman" w:hAnsi="微软雅黑" w:eastAsia="方正仿宋_GBK" w:cs="微软雅黑"/>
          <w:sz w:val="24"/>
          <w:szCs w:val="24"/>
        </w:rPr>
      </w:pPr>
      <w:r>
        <w:rPr>
          <w:rFonts w:ascii="Times New Roman" w:eastAsia="方正仿宋_GBK"/>
          <w:sz w:val="24"/>
          <w:szCs w:val="24"/>
        </w:rPr>
        <w:t>(</w:t>
      </w:r>
      <w:r>
        <w:rPr>
          <w:rFonts w:hint="eastAsia" w:ascii="Times New Roman" w:hAnsi="微软雅黑" w:eastAsia="方正仿宋_GBK" w:cs="微软雅黑"/>
          <w:sz w:val="24"/>
          <w:szCs w:val="24"/>
        </w:rPr>
        <w:t>八</w:t>
      </w:r>
      <w:r>
        <w:rPr>
          <w:rFonts w:ascii="Times New Roman" w:eastAsia="方正仿宋_GBK"/>
          <w:sz w:val="24"/>
          <w:szCs w:val="24"/>
        </w:rPr>
        <w:t>)</w:t>
      </w:r>
      <w:r>
        <w:rPr>
          <w:rFonts w:hint="eastAsia" w:ascii="Times New Roman" w:hAnsi="微软雅黑" w:eastAsia="方正仿宋_GBK" w:cs="微软雅黑"/>
          <w:sz w:val="24"/>
          <w:szCs w:val="24"/>
        </w:rPr>
        <w:t>加强乡镇党委自身建设和村党组织建设，以及其他隶属乡镇党委的党组织建设，抓好发展党员工作，加强党员队伍建设。维护和执行党的纪律，监督党员干部和其他任何工作人员严格遵守国家法律法规。</w:t>
      </w:r>
    </w:p>
    <w:p>
      <w:pPr>
        <w:pStyle w:val="14"/>
        <w:spacing w:line="500" w:lineRule="exact"/>
        <w:ind w:left="420" w:leftChars="200" w:firstLine="480"/>
        <w:jc w:val="left"/>
        <w:rPr>
          <w:rFonts w:ascii="Times New Roman" w:hAnsi="微软雅黑" w:eastAsia="方正仿宋_GBK" w:cs="微软雅黑"/>
          <w:sz w:val="24"/>
          <w:szCs w:val="24"/>
        </w:rPr>
      </w:pPr>
      <w:r>
        <w:rPr>
          <w:rFonts w:ascii="Times New Roman" w:eastAsia="方正仿宋_GBK"/>
          <w:sz w:val="24"/>
          <w:szCs w:val="24"/>
        </w:rPr>
        <w:t>(</w:t>
      </w:r>
      <w:r>
        <w:rPr>
          <w:rFonts w:hint="eastAsia" w:ascii="Times New Roman" w:hAnsi="微软雅黑" w:eastAsia="方正仿宋_GBK" w:cs="微软雅黑"/>
          <w:sz w:val="24"/>
          <w:szCs w:val="24"/>
        </w:rPr>
        <w:t>九</w:t>
      </w:r>
      <w:r>
        <w:rPr>
          <w:rFonts w:ascii="Times New Roman" w:eastAsia="方正仿宋_GBK"/>
          <w:sz w:val="24"/>
          <w:szCs w:val="24"/>
        </w:rPr>
        <w:t>)</w:t>
      </w:r>
      <w:r>
        <w:rPr>
          <w:rFonts w:hint="eastAsia" w:ascii="Times New Roman" w:hAnsi="微软雅黑" w:eastAsia="方正仿宋_GBK" w:cs="微软雅黑"/>
          <w:sz w:val="24"/>
          <w:szCs w:val="24"/>
        </w:rPr>
        <w:t>按照干部管理权限，负责对干部的教育、培训、选拔、考核和监督工作。协助管理上级有关单位驻乡镇单位的干部。做好人才服务工作。</w:t>
      </w:r>
    </w:p>
    <w:p>
      <w:pPr>
        <w:pStyle w:val="14"/>
        <w:spacing w:line="500" w:lineRule="exact"/>
        <w:ind w:left="420" w:leftChars="200" w:firstLine="480"/>
        <w:jc w:val="left"/>
        <w:rPr>
          <w:rFonts w:ascii="Times New Roman" w:hAnsi="微软雅黑" w:eastAsia="方正仿宋_GBK" w:cs="微软雅黑"/>
          <w:sz w:val="24"/>
          <w:szCs w:val="24"/>
        </w:rPr>
      </w:pPr>
      <w:r>
        <w:rPr>
          <w:rFonts w:ascii="Times New Roman" w:eastAsia="方正仿宋_GBK"/>
          <w:sz w:val="24"/>
          <w:szCs w:val="24"/>
        </w:rPr>
        <w:t>(</w:t>
      </w:r>
      <w:r>
        <w:rPr>
          <w:rFonts w:hint="eastAsia" w:ascii="Times New Roman" w:hAnsi="微软雅黑" w:eastAsia="方正仿宋_GBK" w:cs="微软雅黑"/>
          <w:sz w:val="24"/>
          <w:szCs w:val="24"/>
        </w:rPr>
        <w:t>十</w:t>
      </w:r>
      <w:r>
        <w:rPr>
          <w:rFonts w:ascii="Times New Roman" w:eastAsia="方正仿宋_GBK"/>
          <w:sz w:val="24"/>
          <w:szCs w:val="24"/>
        </w:rPr>
        <w:t>)</w:t>
      </w:r>
      <w:r>
        <w:rPr>
          <w:rFonts w:hint="eastAsia" w:ascii="Times New Roman" w:hAnsi="微软雅黑" w:eastAsia="方正仿宋_GBK" w:cs="微软雅黑"/>
          <w:sz w:val="24"/>
          <w:szCs w:val="24"/>
        </w:rPr>
        <w:t>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14"/>
        <w:spacing w:line="500" w:lineRule="exact"/>
        <w:ind w:left="420" w:leftChars="200" w:firstLine="480"/>
        <w:jc w:val="left"/>
        <w:rPr>
          <w:rFonts w:ascii="Times New Roman" w:hAnsi="微软雅黑" w:eastAsia="方正仿宋_GBK" w:cs="微软雅黑"/>
          <w:sz w:val="24"/>
          <w:szCs w:val="24"/>
        </w:rPr>
      </w:pPr>
      <w:r>
        <w:rPr>
          <w:rFonts w:ascii="Times New Roman" w:eastAsia="方正仿宋_GBK"/>
          <w:sz w:val="24"/>
          <w:szCs w:val="24"/>
        </w:rPr>
        <w:t xml:space="preserve">     (</w:t>
      </w:r>
      <w:r>
        <w:rPr>
          <w:rFonts w:hint="eastAsia" w:ascii="Times New Roman" w:hAnsi="微软雅黑" w:eastAsia="方正仿宋_GBK" w:cs="微软雅黑"/>
          <w:sz w:val="24"/>
          <w:szCs w:val="24"/>
        </w:rPr>
        <w:t>十一</w:t>
      </w:r>
      <w:r>
        <w:rPr>
          <w:rFonts w:ascii="Times New Roman" w:eastAsia="方正仿宋_GBK"/>
          <w:sz w:val="24"/>
          <w:szCs w:val="24"/>
        </w:rPr>
        <w:t>)</w:t>
      </w:r>
      <w:r>
        <w:rPr>
          <w:rFonts w:hint="eastAsia" w:ascii="Times New Roman" w:hAnsi="微软雅黑" w:eastAsia="方正仿宋_GBK" w:cs="微软雅黑"/>
          <w:sz w:val="24"/>
          <w:szCs w:val="24"/>
        </w:rPr>
        <w:t>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4"/>
        <w:spacing w:line="500" w:lineRule="exact"/>
        <w:ind w:left="420" w:leftChars="200" w:firstLine="480"/>
        <w:jc w:val="left"/>
        <w:rPr>
          <w:rFonts w:ascii="Times New Roman" w:eastAsia="方正仿宋_GBK"/>
          <w:sz w:val="24"/>
          <w:szCs w:val="24"/>
        </w:rPr>
      </w:pPr>
      <w:r>
        <w:rPr>
          <w:rFonts w:hint="eastAsia" w:ascii="Times New Roman" w:hAnsi="微软雅黑" w:eastAsia="方正仿宋_GBK" w:cs="微软雅黑"/>
          <w:sz w:val="24"/>
          <w:szCs w:val="24"/>
        </w:rPr>
        <w:t>第四条审批服务执法事项</w:t>
      </w:r>
      <w:r>
        <w:rPr>
          <w:rFonts w:ascii="Times New Roman" w:eastAsia="方正仿宋_GBK"/>
          <w:sz w:val="24"/>
          <w:szCs w:val="24"/>
        </w:rPr>
        <w:t>:</w:t>
      </w:r>
    </w:p>
    <w:p>
      <w:pPr>
        <w:pStyle w:val="14"/>
        <w:spacing w:line="500" w:lineRule="exact"/>
        <w:ind w:left="420" w:leftChars="200" w:firstLine="480"/>
        <w:jc w:val="left"/>
        <w:rPr>
          <w:rFonts w:ascii="Times New Roman" w:hAnsi="宋体" w:eastAsia="宋体"/>
          <w:sz w:val="24"/>
          <w:szCs w:val="24"/>
        </w:rPr>
      </w:pPr>
      <w:r>
        <w:rPr>
          <w:rFonts w:ascii="Times New Roman" w:eastAsia="方正仿宋_GBK"/>
          <w:sz w:val="24"/>
          <w:szCs w:val="24"/>
        </w:rPr>
        <w:t xml:space="preserve">     (</w:t>
      </w:r>
      <w:r>
        <w:rPr>
          <w:rFonts w:hint="eastAsia" w:ascii="Times New Roman" w:hAnsi="微软雅黑" w:eastAsia="方正仿宋_GBK" w:cs="微软雅黑"/>
          <w:sz w:val="24"/>
          <w:szCs w:val="24"/>
        </w:rPr>
        <w:t>十二</w:t>
      </w:r>
      <w:r>
        <w:rPr>
          <w:rFonts w:ascii="Times New Roman" w:eastAsia="方正仿宋_GBK"/>
          <w:sz w:val="24"/>
          <w:szCs w:val="24"/>
        </w:rPr>
        <w:t>)</w:t>
      </w:r>
      <w:r>
        <w:rPr>
          <w:rFonts w:hint="eastAsia" w:ascii="Times New Roman" w:hAnsi="微软雅黑" w:eastAsia="方正仿宋_GBK" w:cs="微软雅黑"/>
          <w:sz w:val="24"/>
          <w:szCs w:val="24"/>
        </w:rPr>
        <w:t>承办上级党委、人大、政府交办的其他事项。</w:t>
      </w:r>
    </w:p>
    <w:p>
      <w:pPr>
        <w:pStyle w:val="14"/>
        <w:spacing w:line="500" w:lineRule="exact"/>
        <w:ind w:left="420" w:leftChars="200" w:firstLine="480"/>
        <w:jc w:val="left"/>
        <w:rPr>
          <w:rFonts w:ascii="Times New Roman" w:eastAsia="方正仿宋_GBK"/>
          <w:sz w:val="24"/>
          <w:szCs w:val="24"/>
        </w:rPr>
      </w:pPr>
    </w:p>
    <w:p>
      <w:pPr>
        <w:pStyle w:val="14"/>
        <w:spacing w:line="360" w:lineRule="auto"/>
        <w:ind w:left="1363" w:firstLine="643"/>
        <w:rPr>
          <w:rFonts w:ascii="仿宋" w:hAnsi="仿宋" w:eastAsia="仿宋"/>
          <w:b/>
          <w:sz w:val="32"/>
          <w:szCs w:val="32"/>
        </w:rPr>
      </w:pP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7"/>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保定市徐水区留村镇人民政府（行政）</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spacing w:line="300" w:lineRule="exact"/>
              <w:jc w:val="center"/>
              <w:rPr>
                <w:rFonts w:ascii="仿宋_GB2312" w:hAnsi="仿宋" w:eastAsia="仿宋_GB2312"/>
                <w:bCs/>
                <w:sz w:val="24"/>
                <w:szCs w:val="24"/>
              </w:rPr>
            </w:pPr>
            <w:r>
              <w:rPr>
                <w:rFonts w:hint="eastAsia" w:ascii="仿宋" w:hAnsi="仿宋" w:eastAsia="仿宋" w:cs="宋体"/>
                <w:color w:val="000000"/>
                <w:kern w:val="0"/>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spacing w:line="300" w:lineRule="exact"/>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按照预算管理有关规定，目前我区单位预算的编制实行综合预算制度，即全部收入和支出都反映</w:t>
      </w:r>
      <w:r>
        <w:rPr>
          <w:rFonts w:ascii="仿宋" w:hAnsi="仿宋" w:eastAsia="仿宋"/>
          <w:sz w:val="24"/>
          <w:szCs w:val="24"/>
        </w:rPr>
        <w:t>在</w:t>
      </w:r>
      <w:r>
        <w:rPr>
          <w:rFonts w:hint="eastAsia" w:ascii="仿宋" w:hAnsi="仿宋" w:eastAsia="仿宋"/>
          <w:sz w:val="24"/>
          <w:szCs w:val="24"/>
        </w:rPr>
        <w:t>预算中。我单位及所属事业单位的收支包含在单位预算中。</w:t>
      </w:r>
    </w:p>
    <w:p>
      <w:pPr>
        <w:spacing w:line="360" w:lineRule="auto"/>
        <w:ind w:firstLine="482" w:firstLineChars="200"/>
        <w:rPr>
          <w:rFonts w:ascii="仿宋" w:hAnsi="仿宋" w:eastAsia="仿宋"/>
          <w:b/>
          <w:sz w:val="24"/>
          <w:szCs w:val="24"/>
        </w:rPr>
      </w:pPr>
      <w:r>
        <w:rPr>
          <w:rFonts w:hint="eastAsia" w:ascii="仿宋" w:hAnsi="仿宋" w:eastAsia="仿宋"/>
          <w:b/>
          <w:sz w:val="24"/>
          <w:szCs w:val="24"/>
        </w:rPr>
        <w:t>一、收入说明</w:t>
      </w:r>
    </w:p>
    <w:p>
      <w:pPr>
        <w:spacing w:line="360" w:lineRule="auto"/>
        <w:ind w:firstLine="480" w:firstLineChars="200"/>
        <w:rPr>
          <w:rFonts w:ascii="仿宋" w:hAnsi="仿宋" w:eastAsia="仿宋"/>
          <w:sz w:val="24"/>
          <w:szCs w:val="24"/>
        </w:rPr>
      </w:pPr>
      <w:r>
        <w:rPr>
          <w:rFonts w:ascii="仿宋" w:hAnsi="仿宋" w:eastAsia="仿宋"/>
          <w:sz w:val="24"/>
          <w:szCs w:val="24"/>
        </w:rPr>
        <w:t>2021年预算收入为</w:t>
      </w:r>
      <w:r>
        <w:rPr>
          <w:rFonts w:hint="eastAsia" w:ascii="仿宋" w:hAnsi="仿宋" w:eastAsia="仿宋"/>
          <w:sz w:val="24"/>
          <w:szCs w:val="24"/>
        </w:rPr>
        <w:t>1823.04</w:t>
      </w:r>
      <w:r>
        <w:rPr>
          <w:rFonts w:ascii="仿宋" w:hAnsi="仿宋" w:eastAsia="仿宋"/>
          <w:sz w:val="24"/>
          <w:szCs w:val="24"/>
        </w:rPr>
        <w:t>万元,其中：一般公共预算收入</w:t>
      </w:r>
      <w:r>
        <w:rPr>
          <w:rFonts w:hint="eastAsia" w:ascii="仿宋" w:hAnsi="仿宋" w:eastAsia="仿宋"/>
          <w:sz w:val="24"/>
          <w:szCs w:val="24"/>
        </w:rPr>
        <w:t>1823.04</w:t>
      </w:r>
      <w:r>
        <w:rPr>
          <w:rFonts w:ascii="仿宋" w:hAnsi="仿宋" w:eastAsia="仿宋"/>
          <w:sz w:val="24"/>
          <w:szCs w:val="24"/>
        </w:rPr>
        <w:t>万元，基金预算收入</w:t>
      </w:r>
      <w:r>
        <w:rPr>
          <w:rFonts w:hint="eastAsia" w:ascii="仿宋" w:hAnsi="仿宋" w:eastAsia="仿宋"/>
          <w:sz w:val="24"/>
          <w:szCs w:val="24"/>
        </w:rPr>
        <w:t>0</w:t>
      </w:r>
      <w:r>
        <w:rPr>
          <w:rFonts w:ascii="仿宋" w:hAnsi="仿宋" w:eastAsia="仿宋"/>
          <w:sz w:val="24"/>
          <w:szCs w:val="24"/>
        </w:rPr>
        <w:t>万元，财政专户收入</w:t>
      </w:r>
      <w:r>
        <w:rPr>
          <w:rFonts w:hint="eastAsia" w:ascii="仿宋" w:hAnsi="仿宋" w:eastAsia="仿宋"/>
          <w:sz w:val="24"/>
          <w:szCs w:val="24"/>
        </w:rPr>
        <w:t>0</w:t>
      </w:r>
      <w:r>
        <w:rPr>
          <w:rFonts w:ascii="仿宋" w:hAnsi="仿宋" w:eastAsia="仿宋"/>
          <w:sz w:val="24"/>
          <w:szCs w:val="24"/>
        </w:rPr>
        <w:t>万元，其他来源收入</w:t>
      </w:r>
      <w:r>
        <w:rPr>
          <w:rFonts w:hint="eastAsia" w:ascii="仿宋" w:hAnsi="仿宋" w:eastAsia="仿宋"/>
          <w:sz w:val="24"/>
          <w:szCs w:val="24"/>
        </w:rPr>
        <w:t>0</w:t>
      </w:r>
      <w:r>
        <w:rPr>
          <w:rFonts w:ascii="仿宋" w:hAnsi="仿宋" w:eastAsia="仿宋"/>
          <w:sz w:val="24"/>
          <w:szCs w:val="24"/>
        </w:rPr>
        <w:t>万元。</w:t>
      </w:r>
    </w:p>
    <w:p>
      <w:pPr>
        <w:spacing w:line="360" w:lineRule="auto"/>
        <w:ind w:firstLine="482" w:firstLineChars="200"/>
        <w:rPr>
          <w:rFonts w:ascii="仿宋" w:hAnsi="仿宋" w:eastAsia="仿宋"/>
          <w:b/>
          <w:sz w:val="24"/>
          <w:szCs w:val="24"/>
        </w:rPr>
      </w:pPr>
      <w:r>
        <w:rPr>
          <w:rFonts w:hint="eastAsia" w:ascii="仿宋" w:hAnsi="仿宋" w:eastAsia="仿宋"/>
          <w:b/>
          <w:sz w:val="24"/>
          <w:szCs w:val="24"/>
        </w:rPr>
        <w:t>二、支出说明</w:t>
      </w:r>
    </w:p>
    <w:p>
      <w:pPr>
        <w:spacing w:line="360" w:lineRule="auto"/>
        <w:ind w:firstLine="480" w:firstLineChars="200"/>
        <w:rPr>
          <w:rFonts w:ascii="仿宋" w:hAnsi="仿宋" w:eastAsia="仿宋"/>
          <w:sz w:val="24"/>
          <w:szCs w:val="24"/>
        </w:rPr>
      </w:pPr>
      <w:r>
        <w:rPr>
          <w:rFonts w:ascii="仿宋" w:hAnsi="仿宋" w:eastAsia="仿宋"/>
          <w:sz w:val="24"/>
          <w:szCs w:val="24"/>
        </w:rPr>
        <w:t>2021年单位支出预算：</w:t>
      </w:r>
      <w:r>
        <w:rPr>
          <w:rFonts w:hint="eastAsia" w:ascii="仿宋" w:hAnsi="仿宋" w:eastAsia="仿宋"/>
          <w:sz w:val="24"/>
          <w:szCs w:val="24"/>
        </w:rPr>
        <w:t>1823.04</w:t>
      </w:r>
      <w:r>
        <w:rPr>
          <w:rFonts w:ascii="仿宋" w:hAnsi="仿宋" w:eastAsia="仿宋"/>
          <w:sz w:val="24"/>
          <w:szCs w:val="24"/>
        </w:rPr>
        <w:t>万元</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基本支出</w:t>
      </w:r>
      <w:r>
        <w:rPr>
          <w:rFonts w:ascii="仿宋" w:hAnsi="仿宋" w:eastAsia="仿宋"/>
          <w:sz w:val="24"/>
          <w:szCs w:val="24"/>
        </w:rPr>
        <w:t>123.04</w:t>
      </w:r>
      <w:r>
        <w:rPr>
          <w:rFonts w:hint="eastAsia" w:ascii="仿宋" w:hAnsi="仿宋" w:eastAsia="仿宋"/>
          <w:sz w:val="24"/>
          <w:szCs w:val="24"/>
        </w:rPr>
        <w:t>万元</w:t>
      </w:r>
    </w:p>
    <w:p>
      <w:pPr>
        <w:spacing w:line="360" w:lineRule="auto"/>
        <w:ind w:firstLine="480" w:firstLineChars="200"/>
        <w:rPr>
          <w:rFonts w:ascii="仿宋" w:hAnsi="仿宋" w:eastAsia="仿宋"/>
          <w:sz w:val="24"/>
          <w:szCs w:val="24"/>
        </w:rPr>
      </w:pPr>
      <w:r>
        <w:rPr>
          <w:rFonts w:ascii="仿宋" w:hAnsi="仿宋" w:eastAsia="仿宋"/>
          <w:sz w:val="24"/>
          <w:szCs w:val="24"/>
        </w:rPr>
        <w:t xml:space="preserve">    其中：人员经费</w:t>
      </w:r>
      <w:r>
        <w:rPr>
          <w:rFonts w:hint="eastAsia" w:ascii="仿宋" w:hAnsi="仿宋" w:eastAsia="仿宋"/>
          <w:sz w:val="24"/>
          <w:szCs w:val="24"/>
        </w:rPr>
        <w:t>418.4</w:t>
      </w:r>
      <w:r>
        <w:rPr>
          <w:rFonts w:ascii="仿宋" w:hAnsi="仿宋" w:eastAsia="仿宋"/>
          <w:sz w:val="24"/>
          <w:szCs w:val="24"/>
        </w:rPr>
        <w:t>万元</w:t>
      </w:r>
    </w:p>
    <w:p>
      <w:pPr>
        <w:spacing w:line="360" w:lineRule="auto"/>
        <w:ind w:firstLine="480" w:firstLineChars="200"/>
        <w:rPr>
          <w:rFonts w:ascii="仿宋" w:hAnsi="仿宋" w:eastAsia="仿宋"/>
          <w:sz w:val="24"/>
          <w:szCs w:val="24"/>
        </w:rPr>
      </w:pPr>
      <w:r>
        <w:rPr>
          <w:rFonts w:ascii="仿宋" w:hAnsi="仿宋" w:eastAsia="仿宋"/>
          <w:sz w:val="24"/>
          <w:szCs w:val="24"/>
        </w:rPr>
        <w:t xml:space="preserve">          日常公用经费</w:t>
      </w:r>
      <w:r>
        <w:rPr>
          <w:rFonts w:hint="eastAsia" w:ascii="仿宋" w:hAnsi="仿宋" w:eastAsia="仿宋"/>
          <w:sz w:val="24"/>
          <w:szCs w:val="24"/>
        </w:rPr>
        <w:t>70.48</w:t>
      </w:r>
      <w:r>
        <w:rPr>
          <w:rFonts w:ascii="仿宋" w:hAnsi="仿宋" w:eastAsia="仿宋"/>
          <w:sz w:val="24"/>
          <w:szCs w:val="24"/>
        </w:rPr>
        <w:t>万元</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项目支出1334.16</w:t>
      </w:r>
      <w:r>
        <w:rPr>
          <w:rFonts w:ascii="仿宋" w:hAnsi="仿宋" w:eastAsia="仿宋"/>
          <w:sz w:val="24"/>
          <w:szCs w:val="24"/>
        </w:rPr>
        <w:t>万元</w:t>
      </w:r>
    </w:p>
    <w:p>
      <w:pPr>
        <w:spacing w:line="360" w:lineRule="auto"/>
        <w:ind w:firstLine="480" w:firstLineChars="200"/>
        <w:rPr>
          <w:rFonts w:ascii="仿宋" w:hAnsi="仿宋" w:eastAsia="仿宋"/>
          <w:sz w:val="24"/>
          <w:szCs w:val="24"/>
        </w:rPr>
      </w:pPr>
      <w:r>
        <w:rPr>
          <w:rFonts w:ascii="仿宋" w:hAnsi="仿宋" w:eastAsia="仿宋"/>
          <w:sz w:val="24"/>
          <w:szCs w:val="24"/>
        </w:rPr>
        <w:t xml:space="preserve">    其中：本级支出</w:t>
      </w:r>
      <w:r>
        <w:rPr>
          <w:rFonts w:hint="eastAsia" w:ascii="仿宋" w:hAnsi="仿宋" w:eastAsia="仿宋"/>
          <w:sz w:val="24"/>
          <w:szCs w:val="24"/>
        </w:rPr>
        <w:t>1334.16</w:t>
      </w:r>
      <w:r>
        <w:rPr>
          <w:rFonts w:ascii="仿宋" w:hAnsi="仿宋" w:eastAsia="仿宋"/>
          <w:sz w:val="24"/>
          <w:szCs w:val="24"/>
        </w:rPr>
        <w:t>万元</w:t>
      </w:r>
    </w:p>
    <w:p>
      <w:pPr>
        <w:spacing w:line="360" w:lineRule="auto"/>
        <w:ind w:firstLine="482" w:firstLineChars="200"/>
        <w:rPr>
          <w:rFonts w:ascii="仿宋" w:hAnsi="仿宋" w:eastAsia="仿宋"/>
          <w:b/>
          <w:sz w:val="24"/>
          <w:szCs w:val="24"/>
        </w:rPr>
      </w:pPr>
      <w:r>
        <w:rPr>
          <w:rFonts w:hint="eastAsia" w:ascii="仿宋" w:hAnsi="仿宋" w:eastAsia="仿宋"/>
          <w:b/>
          <w:sz w:val="24"/>
          <w:szCs w:val="24"/>
        </w:rPr>
        <w:t>三、比上年增减情况</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本年度预算收支安排1823.04万元，较上年</w:t>
      </w:r>
      <w:r>
        <w:rPr>
          <w:rFonts w:ascii="仿宋" w:hAnsi="仿宋" w:eastAsia="仿宋"/>
          <w:sz w:val="24"/>
          <w:szCs w:val="24"/>
        </w:rPr>
        <w:t>减少</w:t>
      </w:r>
      <w:r>
        <w:rPr>
          <w:rFonts w:hint="eastAsia" w:ascii="仿宋" w:hAnsi="仿宋" w:eastAsia="仿宋"/>
          <w:sz w:val="24"/>
          <w:szCs w:val="24"/>
        </w:rPr>
        <w:t>236.53</w:t>
      </w:r>
      <w:r>
        <w:rPr>
          <w:rFonts w:ascii="仿宋" w:hAnsi="仿宋" w:eastAsia="仿宋"/>
          <w:sz w:val="24"/>
          <w:szCs w:val="24"/>
        </w:rPr>
        <w:t>万元。其中:基本支出减少</w:t>
      </w:r>
      <w:r>
        <w:rPr>
          <w:rFonts w:hint="eastAsia" w:ascii="仿宋" w:hAnsi="仿宋" w:eastAsia="仿宋"/>
          <w:sz w:val="24"/>
          <w:szCs w:val="24"/>
        </w:rPr>
        <w:t>30</w:t>
      </w:r>
      <w:r>
        <w:rPr>
          <w:rFonts w:ascii="仿宋" w:hAnsi="仿宋" w:eastAsia="仿宋"/>
          <w:sz w:val="24"/>
          <w:szCs w:val="24"/>
        </w:rPr>
        <w:t>万元，主要原因是</w:t>
      </w:r>
      <w:r>
        <w:rPr>
          <w:rFonts w:hint="eastAsia" w:ascii="仿宋" w:hAnsi="仿宋" w:eastAsia="仿宋"/>
          <w:sz w:val="24"/>
          <w:szCs w:val="24"/>
        </w:rPr>
        <w:t>人员减少</w:t>
      </w:r>
      <w:r>
        <w:rPr>
          <w:rFonts w:ascii="仿宋" w:hAnsi="仿宋" w:eastAsia="仿宋"/>
          <w:sz w:val="24"/>
          <w:szCs w:val="24"/>
        </w:rPr>
        <w:t>；项目支出减少</w:t>
      </w:r>
      <w:r>
        <w:rPr>
          <w:rFonts w:hint="eastAsia" w:ascii="仿宋" w:hAnsi="仿宋" w:eastAsia="仿宋"/>
          <w:sz w:val="24"/>
          <w:szCs w:val="24"/>
        </w:rPr>
        <w:t>206.53</w:t>
      </w:r>
      <w:r>
        <w:rPr>
          <w:rFonts w:ascii="仿宋" w:hAnsi="仿宋" w:eastAsia="仿宋"/>
          <w:sz w:val="24"/>
          <w:szCs w:val="24"/>
        </w:rPr>
        <w:t>万元，主要原因是</w:t>
      </w:r>
      <w:r>
        <w:rPr>
          <w:rFonts w:hint="eastAsia" w:ascii="仿宋" w:hAnsi="仿宋" w:eastAsia="仿宋"/>
          <w:sz w:val="24"/>
          <w:szCs w:val="24"/>
        </w:rPr>
        <w:t>减少革命老区项目资金</w:t>
      </w:r>
      <w:r>
        <w:rPr>
          <w:rFonts w:ascii="仿宋" w:hAnsi="仿宋" w:eastAsia="仿宋"/>
          <w:sz w:val="24"/>
          <w:szCs w:val="24"/>
        </w:rPr>
        <w:t>。</w:t>
      </w:r>
    </w:p>
    <w:p>
      <w:pPr>
        <w:spacing w:line="360" w:lineRule="auto"/>
        <w:ind w:firstLine="480" w:firstLineChars="200"/>
        <w:rPr>
          <w:rFonts w:ascii="仿宋" w:hAnsi="仿宋" w:eastAsia="仿宋"/>
          <w:sz w:val="24"/>
          <w:szCs w:val="24"/>
        </w:rPr>
      </w:pPr>
    </w:p>
    <w:p>
      <w:pPr>
        <w:jc w:val="center"/>
        <w:outlineLvl w:val="0"/>
        <w:rPr>
          <w:rFonts w:ascii="仿宋" w:hAnsi="仿宋" w:eastAsia="仿宋"/>
          <w:sz w:val="24"/>
          <w:szCs w:val="24"/>
        </w:rPr>
      </w:pPr>
      <w:r>
        <w:rPr>
          <w:rFonts w:hint="eastAsia" w:ascii="仿宋" w:hAnsi="仿宋" w:eastAsia="仿宋"/>
          <w:sz w:val="24"/>
          <w:szCs w:val="24"/>
        </w:rPr>
        <w:t>第三部分：机关运行经费安排情况</w:t>
      </w:r>
    </w:p>
    <w:p>
      <w:pPr>
        <w:spacing w:line="360" w:lineRule="auto"/>
        <w:ind w:firstLine="480" w:firstLineChars="200"/>
        <w:rPr>
          <w:rFonts w:ascii="仿宋" w:hAnsi="仿宋" w:eastAsia="仿宋"/>
          <w:b/>
          <w:sz w:val="24"/>
          <w:szCs w:val="24"/>
        </w:rPr>
      </w:pPr>
      <w:r>
        <w:rPr>
          <w:rFonts w:ascii="仿宋" w:hAnsi="仿宋" w:eastAsia="仿宋"/>
          <w:sz w:val="24"/>
          <w:szCs w:val="24"/>
        </w:rPr>
        <w:t>2021年我单位机关运行经费安排</w:t>
      </w:r>
      <w:r>
        <w:rPr>
          <w:rFonts w:hint="eastAsia" w:ascii="仿宋" w:hAnsi="仿宋" w:eastAsia="仿宋"/>
          <w:sz w:val="24"/>
          <w:szCs w:val="24"/>
        </w:rPr>
        <w:t>82.478</w:t>
      </w:r>
      <w:r>
        <w:rPr>
          <w:rFonts w:ascii="仿宋" w:hAnsi="仿宋" w:eastAsia="仿宋"/>
          <w:sz w:val="24"/>
          <w:szCs w:val="24"/>
        </w:rPr>
        <w:t>万元，其中办公费</w:t>
      </w:r>
      <w:r>
        <w:rPr>
          <w:rFonts w:hint="eastAsia" w:ascii="仿宋" w:hAnsi="仿宋" w:eastAsia="仿宋"/>
          <w:sz w:val="24"/>
          <w:szCs w:val="24"/>
        </w:rPr>
        <w:t>49.378</w:t>
      </w:r>
      <w:r>
        <w:rPr>
          <w:rFonts w:ascii="仿宋" w:hAnsi="仿宋" w:eastAsia="仿宋"/>
          <w:sz w:val="24"/>
          <w:szCs w:val="24"/>
        </w:rPr>
        <w:t>万元，邮电费</w:t>
      </w:r>
      <w:r>
        <w:rPr>
          <w:rFonts w:hint="eastAsia" w:ascii="仿宋" w:hAnsi="仿宋" w:eastAsia="仿宋"/>
          <w:sz w:val="24"/>
          <w:szCs w:val="24"/>
        </w:rPr>
        <w:t>13.12</w:t>
      </w:r>
      <w:r>
        <w:rPr>
          <w:rFonts w:ascii="仿宋" w:hAnsi="仿宋" w:eastAsia="仿宋"/>
          <w:sz w:val="24"/>
          <w:szCs w:val="24"/>
        </w:rPr>
        <w:t>万元，工会经费、福利费</w:t>
      </w:r>
      <w:r>
        <w:rPr>
          <w:rFonts w:hint="eastAsia" w:ascii="仿宋" w:hAnsi="仿宋" w:eastAsia="仿宋"/>
          <w:sz w:val="24"/>
          <w:szCs w:val="24"/>
        </w:rPr>
        <w:t>3.25</w:t>
      </w:r>
      <w:r>
        <w:rPr>
          <w:rFonts w:ascii="仿宋" w:hAnsi="仿宋" w:eastAsia="仿宋"/>
          <w:sz w:val="24"/>
          <w:szCs w:val="24"/>
        </w:rPr>
        <w:t>万元</w:t>
      </w:r>
      <w:r>
        <w:rPr>
          <w:rFonts w:hint="eastAsia" w:ascii="仿宋" w:hAnsi="仿宋" w:eastAsia="仿宋"/>
          <w:sz w:val="24"/>
          <w:szCs w:val="24"/>
        </w:rPr>
        <w:t>/2.1万元</w:t>
      </w:r>
      <w:r>
        <w:rPr>
          <w:rFonts w:ascii="仿宋" w:hAnsi="仿宋" w:eastAsia="仿宋"/>
          <w:sz w:val="24"/>
          <w:szCs w:val="24"/>
        </w:rPr>
        <w:t>，公务用车运行维护费</w:t>
      </w:r>
      <w:r>
        <w:rPr>
          <w:rFonts w:hint="eastAsia" w:ascii="仿宋" w:hAnsi="仿宋" w:eastAsia="仿宋"/>
          <w:sz w:val="24"/>
          <w:szCs w:val="24"/>
        </w:rPr>
        <w:t>10.8</w:t>
      </w:r>
      <w:r>
        <w:rPr>
          <w:rFonts w:ascii="仿宋" w:hAnsi="仿宋" w:eastAsia="仿宋"/>
          <w:sz w:val="24"/>
          <w:szCs w:val="24"/>
        </w:rPr>
        <w:t>万元</w:t>
      </w:r>
      <w:r>
        <w:rPr>
          <w:rFonts w:hint="eastAsia" w:ascii="仿宋" w:hAnsi="仿宋" w:eastAsia="仿宋"/>
          <w:sz w:val="24"/>
          <w:szCs w:val="24"/>
        </w:rPr>
        <w:t>，</w:t>
      </w:r>
      <w:r>
        <w:rPr>
          <w:rFonts w:ascii="仿宋" w:hAnsi="仿宋" w:eastAsia="仿宋"/>
          <w:sz w:val="24"/>
          <w:szCs w:val="24"/>
        </w:rPr>
        <w:t>其他支出</w:t>
      </w:r>
      <w:r>
        <w:rPr>
          <w:rFonts w:hint="eastAsia" w:ascii="仿宋" w:hAnsi="仿宋" w:eastAsia="仿宋"/>
          <w:sz w:val="24"/>
          <w:szCs w:val="24"/>
        </w:rPr>
        <w:t>3.83</w:t>
      </w:r>
      <w:r>
        <w:rPr>
          <w:rFonts w:ascii="仿宋" w:hAnsi="仿宋" w:eastAsia="仿宋"/>
          <w:sz w:val="24"/>
          <w:szCs w:val="24"/>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7"/>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7"/>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w:t>
                  </w:r>
                  <w:bookmarkStart w:id="24" w:name="_GoBack"/>
                  <w:r>
                    <w:rPr>
                      <w:rFonts w:hint="eastAsia" w:ascii="仿宋_GB2312" w:hAnsi="宋体" w:eastAsia="仿宋_GB2312" w:cs="宋体"/>
                      <w:b/>
                      <w:kern w:val="0"/>
                      <w:sz w:val="24"/>
                      <w:szCs w:val="24"/>
                    </w:rPr>
                    <w:t>因</w:t>
                  </w:r>
                  <w:bookmarkEnd w:id="24"/>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spacing w:before="156" w:beforeLines="50" w:after="156" w:afterLines="50"/>
        <w:ind w:firstLine="480" w:firstLineChars="200"/>
        <w:jc w:val="left"/>
        <w:outlineLvl w:val="1"/>
        <w:rPr>
          <w:rFonts w:ascii="Times New Roman" w:hAnsi="宋体" w:eastAsia="宋体"/>
          <w:sz w:val="24"/>
          <w:szCs w:val="24"/>
        </w:rPr>
      </w:pPr>
      <w:bookmarkStart w:id="0" w:name="_Toc67037423"/>
      <w:r>
        <w:rPr>
          <w:rFonts w:hint="eastAsia" w:ascii="方正黑体_GBK" w:eastAsia="方正黑体_GBK"/>
          <w:sz w:val="24"/>
          <w:szCs w:val="24"/>
        </w:rPr>
        <w:t>一、总体绩效目标</w:t>
      </w:r>
      <w:bookmarkEnd w:id="0"/>
      <w:r>
        <w:rPr>
          <w:rFonts w:ascii="方正黑体_GBK" w:eastAsia="方正黑体_GBK"/>
          <w:sz w:val="24"/>
          <w:szCs w:val="24"/>
        </w:rPr>
        <w:fldChar w:fldCharType="begin"/>
      </w:r>
      <w:r>
        <w:rPr>
          <w:rFonts w:ascii="方正黑体_GBK" w:eastAsia="方正黑体_GBK"/>
          <w:sz w:val="24"/>
          <w:szCs w:val="24"/>
        </w:rPr>
        <w:instrText xml:space="preserve"> </w:instrText>
      </w:r>
      <w:r>
        <w:rPr>
          <w:rFonts w:hint="eastAsia" w:ascii="方正黑体_GBK" w:eastAsia="方正黑体_GBK"/>
          <w:sz w:val="24"/>
          <w:szCs w:val="24"/>
        </w:rPr>
        <w:instrText xml:space="preserve">TC 总体绩效目标 \f A \l 1</w:instrText>
      </w:r>
      <w:r>
        <w:rPr>
          <w:rFonts w:ascii="方正黑体_GBK" w:eastAsia="方正黑体_GBK"/>
          <w:sz w:val="24"/>
          <w:szCs w:val="24"/>
        </w:rPr>
        <w:instrText xml:space="preserve"> </w:instrText>
      </w:r>
      <w:r>
        <w:rPr>
          <w:rFonts w:ascii="方正黑体_GBK" w:eastAsia="方正黑体_GBK"/>
          <w:sz w:val="24"/>
          <w:szCs w:val="24"/>
        </w:rPr>
        <w:fldChar w:fldCharType="end"/>
      </w:r>
    </w:p>
    <w:p>
      <w:pPr>
        <w:spacing w:line="500" w:lineRule="exact"/>
        <w:ind w:firstLine="480" w:firstLineChars="200"/>
        <w:jc w:val="left"/>
        <w:rPr>
          <w:rFonts w:ascii="Times New Roman" w:eastAsia="方正仿宋_GBK"/>
          <w:sz w:val="24"/>
          <w:szCs w:val="24"/>
        </w:rPr>
      </w:pPr>
      <w:r>
        <w:rPr>
          <w:rFonts w:ascii="Times New Roman" w:eastAsia="方正仿宋_GBK"/>
          <w:sz w:val="24"/>
          <w:szCs w:val="24"/>
        </w:rPr>
        <w:t>以习近平新时代中国特色社会主义思想为指导，全面贯彻落实党的十九届二中、三中、四中全会以及中央经济工作会议精神，根据区委区政府工作部署，结合本地区实际，主动适应新形势、新任务、新要求，不断增强做好工作的责任感和使命感，全面提升“四个服务”能力和水平，提高政务服务与管理水平。宣传贯彻执行党的路线、方针、政策和国家的法律、法规，保障机关工作正常运转，及时化解矛盾纠纷，维护地区和谐稳定，继续加强扶贫工作，</w:t>
      </w:r>
      <w:r>
        <w:rPr>
          <w:rFonts w:hint="eastAsia" w:ascii="Times New Roman" w:eastAsia="方正仿宋_GBK"/>
          <w:sz w:val="24"/>
          <w:szCs w:val="24"/>
        </w:rPr>
        <w:t>巩固拓展脱贫攻坚成果</w:t>
      </w:r>
      <w:r>
        <w:rPr>
          <w:rFonts w:ascii="Times New Roman" w:eastAsia="方正仿宋_GBK"/>
          <w:sz w:val="24"/>
          <w:szCs w:val="24"/>
        </w:rPr>
        <w:t xml:space="preserve">，促进地区经济发展，整治非法、污染企业，加强土地管控，保护大气环境，提升群众满意度和幸福感。健全工作机制，扎实锤炼作风，全力攻坚克难，全面提高单位工作制度化、规范化水平，努力开创工作新局面。 </w:t>
      </w:r>
    </w:p>
    <w:p>
      <w:pPr>
        <w:spacing w:line="500" w:lineRule="exact"/>
        <w:ind w:firstLine="480" w:firstLineChars="200"/>
        <w:jc w:val="left"/>
        <w:rPr>
          <w:rFonts w:ascii="Times New Roman" w:eastAsia="方正仿宋_GBK"/>
          <w:sz w:val="24"/>
          <w:szCs w:val="24"/>
        </w:rPr>
      </w:pPr>
    </w:p>
    <w:p>
      <w:pPr>
        <w:spacing w:before="156" w:beforeLines="50" w:after="156" w:afterLines="50" w:line="500" w:lineRule="exact"/>
        <w:ind w:firstLine="480" w:firstLineChars="200"/>
        <w:jc w:val="left"/>
        <w:outlineLvl w:val="1"/>
        <w:rPr>
          <w:rFonts w:ascii="Times New Roman" w:hAnsi="宋体" w:eastAsia="宋体"/>
          <w:sz w:val="24"/>
          <w:szCs w:val="24"/>
        </w:rPr>
      </w:pPr>
      <w:bookmarkStart w:id="1" w:name="_Toc67037424"/>
      <w:r>
        <w:rPr>
          <w:rFonts w:ascii="方正黑体_GBK" w:eastAsia="方正黑体_GBK"/>
          <w:sz w:val="24"/>
          <w:szCs w:val="24"/>
        </w:rPr>
        <w:t>二、分项绩效目标</w:t>
      </w:r>
      <w:bookmarkEnd w:id="1"/>
      <w:r>
        <w:rPr>
          <w:rFonts w:ascii="方正黑体_GBK" w:eastAsia="方正黑体_GBK"/>
          <w:sz w:val="24"/>
          <w:szCs w:val="24"/>
        </w:rPr>
        <w:fldChar w:fldCharType="begin"/>
      </w:r>
      <w:r>
        <w:rPr>
          <w:rFonts w:ascii="方正黑体_GBK" w:eastAsia="方正黑体_GBK"/>
          <w:sz w:val="24"/>
          <w:szCs w:val="24"/>
        </w:rPr>
        <w:instrText xml:space="preserve"> TC 分项绩效目标 \f A \l 1 </w:instrText>
      </w:r>
      <w:r>
        <w:rPr>
          <w:rFonts w:ascii="方正黑体_GBK" w:eastAsia="方正黑体_GBK"/>
          <w:sz w:val="24"/>
          <w:szCs w:val="24"/>
        </w:rPr>
        <w:fldChar w:fldCharType="end"/>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（一）协调维护社会稳定，维护镇村稳定</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绩效目标：协调维护社会稳定和国家安全，以创建和谐稳定的社会环境为目标。</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绩效指标：矛盾纠纷调处率达到</w:t>
      </w:r>
      <w:r>
        <w:rPr>
          <w:rFonts w:ascii="Times New Roman" w:eastAsia="方正仿宋_GBK"/>
          <w:sz w:val="24"/>
          <w:szCs w:val="24"/>
        </w:rPr>
        <w:t>80%</w:t>
      </w:r>
      <w:r>
        <w:rPr>
          <w:rFonts w:hint="eastAsia" w:ascii="Times New Roman" w:hAnsi="微软雅黑" w:eastAsia="方正仿宋_GBK" w:cs="微软雅黑"/>
          <w:sz w:val="24"/>
          <w:szCs w:val="24"/>
        </w:rPr>
        <w:t>以上；协调督导事项化解率</w:t>
      </w:r>
      <w:r>
        <w:rPr>
          <w:rFonts w:ascii="Times New Roman" w:eastAsia="方正仿宋_GBK"/>
          <w:sz w:val="24"/>
          <w:szCs w:val="24"/>
        </w:rPr>
        <w:t>80%</w:t>
      </w:r>
      <w:r>
        <w:rPr>
          <w:rFonts w:hint="eastAsia" w:ascii="Times New Roman" w:hAnsi="微软雅黑" w:eastAsia="方正仿宋_GBK" w:cs="微软雅黑"/>
          <w:sz w:val="24"/>
          <w:szCs w:val="24"/>
        </w:rPr>
        <w:t>以上；稳定水平提高。</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（二）维持村级组织正常运转，促进发展</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绩效目标：维持村级组织正常运转，搞好服务保障，保障村级组织及村党组织正常运转，促进乡村社会和经济发展。</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绩效指标：村级各项经费资金支付及时率达到</w:t>
      </w:r>
      <w:r>
        <w:rPr>
          <w:rFonts w:ascii="Times New Roman" w:eastAsia="方正仿宋_GBK"/>
          <w:sz w:val="24"/>
          <w:szCs w:val="24"/>
        </w:rPr>
        <w:t>90%</w:t>
      </w:r>
      <w:r>
        <w:rPr>
          <w:rFonts w:hint="eastAsia" w:ascii="Times New Roman" w:hAnsi="微软雅黑" w:eastAsia="方正仿宋_GBK" w:cs="微软雅黑"/>
          <w:sz w:val="24"/>
          <w:szCs w:val="24"/>
        </w:rPr>
        <w:t>以上；群众满意率达到</w:t>
      </w:r>
      <w:r>
        <w:rPr>
          <w:rFonts w:ascii="Times New Roman" w:eastAsia="方正仿宋_GBK"/>
          <w:sz w:val="24"/>
          <w:szCs w:val="24"/>
        </w:rPr>
        <w:t>90%</w:t>
      </w:r>
      <w:r>
        <w:rPr>
          <w:rFonts w:hint="eastAsia" w:ascii="Times New Roman" w:hAnsi="微软雅黑" w:eastAsia="方正仿宋_GBK" w:cs="微软雅黑"/>
          <w:sz w:val="24"/>
          <w:szCs w:val="24"/>
        </w:rPr>
        <w:t>以上。</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（三）完善农村经营管理，维护村情。</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绩效目标：漕河过渡带占地补偿项目资金按时、足额发放到位。</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绩效指标：资金到位率及补贴发放率达到</w:t>
      </w:r>
      <w:r>
        <w:rPr>
          <w:rFonts w:ascii="Times New Roman" w:eastAsia="方正仿宋_GBK"/>
          <w:sz w:val="24"/>
          <w:szCs w:val="24"/>
        </w:rPr>
        <w:t>100%</w:t>
      </w:r>
      <w:r>
        <w:rPr>
          <w:rFonts w:hint="eastAsia" w:ascii="Times New Roman" w:hAnsi="微软雅黑" w:eastAsia="方正仿宋_GBK" w:cs="微软雅黑"/>
          <w:sz w:val="24"/>
          <w:szCs w:val="24"/>
        </w:rPr>
        <w:t>以上；群众满意度达到</w:t>
      </w:r>
      <w:r>
        <w:rPr>
          <w:rFonts w:ascii="Times New Roman" w:eastAsia="方正仿宋_GBK"/>
          <w:sz w:val="24"/>
          <w:szCs w:val="24"/>
        </w:rPr>
        <w:t>90%</w:t>
      </w:r>
      <w:r>
        <w:rPr>
          <w:rFonts w:hint="eastAsia" w:ascii="Times New Roman" w:hAnsi="微软雅黑" w:eastAsia="方正仿宋_GBK" w:cs="微软雅黑"/>
          <w:sz w:val="24"/>
          <w:szCs w:val="24"/>
        </w:rPr>
        <w:t>以上。</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（四）加强农村文化建设文化资源共享</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绩效目标：宣传党的路线、方针、政策和上级工作部署，坚持正确舆论导向，发挥主流媒体作用。</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绩效指标：</w:t>
      </w:r>
      <w:r>
        <w:rPr>
          <w:rFonts w:ascii="Times New Roman" w:eastAsia="方正仿宋_GBK"/>
          <w:sz w:val="24"/>
          <w:szCs w:val="24"/>
        </w:rPr>
        <w:t xml:space="preserve"> </w:t>
      </w:r>
      <w:r>
        <w:rPr>
          <w:rFonts w:hint="eastAsia" w:ascii="Times New Roman" w:hAnsi="微软雅黑" w:eastAsia="方正仿宋_GBK" w:cs="微软雅黑"/>
          <w:sz w:val="24"/>
          <w:szCs w:val="24"/>
        </w:rPr>
        <w:t>实现文化资源共享，群众满意度达到</w:t>
      </w:r>
      <w:r>
        <w:rPr>
          <w:rFonts w:ascii="Times New Roman" w:eastAsia="方正仿宋_GBK"/>
          <w:sz w:val="24"/>
          <w:szCs w:val="24"/>
        </w:rPr>
        <w:t>90%</w:t>
      </w:r>
      <w:r>
        <w:rPr>
          <w:rFonts w:hint="eastAsia" w:ascii="Times New Roman" w:hAnsi="微软雅黑" w:eastAsia="方正仿宋_GBK" w:cs="微软雅黑"/>
          <w:sz w:val="24"/>
          <w:szCs w:val="24"/>
        </w:rPr>
        <w:t>以上。</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（五）乡镇综合事务管理，保障正常运转</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绩效目标：扎实做好人大、党建、纪检、团委等各项工作，保障机关工作正常运转，财政资金使用效益。</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绩效指标：保障工作明显提升；综合事务管理工作完成率达到</w:t>
      </w:r>
      <w:r>
        <w:rPr>
          <w:rFonts w:ascii="Times New Roman" w:eastAsia="方正仿宋_GBK"/>
          <w:sz w:val="24"/>
          <w:szCs w:val="24"/>
        </w:rPr>
        <w:t>90%</w:t>
      </w:r>
      <w:r>
        <w:rPr>
          <w:rFonts w:hint="eastAsia" w:ascii="Times New Roman" w:hAnsi="微软雅黑" w:eastAsia="方正仿宋_GBK" w:cs="微软雅黑"/>
          <w:sz w:val="24"/>
          <w:szCs w:val="24"/>
        </w:rPr>
        <w:t>以上；受益对象满意度达到</w:t>
      </w:r>
      <w:r>
        <w:rPr>
          <w:rFonts w:ascii="Times New Roman" w:eastAsia="方正仿宋_GBK"/>
          <w:sz w:val="24"/>
          <w:szCs w:val="24"/>
        </w:rPr>
        <w:t>90%</w:t>
      </w:r>
      <w:r>
        <w:rPr>
          <w:rFonts w:hint="eastAsia" w:ascii="Times New Roman" w:hAnsi="微软雅黑" w:eastAsia="方正仿宋_GBK" w:cs="微软雅黑"/>
          <w:sz w:val="24"/>
          <w:szCs w:val="24"/>
        </w:rPr>
        <w:t>以上。</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（六）做好大气污染防治，改善农村环境</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绩效目标：做好全年大气污染防治工作，把大气污染防治工作作为一项重要内容常态化。</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绩效指标：生活垃圾定点存放清运率，重点村垃圾收集、处理完成率</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达到</w:t>
      </w:r>
      <w:r>
        <w:rPr>
          <w:rFonts w:ascii="Times New Roman" w:eastAsia="方正仿宋_GBK"/>
          <w:sz w:val="24"/>
          <w:szCs w:val="24"/>
        </w:rPr>
        <w:t>90%</w:t>
      </w:r>
      <w:r>
        <w:rPr>
          <w:rFonts w:hint="eastAsia" w:ascii="Times New Roman" w:hAnsi="微软雅黑" w:eastAsia="方正仿宋_GBK" w:cs="微软雅黑"/>
          <w:sz w:val="24"/>
          <w:szCs w:val="24"/>
        </w:rPr>
        <w:t>以上；</w:t>
      </w:r>
      <w:r>
        <w:rPr>
          <w:rFonts w:ascii="Times New Roman" w:eastAsia="方正仿宋_GBK"/>
          <w:sz w:val="24"/>
          <w:szCs w:val="24"/>
        </w:rPr>
        <w:t xml:space="preserve"> </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（七）落实安全生产诚信管理</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绩效目标：对重点行业和作业场所职业卫生安全生产加强行政执法监察；开展重大危险源执法检查工作；开展安全事故检查及安全生产宣传教育活动；促进企业全面落实安全生产诚信管理。</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绩效指标：安全生产信息员设置覆盖镇所有村；安全生产信息员补助发放完成率达到</w:t>
      </w:r>
      <w:r>
        <w:rPr>
          <w:rFonts w:ascii="Times New Roman" w:eastAsia="方正仿宋_GBK"/>
          <w:sz w:val="24"/>
          <w:szCs w:val="24"/>
        </w:rPr>
        <w:t>100%</w:t>
      </w:r>
      <w:r>
        <w:rPr>
          <w:rFonts w:hint="eastAsia" w:ascii="Times New Roman" w:hAnsi="微软雅黑" w:eastAsia="方正仿宋_GBK" w:cs="微软雅黑"/>
          <w:sz w:val="24"/>
          <w:szCs w:val="24"/>
        </w:rPr>
        <w:t>以上；享受安全生产信息员补助人员对补助发放情况的满意程度达到</w:t>
      </w:r>
      <w:r>
        <w:rPr>
          <w:rFonts w:ascii="Times New Roman" w:eastAsia="方正仿宋_GBK"/>
          <w:sz w:val="24"/>
          <w:szCs w:val="24"/>
        </w:rPr>
        <w:t>90%</w:t>
      </w:r>
      <w:r>
        <w:rPr>
          <w:rFonts w:hint="eastAsia" w:ascii="Times New Roman" w:hAnsi="微软雅黑" w:eastAsia="方正仿宋_GBK" w:cs="微软雅黑"/>
          <w:sz w:val="24"/>
          <w:szCs w:val="24"/>
        </w:rPr>
        <w:t>以上。</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（八）实现镇村地震安全建设常态化</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绩效目标：实现城乡地震安全建设常态化，提高防震减灾宣传效果，提升社会公众防震避险意识和技能。</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绩效指标：地震群测群防队伍覆盖全镇各村；地震群测群防岗位津贴发放完成率达到</w:t>
      </w:r>
      <w:r>
        <w:rPr>
          <w:rFonts w:ascii="Times New Roman" w:eastAsia="方正仿宋_GBK"/>
          <w:sz w:val="24"/>
          <w:szCs w:val="24"/>
        </w:rPr>
        <w:t>100%</w:t>
      </w:r>
      <w:r>
        <w:rPr>
          <w:rFonts w:hint="eastAsia" w:ascii="Times New Roman" w:hAnsi="微软雅黑" w:eastAsia="方正仿宋_GBK" w:cs="微软雅黑"/>
          <w:sz w:val="24"/>
          <w:szCs w:val="24"/>
        </w:rPr>
        <w:t>以上，享受地震群测群防岗位津贴人员对津贴发放情况的满意程度达到</w:t>
      </w:r>
      <w:r>
        <w:rPr>
          <w:rFonts w:ascii="Times New Roman" w:eastAsia="方正仿宋_GBK"/>
          <w:sz w:val="24"/>
          <w:szCs w:val="24"/>
        </w:rPr>
        <w:t>90%</w:t>
      </w:r>
      <w:r>
        <w:rPr>
          <w:rFonts w:hint="eastAsia" w:ascii="Times New Roman" w:hAnsi="微软雅黑" w:eastAsia="方正仿宋_GBK" w:cs="微软雅黑"/>
          <w:sz w:val="24"/>
          <w:szCs w:val="24"/>
        </w:rPr>
        <w:t>以上。</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（九）继续加强扶贫工作，巩固拓展脱贫攻坚成果；</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绩效目标：加强扶贫项目资金绩效管理，创新工作机制，提高资金使用效益和扶贫成效。</w:t>
      </w:r>
    </w:p>
    <w:p>
      <w:pPr>
        <w:spacing w:line="500" w:lineRule="exact"/>
        <w:ind w:firstLine="480" w:firstLineChars="200"/>
        <w:jc w:val="left"/>
        <w:rPr>
          <w:rFonts w:ascii="Times New Roman" w:eastAsia="方正仿宋_GBK"/>
          <w:sz w:val="24"/>
          <w:szCs w:val="24"/>
        </w:rPr>
      </w:pPr>
      <w:r>
        <w:rPr>
          <w:rFonts w:hint="eastAsia" w:ascii="Times New Roman" w:hAnsi="微软雅黑" w:eastAsia="方正仿宋_GBK" w:cs="微软雅黑"/>
          <w:sz w:val="24"/>
          <w:szCs w:val="24"/>
        </w:rPr>
        <w:t>绩效指标：建档立卡贫困户公益性岗位人员工资到位率</w:t>
      </w:r>
      <w:r>
        <w:rPr>
          <w:rFonts w:ascii="Times New Roman" w:eastAsia="方正仿宋_GBK"/>
          <w:sz w:val="24"/>
          <w:szCs w:val="24"/>
        </w:rPr>
        <w:t>100%</w:t>
      </w:r>
      <w:r>
        <w:rPr>
          <w:rFonts w:hint="eastAsia" w:ascii="Times New Roman" w:hAnsi="微软雅黑" w:eastAsia="方正仿宋_GBK" w:cs="微软雅黑"/>
          <w:sz w:val="24"/>
          <w:szCs w:val="24"/>
        </w:rPr>
        <w:t>，保险购置率</w:t>
      </w:r>
      <w:r>
        <w:rPr>
          <w:rFonts w:ascii="Times New Roman" w:eastAsia="方正仿宋_GBK"/>
          <w:sz w:val="24"/>
          <w:szCs w:val="24"/>
        </w:rPr>
        <w:t>100%</w:t>
      </w:r>
      <w:r>
        <w:rPr>
          <w:rFonts w:hint="eastAsia" w:ascii="Times New Roman" w:hAnsi="微软雅黑" w:eastAsia="方正仿宋_GBK" w:cs="微软雅黑"/>
          <w:sz w:val="24"/>
          <w:szCs w:val="24"/>
        </w:rPr>
        <w:t>。</w:t>
      </w:r>
    </w:p>
    <w:p>
      <w:pPr>
        <w:spacing w:line="500" w:lineRule="exact"/>
        <w:ind w:firstLine="480" w:firstLineChars="200"/>
        <w:jc w:val="left"/>
        <w:rPr>
          <w:rFonts w:ascii="Times New Roman" w:eastAsia="方正仿宋_GBK"/>
          <w:sz w:val="24"/>
          <w:szCs w:val="24"/>
        </w:rPr>
      </w:pPr>
    </w:p>
    <w:p>
      <w:pPr>
        <w:spacing w:before="156" w:beforeLines="50" w:after="156" w:afterLines="50" w:line="500" w:lineRule="exact"/>
        <w:ind w:firstLine="480" w:firstLineChars="200"/>
        <w:jc w:val="left"/>
        <w:outlineLvl w:val="1"/>
        <w:rPr>
          <w:rFonts w:ascii="Times New Roman" w:hAnsi="宋体" w:eastAsia="宋体"/>
          <w:sz w:val="24"/>
          <w:szCs w:val="24"/>
        </w:rPr>
      </w:pPr>
      <w:bookmarkStart w:id="2" w:name="_Toc67037425"/>
      <w:r>
        <w:rPr>
          <w:rFonts w:ascii="方正黑体_GBK" w:eastAsia="方正黑体_GBK"/>
          <w:sz w:val="24"/>
          <w:szCs w:val="24"/>
        </w:rPr>
        <w:t>三、工作保障措施</w:t>
      </w:r>
      <w:bookmarkEnd w:id="2"/>
      <w:r>
        <w:rPr>
          <w:rFonts w:ascii="方正黑体_GBK" w:eastAsia="方正黑体_GBK"/>
          <w:sz w:val="24"/>
          <w:szCs w:val="24"/>
        </w:rPr>
        <w:fldChar w:fldCharType="begin"/>
      </w:r>
      <w:r>
        <w:rPr>
          <w:rFonts w:ascii="方正黑体_GBK" w:eastAsia="方正黑体_GBK"/>
          <w:sz w:val="24"/>
          <w:szCs w:val="24"/>
        </w:rPr>
        <w:instrText xml:space="preserve"> TC 工作保障措施 \f A \l 1 </w:instrText>
      </w:r>
      <w:r>
        <w:rPr>
          <w:rFonts w:ascii="方正黑体_GBK" w:eastAsia="方正黑体_GBK"/>
          <w:sz w:val="24"/>
          <w:szCs w:val="24"/>
        </w:rPr>
        <w:fldChar w:fldCharType="end"/>
      </w:r>
    </w:p>
    <w:p>
      <w:pPr>
        <w:spacing w:line="500" w:lineRule="exact"/>
        <w:ind w:firstLine="480" w:firstLineChars="200"/>
        <w:jc w:val="left"/>
        <w:rPr>
          <w:rFonts w:ascii="Times New Roman" w:eastAsia="方正仿宋_GBK"/>
          <w:sz w:val="24"/>
          <w:szCs w:val="24"/>
        </w:rPr>
      </w:pPr>
      <w:r>
        <w:rPr>
          <w:rFonts w:ascii="Times New Roman" w:eastAsia="方正仿宋_GBK"/>
          <w:sz w:val="24"/>
          <w:szCs w:val="24"/>
        </w:rPr>
        <w:t>1</w:t>
      </w:r>
      <w:r>
        <w:rPr>
          <w:rFonts w:hint="eastAsia" w:ascii="Times New Roman" w:hAnsi="微软雅黑" w:eastAsia="方正仿宋_GBK" w:cs="微软雅黑"/>
          <w:sz w:val="24"/>
          <w:szCs w:val="24"/>
        </w:rPr>
        <w:t>、坚持改革创新。坚持以习近平新时代中国特色社会主义思想为指引，紧紧围绕区委、区政府相关决策部署及工作安排，切实提高政治站位，立足发展全局，突出工作重点，进一步深化务实有效的工作举措，发扬一流作风、保持一流状态、创造一流业绩，推动本单位各项工作取得新成效，确保全年目标任务高质量完成。</w:t>
      </w:r>
    </w:p>
    <w:p>
      <w:pPr>
        <w:spacing w:line="500" w:lineRule="exact"/>
        <w:ind w:firstLine="480" w:firstLineChars="200"/>
        <w:jc w:val="left"/>
        <w:rPr>
          <w:rFonts w:ascii="Times New Roman" w:eastAsia="方正仿宋_GBK"/>
          <w:sz w:val="24"/>
          <w:szCs w:val="24"/>
        </w:rPr>
      </w:pPr>
      <w:r>
        <w:rPr>
          <w:rFonts w:ascii="Times New Roman" w:eastAsia="方正仿宋_GBK"/>
          <w:sz w:val="24"/>
          <w:szCs w:val="24"/>
        </w:rPr>
        <w:t>2</w:t>
      </w:r>
      <w:r>
        <w:rPr>
          <w:rFonts w:hint="eastAsia" w:ascii="Times New Roman" w:hAnsi="微软雅黑" w:eastAsia="方正仿宋_GBK" w:cs="微软雅黑"/>
          <w:sz w:val="24"/>
          <w:szCs w:val="24"/>
        </w:rPr>
        <w:t>、强化预算执行。将年度工作目标任务细化分解，落实到岗、落实到人。通过优化支出结构，编细编实预算，尽快启动项目，及时支付资金，确保支出进度达标。</w:t>
      </w:r>
    </w:p>
    <w:p>
      <w:pPr>
        <w:spacing w:line="500" w:lineRule="exact"/>
        <w:ind w:firstLine="480" w:firstLineChars="200"/>
        <w:jc w:val="left"/>
        <w:rPr>
          <w:rFonts w:ascii="Times New Roman" w:eastAsia="方正仿宋_GBK"/>
          <w:sz w:val="24"/>
          <w:szCs w:val="24"/>
        </w:rPr>
      </w:pPr>
      <w:r>
        <w:rPr>
          <w:rFonts w:ascii="Times New Roman" w:eastAsia="方正仿宋_GBK"/>
          <w:sz w:val="24"/>
          <w:szCs w:val="24"/>
        </w:rPr>
        <w:t>3</w:t>
      </w:r>
      <w:r>
        <w:rPr>
          <w:rFonts w:hint="eastAsia" w:ascii="Times New Roman" w:hAnsi="微软雅黑" w:eastAsia="方正仿宋_GBK" w:cs="微软雅黑"/>
          <w:sz w:val="24"/>
          <w:szCs w:val="24"/>
        </w:rPr>
        <w:t>、完善绩效管理。本年度项目预算绩效目标设置准确、合理、可量化，做好对上年度单位预算绩效自评和重点评价工作，对评价中发现的问题及时整改。调整优化支出结构，提高财政资金使用效益。</w:t>
      </w:r>
    </w:p>
    <w:p>
      <w:pPr>
        <w:spacing w:line="500" w:lineRule="exact"/>
        <w:ind w:firstLine="480" w:firstLineChars="200"/>
        <w:jc w:val="left"/>
        <w:rPr>
          <w:rFonts w:ascii="Times New Roman" w:eastAsia="方正仿宋_GBK"/>
          <w:sz w:val="24"/>
          <w:szCs w:val="24"/>
        </w:rPr>
      </w:pPr>
      <w:r>
        <w:rPr>
          <w:rFonts w:ascii="Times New Roman" w:eastAsia="方正仿宋_GBK"/>
          <w:sz w:val="24"/>
          <w:szCs w:val="24"/>
        </w:rPr>
        <w:t>4</w:t>
      </w:r>
      <w:r>
        <w:rPr>
          <w:rFonts w:hint="eastAsia" w:ascii="Times New Roman" w:hAnsi="微软雅黑" w:eastAsia="方正仿宋_GBK" w:cs="微软雅黑"/>
          <w:sz w:val="24"/>
          <w:szCs w:val="24"/>
        </w:rPr>
        <w:t>、完善制度建设。规范财务资产管理。完善财务管理制度，严格审批程序，加强固定资产登记、使用和报废和处置管理，做到支出合理，物尽其用。</w:t>
      </w:r>
    </w:p>
    <w:p>
      <w:pPr>
        <w:spacing w:line="500" w:lineRule="exact"/>
        <w:ind w:firstLine="480" w:firstLineChars="200"/>
        <w:jc w:val="left"/>
        <w:rPr>
          <w:rFonts w:ascii="Times New Roman" w:eastAsia="方正仿宋_GBK"/>
          <w:sz w:val="24"/>
          <w:szCs w:val="24"/>
        </w:rPr>
      </w:pPr>
      <w:r>
        <w:rPr>
          <w:rFonts w:ascii="Times New Roman" w:eastAsia="方正仿宋_GBK"/>
          <w:sz w:val="24"/>
          <w:szCs w:val="24"/>
        </w:rPr>
        <w:t>5</w:t>
      </w:r>
      <w:r>
        <w:rPr>
          <w:rFonts w:hint="eastAsia" w:ascii="Times New Roman" w:hAnsi="微软雅黑" w:eastAsia="方正仿宋_GBK" w:cs="微软雅黑"/>
          <w:sz w:val="24"/>
          <w:szCs w:val="24"/>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480" w:firstLineChars="200"/>
        <w:jc w:val="left"/>
        <w:rPr>
          <w:rFonts w:ascii="Times New Roman" w:eastAsia="方正仿宋_GBK"/>
          <w:sz w:val="24"/>
          <w:szCs w:val="24"/>
        </w:rPr>
      </w:pPr>
      <w:r>
        <w:rPr>
          <w:rFonts w:ascii="Times New Roman" w:eastAsia="方正仿宋_GBK"/>
          <w:sz w:val="24"/>
          <w:szCs w:val="24"/>
        </w:rPr>
        <w:t>6</w:t>
      </w:r>
      <w:r>
        <w:rPr>
          <w:rFonts w:hint="eastAsia" w:ascii="Times New Roman" w:hAnsi="微软雅黑" w:eastAsia="方正仿宋_GBK" w:cs="微软雅黑"/>
          <w:sz w:val="24"/>
          <w:szCs w:val="24"/>
        </w:rPr>
        <w:t>、加强宣传培训调研工作。加强人员培训，提高本单位职工业务素质；加强调研，提出优化财政资金配置，提高资金使用效益的意见；加大宣传力度，强化预算绩效管理意识，促进预算绩效管理水平进一步提高。</w:t>
      </w:r>
      <w:r>
        <w:rPr>
          <w:rFonts w:ascii="方正书宋_GBK" w:eastAsia="方正书宋_GBK"/>
        </w:rPr>
        <w:t xml:space="preserve"> </w:t>
      </w:r>
    </w:p>
    <w:p>
      <w:pPr>
        <w:rPr>
          <w:rFonts w:ascii="Times New Roman" w:eastAsia="方正仿宋_GBK"/>
          <w:sz w:val="28"/>
        </w:rPr>
        <w:sectPr>
          <w:footerReference r:id="rId3" w:type="default"/>
          <w:pgSz w:w="11907" w:h="16839"/>
          <w:pgMar w:top="1984" w:right="1304" w:bottom="1134" w:left="1304" w:header="851" w:footer="992" w:gutter="0"/>
          <w:pgNumType w:start="1"/>
          <w:cols w:space="425" w:num="1"/>
          <w:docGrid w:type="lines" w:linePitch="312" w:charSpace="0"/>
        </w:sectPr>
      </w:pP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jc w:val="center"/>
        <w:outlineLvl w:val="0"/>
        <w:rPr>
          <w:rFonts w:ascii="方正书宋_GBK" w:eastAsia="方正书宋_GBK"/>
        </w:rPr>
      </w:pPr>
    </w:p>
    <w:p>
      <w:pPr>
        <w:ind w:firstLine="560" w:firstLineChars="200"/>
        <w:jc w:val="left"/>
        <w:outlineLvl w:val="3"/>
        <w:rPr>
          <w:rFonts w:ascii="Times New Roman" w:hAnsi="宋体" w:eastAsia="宋体"/>
          <w:b/>
          <w:sz w:val="28"/>
        </w:rPr>
      </w:pPr>
      <w:bookmarkStart w:id="3" w:name="_Toc67037426"/>
      <w:r>
        <w:rPr>
          <w:rFonts w:ascii="方正仿宋_GBK" w:eastAsia="方正仿宋_GBK"/>
          <w:b/>
          <w:sz w:val="28"/>
        </w:rPr>
        <w:t>1.服务群众专项经费绩效目标表</w:t>
      </w:r>
      <w:bookmarkEnd w:id="3"/>
      <w:r>
        <w:rPr>
          <w:rFonts w:ascii="方正仿宋_GBK" w:eastAsia="方正仿宋_GBK"/>
          <w:b/>
          <w:sz w:val="28"/>
        </w:rPr>
        <w:fldChar w:fldCharType="begin"/>
      </w:r>
      <w:r>
        <w:rPr>
          <w:rFonts w:ascii="方正仿宋_GBK" w:eastAsia="方正仿宋_GBK"/>
          <w:b/>
          <w:sz w:val="28"/>
        </w:rPr>
        <w:instrText xml:space="preserve"> TC 1、服务群众专项经费绩效目标表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1306252106ZS35MDBHFC2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用于村综合服务站日常运转、公共设施维护、公共卫生防疫、服务群众生产生活的临时劳务用工等方面的开支。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1.保障村级设备设施的正常运转</w:t>
            </w:r>
          </w:p>
          <w:p>
            <w:pPr>
              <w:spacing w:line="300" w:lineRule="exact"/>
              <w:jc w:val="left"/>
              <w:rPr>
                <w:rFonts w:ascii="方正书宋_GBK" w:eastAsia="方正书宋_GBK"/>
              </w:rPr>
            </w:pPr>
            <w:r>
              <w:rPr>
                <w:rFonts w:ascii="方正书宋_GBK" w:eastAsia="方正书宋_GBK"/>
              </w:rPr>
              <w:t>2.确保村级公务活动的正常开展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w:t>
            </w:r>
            <w:r>
              <w:rPr>
                <w:rFonts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4" w:name="_Toc67037427"/>
      <w:r>
        <w:rPr>
          <w:rFonts w:ascii="方正仿宋_GBK" w:eastAsia="方正仿宋_GBK"/>
          <w:b/>
          <w:sz w:val="28"/>
        </w:rPr>
        <w:t>2.安全生产信息员经费绩效目标表</w:t>
      </w:r>
      <w:bookmarkEnd w:id="4"/>
      <w:r>
        <w:rPr>
          <w:rFonts w:ascii="方正仿宋_GBK" w:eastAsia="方正仿宋_GBK"/>
          <w:b/>
          <w:sz w:val="28"/>
        </w:rPr>
        <w:fldChar w:fldCharType="begin"/>
      </w:r>
      <w:r>
        <w:rPr>
          <w:rFonts w:ascii="方正仿宋_GBK" w:eastAsia="方正仿宋_GBK"/>
          <w:b/>
          <w:sz w:val="28"/>
        </w:rPr>
        <w:instrText xml:space="preserve"> TC 2、安全生产信息员经费绩效目标表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1306252109GO07WWMG998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用于支付安全生产信息员补助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1.保障人员补贴等方面的经费支出</w:t>
            </w:r>
          </w:p>
          <w:p>
            <w:pPr>
              <w:spacing w:line="300" w:lineRule="exact"/>
              <w:jc w:val="left"/>
              <w:rPr>
                <w:rFonts w:ascii="方正书宋_GBK" w:eastAsia="方正书宋_GBK"/>
              </w:rPr>
            </w:pPr>
            <w:r>
              <w:rPr>
                <w:rFonts w:ascii="方正书宋_GBK" w:eastAsia="方正书宋_GBK"/>
              </w:rPr>
              <w:t>2.确保本单位日常工作正常运转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5" w:name="_Toc67037428"/>
      <w:r>
        <w:rPr>
          <w:rFonts w:ascii="方正仿宋_GBK" w:eastAsia="方正仿宋_GBK"/>
          <w:b/>
          <w:sz w:val="28"/>
        </w:rPr>
        <w:t>3.维稳经费绩效目标表</w:t>
      </w:r>
      <w:bookmarkEnd w:id="5"/>
      <w:r>
        <w:rPr>
          <w:rFonts w:ascii="方正仿宋_GBK" w:eastAsia="方正仿宋_GBK"/>
          <w:b/>
          <w:sz w:val="28"/>
        </w:rPr>
        <w:fldChar w:fldCharType="begin"/>
      </w:r>
      <w:r>
        <w:rPr>
          <w:rFonts w:ascii="方正仿宋_GBK" w:eastAsia="方正仿宋_GBK"/>
          <w:b/>
          <w:sz w:val="28"/>
        </w:rPr>
        <w:instrText xml:space="preserve"> TC 3、维稳经费绩效目标表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1306252133ZK76Y50SW3H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主要用于抓好乡镇政法综治稳定工作，预防减少不稳定因素的发生，有效化解不稳定隐患、群体性事件和突发事件，维护国家安全工作。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1.保障国家安全和社会稳定</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群体性事件成功处置率（%）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成功处置群体性事件数占全部案发数的比率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w:t>
            </w:r>
            <w:r>
              <w:rPr>
                <w:rFonts w:ascii="方正书宋_GBK" w:eastAsia="方正书宋_GBK"/>
              </w:rPr>
              <w:t>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协调督导事项化解率(%)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化解事项占督导事项总数的比率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w:t>
            </w:r>
            <w:r>
              <w:rPr>
                <w:rFonts w:ascii="方正书宋_GBK" w:eastAsia="方正书宋_GBK"/>
              </w:rPr>
              <w:t>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协调督导事项化解率(%)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化解事项占督导事项总数的比率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w:t>
            </w:r>
            <w:r>
              <w:rPr>
                <w:rFonts w:ascii="方正书宋_GBK" w:eastAsia="方正书宋_GBK"/>
              </w:rPr>
              <w:t>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60" w:lineRule="auto"/>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治安、刑事案件下降率（%）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治安、刑事案件下降率（%）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6" w:name="_Toc67037429"/>
      <w:r>
        <w:rPr>
          <w:rFonts w:ascii="方正仿宋_GBK" w:eastAsia="方正仿宋_GBK"/>
          <w:b/>
          <w:sz w:val="28"/>
        </w:rPr>
        <w:t>4.全区绿化土地流转金绩效目标表</w:t>
      </w:r>
      <w:bookmarkEnd w:id="6"/>
      <w:r>
        <w:rPr>
          <w:rFonts w:ascii="方正仿宋_GBK" w:eastAsia="方正仿宋_GBK"/>
          <w:b/>
          <w:sz w:val="28"/>
        </w:rPr>
        <w:fldChar w:fldCharType="begin"/>
      </w:r>
      <w:r>
        <w:rPr>
          <w:rFonts w:ascii="方正仿宋_GBK" w:eastAsia="方正仿宋_GBK"/>
          <w:b/>
          <w:sz w:val="28"/>
        </w:rPr>
        <w:instrText xml:space="preserve"> TC 4、全区绿化土地流转金绩效目标表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130625215CI2L7E3PST15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全区绿化土地流转金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10387538.63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10387538.63</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用于全区绿化占地补偿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1.及时发放</w:t>
            </w:r>
          </w:p>
          <w:p>
            <w:pPr>
              <w:spacing w:line="300" w:lineRule="exact"/>
              <w:jc w:val="left"/>
              <w:rPr>
                <w:rFonts w:ascii="方正书宋_GBK" w:eastAsia="方正书宋_GBK"/>
              </w:rPr>
            </w:pPr>
            <w:r>
              <w:rPr>
                <w:rFonts w:ascii="方正书宋_GBK" w:eastAsia="方正书宋_GBK"/>
              </w:rPr>
              <w:t>2.足额发放</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发放率100%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及时率100%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足额发放</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足额发放率100%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覆盖率100%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"群众收益率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群众收益率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百分比</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7" w:name="_Toc67037430"/>
      <w:r>
        <w:rPr>
          <w:rFonts w:ascii="方正仿宋_GBK" w:eastAsia="方正仿宋_GBK"/>
          <w:b/>
          <w:sz w:val="28"/>
        </w:rPr>
        <w:t>5.地震群测群防岗位津贴绩效目标表</w:t>
      </w:r>
      <w:bookmarkEnd w:id="7"/>
      <w:r>
        <w:rPr>
          <w:rFonts w:ascii="方正仿宋_GBK" w:eastAsia="方正仿宋_GBK"/>
          <w:b/>
          <w:sz w:val="28"/>
        </w:rPr>
        <w:fldChar w:fldCharType="begin"/>
      </w:r>
      <w:r>
        <w:rPr>
          <w:rFonts w:ascii="方正仿宋_GBK" w:eastAsia="方正仿宋_GBK"/>
          <w:b/>
          <w:sz w:val="28"/>
        </w:rPr>
        <w:instrText xml:space="preserve"> TC 5、地震群测群防岗位津贴绩效目标表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130625218KXDWGPEWFALD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3840.00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3840.00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1.保障人员津贴的支出</w:t>
            </w:r>
          </w:p>
          <w:p>
            <w:pPr>
              <w:spacing w:line="300" w:lineRule="exact"/>
              <w:jc w:val="left"/>
              <w:rPr>
                <w:rFonts w:ascii="方正书宋_GBK" w:eastAsia="方正书宋_GBK"/>
              </w:rPr>
            </w:pPr>
            <w:r>
              <w:rPr>
                <w:rFonts w:ascii="方正书宋_GBK" w:eastAsia="方正书宋_GBK"/>
              </w:rPr>
              <w:t>2.确保本单位日常工作正常运转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工作完成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能够保障人员工作效率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8" w:name="_Toc67037431"/>
      <w:r>
        <w:rPr>
          <w:rFonts w:ascii="方正仿宋_GBK" w:eastAsia="方正仿宋_GBK"/>
          <w:b/>
          <w:sz w:val="28"/>
        </w:rPr>
        <w:t>6.村级退役军人服务站吸收参战（进藏）退役军人补贴绩效目标表</w:t>
      </w:r>
      <w:bookmarkEnd w:id="8"/>
      <w:r>
        <w:rPr>
          <w:rFonts w:ascii="方正仿宋_GBK" w:eastAsia="方正仿宋_GBK"/>
          <w:b/>
          <w:sz w:val="28"/>
        </w:rPr>
        <w:fldChar w:fldCharType="begin"/>
      </w:r>
      <w:r>
        <w:rPr>
          <w:rFonts w:ascii="方正仿宋_GBK" w:eastAsia="方正仿宋_GBK"/>
          <w:b/>
          <w:sz w:val="28"/>
        </w:rPr>
        <w:instrText xml:space="preserve"> TC 6、村级退役军人服务站吸收参战（进藏）退役军人补贴绩效目标表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13062521DGHI1ZNYUO9WM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村级退役军人服务站吸收参战（进藏）退役军人补贴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91200.00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91200.00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用于发放村级退役军人服务吸收参战（进藏）退役军人补贴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9" w:name="_Toc67037432"/>
      <w:r>
        <w:rPr>
          <w:rFonts w:ascii="方正仿宋_GBK" w:eastAsia="方正仿宋_GBK"/>
          <w:b/>
          <w:sz w:val="28"/>
        </w:rPr>
        <w:t>7.农村环境整治绩效目标表</w:t>
      </w:r>
      <w:bookmarkEnd w:id="9"/>
      <w:r>
        <w:rPr>
          <w:rFonts w:ascii="方正仿宋_GBK" w:eastAsia="方正仿宋_GBK"/>
          <w:b/>
          <w:sz w:val="28"/>
        </w:rPr>
        <w:fldChar w:fldCharType="begin"/>
      </w:r>
      <w:r>
        <w:rPr>
          <w:rFonts w:ascii="方正仿宋_GBK" w:eastAsia="方正仿宋_GBK"/>
          <w:b/>
          <w:sz w:val="28"/>
        </w:rPr>
        <w:instrText xml:space="preserve"> TC 7、农村环境整治绩效目标表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13062521ETO03YWGLB8LR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农村环境整治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主要用于治理空气污染和解决影响群众健康的生活垃圾、污水处理、农村饮用水源地监测与保护等方面的支出。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1.改善农村人居和生态环境质量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村级社会影响力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10" w:name="_Toc67037433"/>
      <w:r>
        <w:rPr>
          <w:rFonts w:ascii="方正仿宋_GBK" w:eastAsia="方正仿宋_GBK"/>
          <w:b/>
          <w:sz w:val="28"/>
        </w:rPr>
        <w:t>8.徐水区退役军人公益岗岗位人员工资（留村镇）绩效目标表</w:t>
      </w:r>
      <w:bookmarkEnd w:id="10"/>
      <w:r>
        <w:rPr>
          <w:rFonts w:ascii="方正仿宋_GBK" w:eastAsia="方正仿宋_GBK"/>
          <w:b/>
          <w:sz w:val="28"/>
        </w:rPr>
        <w:fldChar w:fldCharType="begin"/>
      </w:r>
      <w:r>
        <w:rPr>
          <w:rFonts w:ascii="方正仿宋_GBK" w:eastAsia="方正仿宋_GBK"/>
          <w:b/>
          <w:sz w:val="28"/>
        </w:rPr>
        <w:instrText xml:space="preserve"> TC 8、徐水区退役军人公益岗岗位人员工资（留村镇）绩效目标表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13062521I8O7Q9BDD9APX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徐水区退役军人公益岗岗位人员工资（留村镇）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243000.00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243000.00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用于支付退役人员公益岗位人员工资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11" w:name="_Toc67037434"/>
      <w:r>
        <w:rPr>
          <w:rFonts w:ascii="方正仿宋_GBK" w:eastAsia="方正仿宋_GBK"/>
          <w:b/>
          <w:sz w:val="28"/>
        </w:rPr>
        <w:t>9.村党组织活动经费绩效目标表</w:t>
      </w:r>
      <w:bookmarkEnd w:id="11"/>
      <w:r>
        <w:rPr>
          <w:rFonts w:ascii="方正仿宋_GBK" w:eastAsia="方正仿宋_GBK"/>
          <w:b/>
          <w:sz w:val="28"/>
        </w:rPr>
        <w:fldChar w:fldCharType="begin"/>
      </w:r>
      <w:r>
        <w:rPr>
          <w:rFonts w:ascii="方正仿宋_GBK" w:eastAsia="方正仿宋_GBK"/>
          <w:b/>
          <w:sz w:val="28"/>
        </w:rPr>
        <w:instrText xml:space="preserve"> TC 9、村党组织活动经费绩效目标表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13062521IF0NDUMG3AAC3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289200.00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289200.00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用于村内党员组织活动支出，2021年实施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1.确保村级党组织方面工作的运行</w:t>
            </w:r>
          </w:p>
          <w:p>
            <w:pPr>
              <w:spacing w:line="300" w:lineRule="exact"/>
              <w:jc w:val="left"/>
              <w:rPr>
                <w:rFonts w:ascii="方正书宋_GBK" w:eastAsia="方正书宋_GBK"/>
              </w:rPr>
            </w:pPr>
            <w:r>
              <w:rPr>
                <w:rFonts w:ascii="方正书宋_GBK" w:eastAsia="方正书宋_GBK"/>
              </w:rPr>
              <w:t>2.保障党员活动开展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12" w:name="_Toc67037435"/>
      <w:r>
        <w:rPr>
          <w:rFonts w:ascii="方正仿宋_GBK" w:eastAsia="方正仿宋_GBK"/>
          <w:b/>
          <w:sz w:val="28"/>
        </w:rPr>
        <w:t>10.大气污染防治绩效目标表</w:t>
      </w:r>
      <w:bookmarkEnd w:id="12"/>
      <w:r>
        <w:rPr>
          <w:rFonts w:ascii="方正仿宋_GBK" w:eastAsia="方正仿宋_GBK"/>
          <w:b/>
          <w:sz w:val="28"/>
        </w:rPr>
        <w:fldChar w:fldCharType="begin"/>
      </w:r>
      <w:r>
        <w:rPr>
          <w:rFonts w:ascii="方正仿宋_GBK" w:eastAsia="方正仿宋_GBK"/>
          <w:b/>
          <w:sz w:val="28"/>
        </w:rPr>
        <w:instrText xml:space="preserve"> TC 10、大气污染防治绩效目标表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13062521K1QTI6166B2BR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大气污染防治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主要用于治理空气污染等方面的支出。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1.加强大气污染防治，推动环境空气质量改善</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正常按标准支付劳务费</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13" w:name="_Toc67037436"/>
      <w:r>
        <w:rPr>
          <w:rFonts w:ascii="方正仿宋_GBK" w:eastAsia="方正仿宋_GBK"/>
          <w:b/>
          <w:sz w:val="28"/>
        </w:rPr>
        <w:t>11.大营、胡家营、荆塘铺失地补偿绩效目标表</w:t>
      </w:r>
      <w:bookmarkEnd w:id="13"/>
      <w:r>
        <w:rPr>
          <w:rFonts w:ascii="方正仿宋_GBK" w:eastAsia="方正仿宋_GBK"/>
          <w:b/>
          <w:sz w:val="28"/>
        </w:rPr>
        <w:fldChar w:fldCharType="begin"/>
      </w:r>
      <w:r>
        <w:rPr>
          <w:rFonts w:ascii="方正仿宋_GBK" w:eastAsia="方正仿宋_GBK"/>
          <w:b/>
          <w:sz w:val="28"/>
        </w:rPr>
        <w:instrText xml:space="preserve"> TC 11、大营、胡家营、荆塘铺失地补偿绩效目标表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13062521K3XD54ASWBQ2A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大营、胡家营、荆塘铺失地补偿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79000.00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79000.00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该项目预算资金7.9万元，计划2021年开始，补偿中硕蓄电池和留村中线占地农户。该项目资金金第三季度7月底前发放完成。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1.资金及时足额发放到位，维护占地户利益，稳定乡情村情。</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租金发放率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实际完成签约数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实际完成签约数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发放完成及时率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14" w:name="_Toc67037437"/>
      <w:r>
        <w:rPr>
          <w:rFonts w:ascii="方正仿宋_GBK" w:eastAsia="方正仿宋_GBK"/>
          <w:b/>
          <w:sz w:val="28"/>
        </w:rPr>
        <w:t>12.村级组织办公经费绩效目标表</w:t>
      </w:r>
      <w:bookmarkEnd w:id="14"/>
      <w:r>
        <w:rPr>
          <w:rFonts w:ascii="方正仿宋_GBK" w:eastAsia="方正仿宋_GBK"/>
          <w:b/>
          <w:sz w:val="28"/>
        </w:rPr>
        <w:fldChar w:fldCharType="begin"/>
      </w:r>
      <w:r>
        <w:rPr>
          <w:rFonts w:ascii="方正仿宋_GBK" w:eastAsia="方正仿宋_GBK"/>
          <w:b/>
          <w:sz w:val="28"/>
        </w:rPr>
        <w:instrText xml:space="preserve"> TC 12、村级组织办公经费绩效目标表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13062521L3L9YQVL1UD1X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393000.00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393000.00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资金及时足额发放到位，维护占地户利益，稳定乡情村情。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15" w:name="_Toc67037438"/>
      <w:r>
        <w:rPr>
          <w:rFonts w:ascii="方正仿宋_GBK" w:eastAsia="方正仿宋_GBK"/>
          <w:b/>
          <w:sz w:val="28"/>
        </w:rPr>
        <w:t>13.机关正常运转经费绩效目标表</w:t>
      </w:r>
      <w:bookmarkEnd w:id="15"/>
      <w:r>
        <w:rPr>
          <w:rFonts w:ascii="方正仿宋_GBK" w:eastAsia="方正仿宋_GBK"/>
          <w:b/>
          <w:sz w:val="28"/>
        </w:rPr>
        <w:fldChar w:fldCharType="begin"/>
      </w:r>
      <w:r>
        <w:rPr>
          <w:rFonts w:ascii="方正仿宋_GBK" w:eastAsia="方正仿宋_GBK"/>
          <w:b/>
          <w:sz w:val="28"/>
        </w:rPr>
        <w:instrText xml:space="preserve"> TC 13、机关正常运转经费绩效目标表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13062521O1ITG246TAE0U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机关正常运转经费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358800.00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358800.00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为完成本单位日常行政管理方面的费用开支，以及用于设备设施等维持性费用支出，和直接用于公务活动支出。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1.确保我单位日常行政管理方面工作的运行</w:t>
            </w:r>
          </w:p>
          <w:p>
            <w:pPr>
              <w:spacing w:line="300" w:lineRule="exact"/>
              <w:jc w:val="left"/>
              <w:rPr>
                <w:rFonts w:ascii="方正书宋_GBK" w:eastAsia="方正书宋_GBK"/>
              </w:rPr>
            </w:pPr>
            <w:r>
              <w:rPr>
                <w:rFonts w:ascii="方正书宋_GBK" w:eastAsia="方正书宋_GBK"/>
              </w:rPr>
              <w:t>2.保障我单位设备设施的正常运转</w:t>
            </w:r>
          </w:p>
          <w:p>
            <w:pPr>
              <w:spacing w:line="300" w:lineRule="exact"/>
              <w:jc w:val="left"/>
              <w:rPr>
                <w:rFonts w:ascii="方正书宋_GBK" w:eastAsia="方正书宋_GBK"/>
              </w:rPr>
            </w:pPr>
            <w:r>
              <w:rPr>
                <w:rFonts w:ascii="方正书宋_GBK" w:eastAsia="方正书宋_GBK"/>
              </w:rPr>
              <w:t>3.确保我单位公务活动的正常开展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16" w:name="_Toc67037439"/>
      <w:r>
        <w:rPr>
          <w:rFonts w:ascii="方正仿宋_GBK" w:eastAsia="方正仿宋_GBK"/>
          <w:b/>
          <w:sz w:val="28"/>
        </w:rPr>
        <w:t>14.团委综合事务管理经费绩效目标表</w:t>
      </w:r>
      <w:bookmarkEnd w:id="16"/>
      <w:r>
        <w:rPr>
          <w:rFonts w:ascii="方正仿宋_GBK" w:eastAsia="方正仿宋_GBK"/>
          <w:b/>
          <w:sz w:val="28"/>
        </w:rPr>
        <w:fldChar w:fldCharType="begin"/>
      </w:r>
      <w:r>
        <w:rPr>
          <w:rFonts w:ascii="方正仿宋_GBK" w:eastAsia="方正仿宋_GBK"/>
          <w:b/>
          <w:sz w:val="28"/>
        </w:rPr>
        <w:instrText xml:space="preserve"> TC 14、团委综合事务管理经费绩效目标表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13062521P7EYPL434F92N</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团委综合事务管理经费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主要用于共青团日常公用经费。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1."保障共青团工作的正常开展。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17" w:name="_Toc67037440"/>
      <w:r>
        <w:rPr>
          <w:rFonts w:ascii="方正仿宋_GBK" w:eastAsia="方正仿宋_GBK"/>
          <w:b/>
          <w:sz w:val="28"/>
        </w:rPr>
        <w:t>15.人大经费绩效目标表</w:t>
      </w:r>
      <w:bookmarkEnd w:id="17"/>
      <w:r>
        <w:rPr>
          <w:rFonts w:ascii="方正仿宋_GBK" w:eastAsia="方正仿宋_GBK"/>
          <w:b/>
          <w:sz w:val="28"/>
        </w:rPr>
        <w:fldChar w:fldCharType="begin"/>
      </w:r>
      <w:r>
        <w:rPr>
          <w:rFonts w:ascii="方正仿宋_GBK" w:eastAsia="方正仿宋_GBK"/>
          <w:b/>
          <w:sz w:val="28"/>
        </w:rPr>
        <w:instrText xml:space="preserve"> TC 15、人大经费绩效目标表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13062521SG1NQQHNFQKND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人大经费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用于办公费支出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1.加强乡镇人大履职能力，保障乡镇人大工作及时开展。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18" w:name="_Toc67037441"/>
      <w:r>
        <w:rPr>
          <w:rFonts w:ascii="方正仿宋_GBK" w:eastAsia="方正仿宋_GBK"/>
          <w:b/>
          <w:sz w:val="28"/>
        </w:rPr>
        <w:t>16.乡镇武装工作经费绩效目标表</w:t>
      </w:r>
      <w:bookmarkEnd w:id="18"/>
      <w:r>
        <w:rPr>
          <w:rFonts w:ascii="方正仿宋_GBK" w:eastAsia="方正仿宋_GBK"/>
          <w:b/>
          <w:sz w:val="28"/>
        </w:rPr>
        <w:fldChar w:fldCharType="begin"/>
      </w:r>
      <w:r>
        <w:rPr>
          <w:rFonts w:ascii="方正仿宋_GBK" w:eastAsia="方正仿宋_GBK"/>
          <w:b/>
          <w:sz w:val="28"/>
        </w:rPr>
        <w:instrText xml:space="preserve"> TC 16、乡镇武装工作经费绩效目标表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13062521T84D8DY26UHPD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乡镇武装工作经费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用于武装工作兵役登记、上站体检费、民兵训练费、宣传费等支出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1.确保武装方面工作的运行</w:t>
            </w:r>
          </w:p>
          <w:p>
            <w:pPr>
              <w:spacing w:line="300" w:lineRule="exact"/>
              <w:jc w:val="left"/>
              <w:rPr>
                <w:rFonts w:ascii="方正书宋_GBK" w:eastAsia="方正书宋_GBK"/>
              </w:rPr>
            </w:pPr>
            <w:r>
              <w:rPr>
                <w:rFonts w:ascii="方正书宋_GBK" w:eastAsia="方正书宋_GBK"/>
              </w:rPr>
              <w:t>2.保障征兵、宣传正常运行</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19" w:name="_Toc67037442"/>
      <w:r>
        <w:rPr>
          <w:rFonts w:ascii="方正仿宋_GBK" w:eastAsia="方正仿宋_GBK"/>
          <w:b/>
          <w:sz w:val="28"/>
        </w:rPr>
        <w:t>17.纪检经费绩效目标表</w:t>
      </w:r>
      <w:bookmarkEnd w:id="19"/>
      <w:r>
        <w:rPr>
          <w:rFonts w:ascii="方正仿宋_GBK" w:eastAsia="方正仿宋_GBK"/>
          <w:b/>
          <w:sz w:val="28"/>
        </w:rPr>
        <w:fldChar w:fldCharType="begin"/>
      </w:r>
      <w:r>
        <w:rPr>
          <w:rFonts w:ascii="方正仿宋_GBK" w:eastAsia="方正仿宋_GBK"/>
          <w:b/>
          <w:sz w:val="28"/>
        </w:rPr>
        <w:instrText xml:space="preserve"> TC 17、纪检经费绩效目标表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13062521VIY2SPXKHVTEI</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纪检经费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用于纪检办公费，发放纪检补贴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1.建立纪检保障长效机制，及时拨付资金，加强乡镇纪检单位履职能力，保障乡镇纪委充分履职。</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20" w:name="_Toc67037443"/>
      <w:r>
        <w:rPr>
          <w:rFonts w:ascii="方正仿宋_GBK" w:eastAsia="方正仿宋_GBK"/>
          <w:b/>
          <w:sz w:val="28"/>
        </w:rPr>
        <w:t>18.公共图书馆、文化馆（站）免费开放区级配套资金绩效目标表</w:t>
      </w:r>
      <w:bookmarkEnd w:id="20"/>
      <w:r>
        <w:rPr>
          <w:rFonts w:ascii="方正仿宋_GBK" w:eastAsia="方正仿宋_GBK"/>
          <w:b/>
          <w:sz w:val="28"/>
        </w:rPr>
        <w:fldChar w:fldCharType="begin"/>
      </w:r>
      <w:r>
        <w:rPr>
          <w:rFonts w:ascii="方正仿宋_GBK" w:eastAsia="方正仿宋_GBK"/>
          <w:b/>
          <w:sz w:val="28"/>
        </w:rPr>
        <w:instrText xml:space="preserve"> TC 18、公共图书馆、文化馆（站）免费开放区级配套资金绩效目标表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13062521VO3LM9BR9TIIV</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公共图书馆、文化馆（站）免费开放区级配套资金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用于图书购置及公共图书馆、文化馆（站）维修维护等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1.提供各类图书推广阅读。</w:t>
            </w:r>
          </w:p>
          <w:p>
            <w:pPr>
              <w:spacing w:line="300" w:lineRule="exact"/>
              <w:jc w:val="left"/>
              <w:rPr>
                <w:rFonts w:ascii="方正书宋_GBK" w:eastAsia="方正书宋_GBK"/>
              </w:rPr>
            </w:pPr>
            <w:r>
              <w:rPr>
                <w:rFonts w:ascii="方正书宋_GBK" w:eastAsia="方正书宋_GBK"/>
              </w:rPr>
              <w:t>2.建立阅读素养。</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21" w:name="_Toc67037444"/>
      <w:r>
        <w:rPr>
          <w:rFonts w:ascii="方正仿宋_GBK" w:eastAsia="方正仿宋_GBK"/>
          <w:b/>
          <w:sz w:val="28"/>
        </w:rPr>
        <w:t>19.选任专职人民调解员经费绩效目标表</w:t>
      </w:r>
      <w:bookmarkEnd w:id="21"/>
      <w:r>
        <w:rPr>
          <w:rFonts w:ascii="方正仿宋_GBK" w:eastAsia="方正仿宋_GBK"/>
          <w:b/>
          <w:sz w:val="28"/>
        </w:rPr>
        <w:fldChar w:fldCharType="begin"/>
      </w:r>
      <w:r>
        <w:rPr>
          <w:rFonts w:ascii="方正仿宋_GBK" w:eastAsia="方正仿宋_GBK"/>
          <w:b/>
          <w:sz w:val="28"/>
        </w:rPr>
        <w:instrText xml:space="preserve"> TC 19、选任专职人民调解员经费绩效目标表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13062521W3GQL4STS7BEP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选任专职人民调解员经费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85500.00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为进一步做好人民调解工作，依据上级文件精神，为区司法局招录5名专职人民调解员，便于更好、更快调解诉前案件和信访案件，减少社会矛盾，化解社会纠纷。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1.保障调解员劳务费按时支付</w:t>
            </w:r>
          </w:p>
          <w:p>
            <w:pPr>
              <w:spacing w:line="300" w:lineRule="exact"/>
              <w:jc w:val="left"/>
              <w:rPr>
                <w:rFonts w:ascii="方正书宋_GBK" w:eastAsia="方正书宋_GBK"/>
              </w:rPr>
            </w:pPr>
            <w:r>
              <w:rPr>
                <w:rFonts w:ascii="方正书宋_GBK" w:eastAsia="方正书宋_GBK"/>
              </w:rPr>
              <w:t>2.确保本单位日常工作正常运转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22" w:name="_Toc67037445"/>
      <w:r>
        <w:rPr>
          <w:rFonts w:ascii="方正仿宋_GBK" w:eastAsia="方正仿宋_GBK"/>
          <w:b/>
          <w:sz w:val="28"/>
        </w:rPr>
        <w:t>20.拨付原京原公路工役制人员落实待遇资金绩效目标表</w:t>
      </w:r>
      <w:bookmarkEnd w:id="22"/>
      <w:r>
        <w:rPr>
          <w:rFonts w:ascii="方正仿宋_GBK" w:eastAsia="方正仿宋_GBK"/>
          <w:b/>
          <w:sz w:val="28"/>
        </w:rPr>
        <w:fldChar w:fldCharType="begin"/>
      </w:r>
      <w:r>
        <w:rPr>
          <w:rFonts w:ascii="方正仿宋_GBK" w:eastAsia="方正仿宋_GBK"/>
          <w:b/>
          <w:sz w:val="28"/>
        </w:rPr>
        <w:instrText xml:space="preserve"> TC 20、拨付原京原公路工役制人员落实待遇资金绩效目标表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913001留村镇本级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13062521YWFHGATWDHE5H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拨付原京原公路工役制人员落实待遇资金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129600.00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129600.00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支付原京原公路工役制人员工资</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1.保障人员工资方面的经费支出</w:t>
            </w:r>
          </w:p>
          <w:p>
            <w:pPr>
              <w:spacing w:line="300" w:lineRule="exact"/>
              <w:jc w:val="left"/>
              <w:rPr>
                <w:rFonts w:ascii="方正书宋_GBK" w:eastAsia="方正书宋_GBK"/>
              </w:rPr>
            </w:pPr>
            <w:r>
              <w:rPr>
                <w:rFonts w:ascii="方正书宋_GBK" w:eastAsia="方正书宋_GBK"/>
              </w:rPr>
              <w:t>2.确保工资及时发放</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24人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考核工作完成占计划完成数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按时支付人员工资及时率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w:t>
            </w:r>
            <w:r>
              <w:rPr>
                <w:rFonts w:ascii="方正书宋_GBK" w:eastAsia="方正书宋_GBK"/>
              </w:rPr>
              <w:t>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eastAsia="宋体"/>
          <w:b/>
          <w:sz w:val="28"/>
        </w:rPr>
      </w:pPr>
      <w:bookmarkStart w:id="23" w:name="_Toc67037446"/>
      <w:r>
        <w:rPr>
          <w:rFonts w:ascii="方正仿宋_GBK" w:eastAsia="方正仿宋_GBK"/>
          <w:b/>
          <w:sz w:val="28"/>
        </w:rPr>
        <w:t>21.公益岗就业扶贫岗位补助及保险资金绩效目标表</w:t>
      </w:r>
      <w:bookmarkEnd w:id="23"/>
      <w:r>
        <w:rPr>
          <w:rFonts w:ascii="方正仿宋_GBK" w:eastAsia="方正仿宋_GBK"/>
          <w:b/>
          <w:sz w:val="28"/>
        </w:rPr>
        <w:fldChar w:fldCharType="begin"/>
      </w:r>
      <w:r>
        <w:rPr>
          <w:rFonts w:ascii="方正仿宋_GBK" w:eastAsia="方正仿宋_GBK"/>
          <w:b/>
          <w:sz w:val="28"/>
        </w:rPr>
        <w:instrText xml:space="preserve"> TC 21、公益岗就业扶贫岗位补助及保险资金绩效目标表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913003留村镇（事业）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130625219OE87M6HBGXHN</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公益岗就业扶贫岗位补助及保险资金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180009.00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180009.00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以公益岗位就业为抓手，引导建档立卡贫困人员积极参加公共服务事业，给予一定的岗位补贴，促进建档立卡贫困人员增收致富，并为其购置人身意外保险，保障其人身安全。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1.以公益岗位就业为抓手，引导建档立卡贫困人员积极参加公共服务事业</w:t>
            </w:r>
          </w:p>
          <w:p>
            <w:pPr>
              <w:spacing w:line="300" w:lineRule="exact"/>
              <w:jc w:val="left"/>
              <w:rPr>
                <w:rFonts w:ascii="方正书宋_GBK" w:eastAsia="方正书宋_GBK"/>
              </w:rPr>
            </w:pPr>
            <w:r>
              <w:rPr>
                <w:rFonts w:ascii="方正书宋_GBK" w:eastAsia="方正书宋_GBK"/>
              </w:rPr>
              <w:t>2.给予一定的岗位补贴，促进建档立卡贫困人员增收脱贫</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市级拨付资金占应拨付资金比率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满意贫困人数占岗位人数的比率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2021年，我单位无政府采购预算，空表列示。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附单位政府采购预算表空表。</w:t>
      </w:r>
    </w:p>
    <w:p>
      <w:pPr>
        <w:widowControl/>
        <w:jc w:val="left"/>
        <w:rPr>
          <w:rFonts w:ascii="仿宋" w:hAnsi="仿宋" w:eastAsia="仿宋"/>
          <w:sz w:val="32"/>
          <w:szCs w:val="32"/>
        </w:rPr>
      </w:pPr>
      <w:r>
        <w:rPr>
          <w:rFonts w:ascii="仿宋" w:hAnsi="仿宋" w:eastAsia="仿宋"/>
          <w:sz w:val="32"/>
          <w:szCs w:val="32"/>
        </w:rPr>
        <w:br w:type="page"/>
      </w:r>
    </w:p>
    <w:tbl>
      <w:tblPr>
        <w:tblStyle w:val="7"/>
        <w:tblW w:w="13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764"/>
        <w:gridCol w:w="1134"/>
        <w:gridCol w:w="1134"/>
        <w:gridCol w:w="992"/>
        <w:gridCol w:w="851"/>
        <w:gridCol w:w="834"/>
        <w:gridCol w:w="709"/>
        <w:gridCol w:w="992"/>
        <w:gridCol w:w="1134"/>
        <w:gridCol w:w="851"/>
        <w:gridCol w:w="850"/>
        <w:gridCol w:w="851"/>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930" w:type="dxa"/>
            <w:gridSpan w:val="7"/>
            <w:tcBorders>
              <w:top w:val="single" w:color="FFFFFF" w:sz="6" w:space="0"/>
              <w:left w:val="single" w:color="FFFFFF" w:sz="6" w:space="0"/>
              <w:right w:val="single" w:color="FFFFFF" w:sz="6" w:space="0"/>
            </w:tcBorders>
            <w:vAlign w:val="center"/>
          </w:tcPr>
          <w:p>
            <w:pPr>
              <w:spacing w:line="700" w:lineRule="exact"/>
              <w:jc w:val="left"/>
              <w:rPr>
                <w:rFonts w:ascii="宋体" w:hAnsi="宋体" w:eastAsia="宋体"/>
                <w:sz w:val="24"/>
              </w:rPr>
            </w:pPr>
            <w:r>
              <w:rPr>
                <w:rFonts w:hint="eastAsia" w:ascii="宋体" w:hAnsi="宋体" w:eastAsia="宋体" w:cs="方正小标宋_GBK"/>
                <w:sz w:val="24"/>
              </w:rPr>
              <w:t>©</w:t>
            </w:r>
          </w:p>
        </w:tc>
        <w:tc>
          <w:tcPr>
            <w:tcW w:w="6237" w:type="dxa"/>
            <w:gridSpan w:val="7"/>
            <w:tcBorders>
              <w:top w:val="single" w:color="FFFFFF" w:sz="6" w:space="0"/>
              <w:left w:val="single" w:color="FFFFFF" w:sz="6" w:space="0"/>
              <w:right w:val="single" w:color="FFFFFF" w:sz="6" w:space="0"/>
            </w:tcBorders>
            <w:vAlign w:val="center"/>
          </w:tcPr>
          <w:p>
            <w:pPr>
              <w:spacing w:line="700" w:lineRule="exact"/>
              <w:jc w:val="right"/>
              <w:rPr>
                <w:rFonts w:ascii="宋体" w:hAnsi="宋体" w:eastAsia="宋体"/>
                <w:sz w:val="24"/>
              </w:rPr>
            </w:pPr>
            <w:r>
              <w:rPr>
                <w:rFonts w:hint="eastAsia" w:ascii="宋体" w:hAnsi="宋体" w:eastAsia="宋体" w:cs="宋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85" w:type="dxa"/>
            <w:gridSpan w:val="2"/>
            <w:vAlign w:val="center"/>
          </w:tcPr>
          <w:p>
            <w:pPr>
              <w:spacing w:line="700" w:lineRule="exact"/>
              <w:jc w:val="center"/>
              <w:rPr>
                <w:rFonts w:ascii="宋体" w:hAnsi="宋体" w:eastAsia="宋体"/>
                <w:b/>
              </w:rPr>
            </w:pPr>
            <w:r>
              <w:rPr>
                <w:rFonts w:hint="eastAsia" w:ascii="宋体" w:hAnsi="宋体" w:eastAsia="宋体" w:cs="宋体"/>
                <w:b/>
              </w:rPr>
              <w:t>政府采购项目来源</w:t>
            </w:r>
          </w:p>
        </w:tc>
        <w:tc>
          <w:tcPr>
            <w:tcW w:w="1134" w:type="dxa"/>
            <w:vMerge w:val="restart"/>
            <w:vAlign w:val="center"/>
          </w:tcPr>
          <w:p>
            <w:pPr>
              <w:spacing w:line="700" w:lineRule="exact"/>
              <w:jc w:val="center"/>
              <w:rPr>
                <w:rFonts w:ascii="宋体" w:hAnsi="宋体" w:eastAsia="宋体"/>
                <w:b/>
              </w:rPr>
            </w:pPr>
            <w:r>
              <w:rPr>
                <w:rFonts w:hint="eastAsia" w:ascii="宋体" w:hAnsi="宋体" w:eastAsia="宋体" w:cs="宋体"/>
                <w:b/>
              </w:rPr>
              <w:t>采购物品名称</w:t>
            </w:r>
          </w:p>
        </w:tc>
        <w:tc>
          <w:tcPr>
            <w:tcW w:w="1134" w:type="dxa"/>
            <w:vMerge w:val="restart"/>
            <w:vAlign w:val="center"/>
          </w:tcPr>
          <w:p>
            <w:pPr>
              <w:spacing w:line="700" w:lineRule="exact"/>
              <w:jc w:val="center"/>
              <w:rPr>
                <w:rFonts w:ascii="宋体" w:hAnsi="宋体" w:eastAsia="宋体"/>
                <w:b/>
              </w:rPr>
            </w:pPr>
            <w:r>
              <w:rPr>
                <w:rFonts w:hint="eastAsia" w:ascii="宋体" w:hAnsi="宋体" w:eastAsia="宋体" w:cs="宋体"/>
                <w:b/>
              </w:rPr>
              <w:t>政府采购目录序号</w:t>
            </w:r>
          </w:p>
        </w:tc>
        <w:tc>
          <w:tcPr>
            <w:tcW w:w="992" w:type="dxa"/>
            <w:vMerge w:val="restart"/>
            <w:vAlign w:val="center"/>
          </w:tcPr>
          <w:p>
            <w:pPr>
              <w:spacing w:line="700" w:lineRule="exact"/>
              <w:jc w:val="center"/>
              <w:rPr>
                <w:rFonts w:ascii="宋体" w:hAnsi="宋体" w:eastAsia="宋体"/>
                <w:b/>
              </w:rPr>
            </w:pPr>
            <w:r>
              <w:rPr>
                <w:rFonts w:hint="eastAsia" w:ascii="宋体" w:hAnsi="宋体" w:eastAsia="宋体" w:cs="宋体"/>
                <w:b/>
              </w:rPr>
              <w:t>数量</w:t>
            </w:r>
            <w:r>
              <w:rPr>
                <w:rFonts w:ascii="宋体" w:hAnsi="宋体" w:eastAsia="宋体"/>
                <w:b/>
              </w:rPr>
              <w:t xml:space="preserve">  </w:t>
            </w:r>
            <w:r>
              <w:rPr>
                <w:rFonts w:hint="eastAsia" w:ascii="宋体" w:hAnsi="宋体" w:eastAsia="宋体" w:cs="宋体"/>
                <w:b/>
              </w:rPr>
              <w:t>单位</w:t>
            </w:r>
          </w:p>
        </w:tc>
        <w:tc>
          <w:tcPr>
            <w:tcW w:w="851" w:type="dxa"/>
            <w:vMerge w:val="restart"/>
            <w:vAlign w:val="center"/>
          </w:tcPr>
          <w:p>
            <w:pPr>
              <w:spacing w:line="700" w:lineRule="exact"/>
              <w:jc w:val="center"/>
              <w:rPr>
                <w:rFonts w:ascii="宋体" w:hAnsi="宋体" w:eastAsia="宋体"/>
                <w:b/>
              </w:rPr>
            </w:pPr>
            <w:r>
              <w:rPr>
                <w:rFonts w:hint="eastAsia" w:ascii="宋体" w:hAnsi="宋体" w:eastAsia="宋体" w:cs="宋体"/>
                <w:b/>
              </w:rPr>
              <w:t>数量</w:t>
            </w:r>
          </w:p>
        </w:tc>
        <w:tc>
          <w:tcPr>
            <w:tcW w:w="834" w:type="dxa"/>
            <w:vMerge w:val="restart"/>
            <w:vAlign w:val="center"/>
          </w:tcPr>
          <w:p>
            <w:pPr>
              <w:spacing w:line="700" w:lineRule="exact"/>
              <w:jc w:val="center"/>
              <w:rPr>
                <w:rFonts w:ascii="宋体" w:hAnsi="宋体" w:eastAsia="宋体"/>
                <w:b/>
              </w:rPr>
            </w:pPr>
            <w:r>
              <w:rPr>
                <w:rFonts w:hint="eastAsia" w:ascii="宋体" w:hAnsi="宋体" w:eastAsia="宋体" w:cs="宋体"/>
                <w:b/>
              </w:rPr>
              <w:t>单价</w:t>
            </w:r>
          </w:p>
        </w:tc>
        <w:tc>
          <w:tcPr>
            <w:tcW w:w="6237" w:type="dxa"/>
            <w:gridSpan w:val="7"/>
            <w:vAlign w:val="center"/>
          </w:tcPr>
          <w:p>
            <w:pPr>
              <w:spacing w:line="700" w:lineRule="exact"/>
              <w:jc w:val="center"/>
              <w:rPr>
                <w:rFonts w:ascii="宋体" w:hAnsi="宋体" w:eastAsia="宋体"/>
                <w:b/>
              </w:rPr>
            </w:pPr>
            <w:r>
              <w:rPr>
                <w:rFonts w:hint="eastAsia" w:ascii="宋体" w:hAnsi="宋体" w:eastAsia="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restart"/>
            <w:vAlign w:val="center"/>
          </w:tcPr>
          <w:p>
            <w:pPr>
              <w:spacing w:line="700" w:lineRule="exact"/>
              <w:jc w:val="center"/>
              <w:rPr>
                <w:rFonts w:ascii="宋体" w:hAnsi="宋体" w:eastAsia="宋体"/>
                <w:b/>
              </w:rPr>
            </w:pPr>
            <w:r>
              <w:rPr>
                <w:rFonts w:hint="eastAsia" w:ascii="宋体" w:hAnsi="宋体" w:eastAsia="宋体" w:cs="宋体"/>
                <w:b/>
              </w:rPr>
              <w:t>项目名称</w:t>
            </w:r>
          </w:p>
        </w:tc>
        <w:tc>
          <w:tcPr>
            <w:tcW w:w="764" w:type="dxa"/>
            <w:vMerge w:val="restart"/>
            <w:vAlign w:val="center"/>
          </w:tcPr>
          <w:p>
            <w:pPr>
              <w:spacing w:line="700" w:lineRule="exact"/>
              <w:jc w:val="center"/>
              <w:rPr>
                <w:rFonts w:ascii="宋体" w:hAnsi="宋体" w:eastAsia="宋体"/>
                <w:b/>
              </w:rPr>
            </w:pPr>
            <w:r>
              <w:rPr>
                <w:rFonts w:hint="eastAsia" w:ascii="宋体" w:hAnsi="宋体" w:eastAsia="宋体" w:cs="宋体"/>
                <w:b/>
              </w:rPr>
              <w:t>预算资金</w:t>
            </w:r>
          </w:p>
        </w:tc>
        <w:tc>
          <w:tcPr>
            <w:tcW w:w="1134" w:type="dxa"/>
            <w:vMerge w:val="continue"/>
            <w:vAlign w:val="center"/>
          </w:tcPr>
          <w:p>
            <w:pPr>
              <w:spacing w:line="700" w:lineRule="exact"/>
              <w:jc w:val="left"/>
              <w:outlineLvl w:val="0"/>
              <w:rPr>
                <w:rFonts w:ascii="宋体" w:hAnsi="宋体" w:eastAsia="宋体"/>
              </w:rPr>
            </w:pPr>
          </w:p>
        </w:tc>
        <w:tc>
          <w:tcPr>
            <w:tcW w:w="1134" w:type="dxa"/>
            <w:vMerge w:val="continue"/>
            <w:vAlign w:val="center"/>
          </w:tcPr>
          <w:p>
            <w:pPr>
              <w:spacing w:line="700" w:lineRule="exact"/>
              <w:jc w:val="left"/>
              <w:outlineLvl w:val="0"/>
              <w:rPr>
                <w:rFonts w:ascii="宋体" w:hAnsi="宋体" w:eastAsia="宋体"/>
              </w:rPr>
            </w:pPr>
          </w:p>
        </w:tc>
        <w:tc>
          <w:tcPr>
            <w:tcW w:w="992" w:type="dxa"/>
            <w:vMerge w:val="continue"/>
            <w:vAlign w:val="center"/>
          </w:tcPr>
          <w:p>
            <w:pPr>
              <w:spacing w:line="700" w:lineRule="exact"/>
              <w:jc w:val="left"/>
              <w:outlineLvl w:val="0"/>
              <w:rPr>
                <w:rFonts w:ascii="宋体" w:hAnsi="宋体" w:eastAsia="宋体"/>
              </w:rPr>
            </w:pPr>
          </w:p>
        </w:tc>
        <w:tc>
          <w:tcPr>
            <w:tcW w:w="851" w:type="dxa"/>
            <w:vMerge w:val="continue"/>
            <w:vAlign w:val="center"/>
          </w:tcPr>
          <w:p>
            <w:pPr>
              <w:spacing w:line="700" w:lineRule="exact"/>
              <w:jc w:val="left"/>
              <w:outlineLvl w:val="0"/>
              <w:rPr>
                <w:rFonts w:ascii="宋体" w:hAnsi="宋体" w:eastAsia="宋体"/>
              </w:rPr>
            </w:pPr>
          </w:p>
        </w:tc>
        <w:tc>
          <w:tcPr>
            <w:tcW w:w="834" w:type="dxa"/>
            <w:vMerge w:val="continue"/>
            <w:vAlign w:val="center"/>
          </w:tcPr>
          <w:p>
            <w:pPr>
              <w:spacing w:line="700" w:lineRule="exact"/>
              <w:jc w:val="left"/>
              <w:outlineLvl w:val="0"/>
              <w:rPr>
                <w:rFonts w:ascii="宋体" w:hAnsi="宋体" w:eastAsia="宋体"/>
              </w:rPr>
            </w:pPr>
          </w:p>
        </w:tc>
        <w:tc>
          <w:tcPr>
            <w:tcW w:w="709" w:type="dxa"/>
            <w:vMerge w:val="restart"/>
            <w:vAlign w:val="center"/>
          </w:tcPr>
          <w:p>
            <w:pPr>
              <w:spacing w:line="700" w:lineRule="exact"/>
              <w:jc w:val="center"/>
              <w:rPr>
                <w:rFonts w:ascii="宋体" w:hAnsi="宋体" w:eastAsia="宋体"/>
                <w:b/>
              </w:rPr>
            </w:pPr>
            <w:r>
              <w:rPr>
                <w:rFonts w:hint="eastAsia" w:ascii="宋体" w:hAnsi="宋体" w:eastAsia="宋体" w:cs="宋体"/>
                <w:b/>
              </w:rPr>
              <w:t>总计</w:t>
            </w:r>
          </w:p>
        </w:tc>
        <w:tc>
          <w:tcPr>
            <w:tcW w:w="4678" w:type="dxa"/>
            <w:gridSpan w:val="5"/>
            <w:vAlign w:val="center"/>
          </w:tcPr>
          <w:p>
            <w:pPr>
              <w:spacing w:line="700" w:lineRule="exact"/>
              <w:jc w:val="center"/>
              <w:rPr>
                <w:rFonts w:ascii="宋体" w:hAnsi="宋体" w:eastAsia="宋体"/>
                <w:b/>
              </w:rPr>
            </w:pPr>
            <w:r>
              <w:rPr>
                <w:rFonts w:hint="eastAsia" w:ascii="宋体" w:hAnsi="宋体" w:eastAsia="宋体" w:cs="宋体"/>
                <w:b/>
              </w:rPr>
              <w:t>当年单位预算安排资金</w:t>
            </w:r>
          </w:p>
        </w:tc>
        <w:tc>
          <w:tcPr>
            <w:tcW w:w="850" w:type="dxa"/>
            <w:vMerge w:val="restart"/>
            <w:vAlign w:val="center"/>
          </w:tcPr>
          <w:p>
            <w:pPr>
              <w:spacing w:line="700" w:lineRule="exact"/>
              <w:jc w:val="center"/>
              <w:rPr>
                <w:rFonts w:ascii="宋体" w:hAnsi="宋体" w:eastAsia="宋体"/>
                <w:b/>
              </w:rPr>
            </w:pPr>
            <w:r>
              <w:rPr>
                <w:rFonts w:hint="eastAsia" w:ascii="宋体" w:hAnsi="宋体" w:eastAsia="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continue"/>
            <w:vAlign w:val="center"/>
          </w:tcPr>
          <w:p>
            <w:pPr>
              <w:spacing w:line="700" w:lineRule="exact"/>
              <w:jc w:val="left"/>
              <w:outlineLvl w:val="0"/>
              <w:rPr>
                <w:rFonts w:ascii="宋体" w:hAnsi="宋体" w:eastAsia="宋体"/>
              </w:rPr>
            </w:pPr>
          </w:p>
        </w:tc>
        <w:tc>
          <w:tcPr>
            <w:tcW w:w="764" w:type="dxa"/>
            <w:vMerge w:val="continue"/>
            <w:vAlign w:val="center"/>
          </w:tcPr>
          <w:p>
            <w:pPr>
              <w:spacing w:line="700" w:lineRule="exact"/>
              <w:jc w:val="left"/>
              <w:outlineLvl w:val="0"/>
              <w:rPr>
                <w:rFonts w:ascii="宋体" w:hAnsi="宋体" w:eastAsia="宋体"/>
              </w:rPr>
            </w:pPr>
          </w:p>
        </w:tc>
        <w:tc>
          <w:tcPr>
            <w:tcW w:w="1134" w:type="dxa"/>
            <w:vMerge w:val="continue"/>
            <w:vAlign w:val="center"/>
          </w:tcPr>
          <w:p>
            <w:pPr>
              <w:spacing w:line="700" w:lineRule="exact"/>
              <w:jc w:val="left"/>
              <w:outlineLvl w:val="0"/>
              <w:rPr>
                <w:rFonts w:ascii="宋体" w:hAnsi="宋体" w:eastAsia="宋体"/>
              </w:rPr>
            </w:pPr>
          </w:p>
        </w:tc>
        <w:tc>
          <w:tcPr>
            <w:tcW w:w="1134" w:type="dxa"/>
            <w:vMerge w:val="continue"/>
            <w:vAlign w:val="center"/>
          </w:tcPr>
          <w:p>
            <w:pPr>
              <w:spacing w:line="700" w:lineRule="exact"/>
              <w:jc w:val="left"/>
              <w:outlineLvl w:val="0"/>
              <w:rPr>
                <w:rFonts w:ascii="宋体" w:hAnsi="宋体" w:eastAsia="宋体"/>
              </w:rPr>
            </w:pPr>
          </w:p>
        </w:tc>
        <w:tc>
          <w:tcPr>
            <w:tcW w:w="992" w:type="dxa"/>
            <w:vMerge w:val="continue"/>
            <w:vAlign w:val="center"/>
          </w:tcPr>
          <w:p>
            <w:pPr>
              <w:spacing w:line="700" w:lineRule="exact"/>
              <w:jc w:val="left"/>
              <w:outlineLvl w:val="0"/>
              <w:rPr>
                <w:rFonts w:ascii="宋体" w:hAnsi="宋体" w:eastAsia="宋体"/>
              </w:rPr>
            </w:pPr>
          </w:p>
        </w:tc>
        <w:tc>
          <w:tcPr>
            <w:tcW w:w="851" w:type="dxa"/>
            <w:vMerge w:val="continue"/>
            <w:vAlign w:val="center"/>
          </w:tcPr>
          <w:p>
            <w:pPr>
              <w:spacing w:line="700" w:lineRule="exact"/>
              <w:jc w:val="left"/>
              <w:outlineLvl w:val="0"/>
              <w:rPr>
                <w:rFonts w:ascii="宋体" w:hAnsi="宋体" w:eastAsia="宋体"/>
              </w:rPr>
            </w:pPr>
          </w:p>
        </w:tc>
        <w:tc>
          <w:tcPr>
            <w:tcW w:w="834" w:type="dxa"/>
            <w:vMerge w:val="continue"/>
            <w:vAlign w:val="center"/>
          </w:tcPr>
          <w:p>
            <w:pPr>
              <w:spacing w:line="700" w:lineRule="exact"/>
              <w:jc w:val="left"/>
              <w:outlineLvl w:val="0"/>
              <w:rPr>
                <w:rFonts w:ascii="宋体" w:hAnsi="宋体" w:eastAsia="宋体"/>
              </w:rPr>
            </w:pPr>
          </w:p>
        </w:tc>
        <w:tc>
          <w:tcPr>
            <w:tcW w:w="709" w:type="dxa"/>
            <w:vMerge w:val="continue"/>
            <w:vAlign w:val="center"/>
          </w:tcPr>
          <w:p>
            <w:pPr>
              <w:spacing w:line="700" w:lineRule="exact"/>
              <w:jc w:val="left"/>
              <w:outlineLvl w:val="0"/>
              <w:rPr>
                <w:rFonts w:ascii="宋体" w:hAnsi="宋体" w:eastAsia="宋体"/>
              </w:rPr>
            </w:pPr>
          </w:p>
        </w:tc>
        <w:tc>
          <w:tcPr>
            <w:tcW w:w="992" w:type="dxa"/>
            <w:vAlign w:val="center"/>
          </w:tcPr>
          <w:p>
            <w:pPr>
              <w:spacing w:line="700" w:lineRule="exact"/>
              <w:jc w:val="center"/>
              <w:rPr>
                <w:rFonts w:ascii="宋体" w:hAnsi="宋体" w:eastAsia="宋体"/>
                <w:b/>
              </w:rPr>
            </w:pPr>
            <w:r>
              <w:rPr>
                <w:rFonts w:hint="eastAsia" w:ascii="宋体" w:hAnsi="宋体" w:eastAsia="宋体" w:cs="宋体"/>
                <w:b/>
              </w:rPr>
              <w:t>合计</w:t>
            </w:r>
          </w:p>
        </w:tc>
        <w:tc>
          <w:tcPr>
            <w:tcW w:w="1134" w:type="dxa"/>
            <w:vAlign w:val="center"/>
          </w:tcPr>
          <w:p>
            <w:pPr>
              <w:spacing w:line="700" w:lineRule="exact"/>
              <w:jc w:val="center"/>
              <w:rPr>
                <w:rFonts w:ascii="宋体" w:hAnsi="宋体" w:eastAsia="宋体"/>
                <w:b/>
              </w:rPr>
            </w:pPr>
            <w:r>
              <w:rPr>
                <w:rFonts w:hint="eastAsia" w:ascii="宋体" w:hAnsi="宋体" w:eastAsia="宋体" w:cs="宋体"/>
                <w:b/>
              </w:rPr>
              <w:t>一般公共预算拨款</w:t>
            </w:r>
          </w:p>
        </w:tc>
        <w:tc>
          <w:tcPr>
            <w:tcW w:w="851" w:type="dxa"/>
            <w:vAlign w:val="center"/>
          </w:tcPr>
          <w:p>
            <w:pPr>
              <w:spacing w:line="700" w:lineRule="exact"/>
              <w:jc w:val="center"/>
              <w:rPr>
                <w:rFonts w:ascii="宋体" w:hAnsi="宋体" w:eastAsia="宋体"/>
                <w:b/>
              </w:rPr>
            </w:pPr>
            <w:r>
              <w:rPr>
                <w:rFonts w:hint="eastAsia" w:ascii="宋体" w:hAnsi="宋体" w:eastAsia="宋体" w:cs="宋体"/>
                <w:b/>
              </w:rPr>
              <w:t>基金预算拨款</w:t>
            </w:r>
          </w:p>
        </w:tc>
        <w:tc>
          <w:tcPr>
            <w:tcW w:w="850" w:type="dxa"/>
            <w:vAlign w:val="center"/>
          </w:tcPr>
          <w:p>
            <w:pPr>
              <w:spacing w:line="700" w:lineRule="exact"/>
              <w:jc w:val="center"/>
              <w:rPr>
                <w:rFonts w:ascii="宋体" w:hAnsi="宋体" w:eastAsia="宋体"/>
                <w:b/>
              </w:rPr>
            </w:pPr>
            <w:r>
              <w:rPr>
                <w:rFonts w:hint="eastAsia" w:ascii="宋体" w:hAnsi="宋体" w:eastAsia="宋体" w:cs="宋体"/>
                <w:b/>
              </w:rPr>
              <w:t>财政专户核拨</w:t>
            </w:r>
          </w:p>
        </w:tc>
        <w:tc>
          <w:tcPr>
            <w:tcW w:w="851" w:type="dxa"/>
            <w:vAlign w:val="center"/>
          </w:tcPr>
          <w:p>
            <w:pPr>
              <w:spacing w:line="700" w:lineRule="exact"/>
              <w:jc w:val="center"/>
              <w:rPr>
                <w:rFonts w:ascii="宋体" w:hAnsi="宋体" w:eastAsia="宋体"/>
                <w:b/>
              </w:rPr>
            </w:pPr>
            <w:r>
              <w:rPr>
                <w:rFonts w:hint="eastAsia" w:ascii="宋体" w:hAnsi="宋体" w:eastAsia="宋体" w:cs="宋体"/>
                <w:b/>
              </w:rPr>
              <w:t>其他来源收入</w:t>
            </w:r>
          </w:p>
        </w:tc>
        <w:tc>
          <w:tcPr>
            <w:tcW w:w="850" w:type="dxa"/>
            <w:vMerge w:val="continue"/>
            <w:vAlign w:val="center"/>
          </w:tcPr>
          <w:p>
            <w:pPr>
              <w:spacing w:line="700" w:lineRule="exact"/>
              <w:jc w:val="left"/>
              <w:outlineLvl w:val="0"/>
              <w:rPr>
                <w:rFonts w:ascii="宋体" w:hAnsi="宋体" w:eastAsia="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4" w:hRule="atLeast"/>
          <w:jc w:val="center"/>
        </w:trPr>
        <w:tc>
          <w:tcPr>
            <w:tcW w:w="1221" w:type="dxa"/>
            <w:vAlign w:val="center"/>
          </w:tcPr>
          <w:p>
            <w:pPr>
              <w:spacing w:line="700" w:lineRule="exact"/>
              <w:jc w:val="center"/>
              <w:rPr>
                <w:rFonts w:ascii="宋体" w:hAnsi="宋体" w:eastAsia="宋体"/>
                <w:b/>
              </w:rPr>
            </w:pPr>
          </w:p>
        </w:tc>
        <w:tc>
          <w:tcPr>
            <w:tcW w:w="764" w:type="dxa"/>
            <w:vAlign w:val="center"/>
          </w:tcPr>
          <w:p>
            <w:pPr>
              <w:spacing w:line="700" w:lineRule="exact"/>
              <w:jc w:val="right"/>
              <w:rPr>
                <w:rFonts w:ascii="宋体" w:hAnsi="宋体" w:eastAsia="宋体"/>
                <w:b/>
              </w:rPr>
            </w:pPr>
          </w:p>
        </w:tc>
        <w:tc>
          <w:tcPr>
            <w:tcW w:w="1134" w:type="dxa"/>
            <w:vAlign w:val="center"/>
          </w:tcPr>
          <w:p>
            <w:pPr>
              <w:spacing w:line="700" w:lineRule="exact"/>
              <w:jc w:val="left"/>
              <w:rPr>
                <w:rFonts w:ascii="宋体" w:hAnsi="宋体" w:eastAsia="宋体"/>
                <w:b/>
              </w:rPr>
            </w:pPr>
          </w:p>
        </w:tc>
        <w:tc>
          <w:tcPr>
            <w:tcW w:w="1134" w:type="dxa"/>
            <w:vAlign w:val="center"/>
          </w:tcPr>
          <w:p>
            <w:pPr>
              <w:spacing w:line="700" w:lineRule="exact"/>
              <w:jc w:val="left"/>
              <w:rPr>
                <w:rFonts w:ascii="宋体" w:hAnsi="宋体" w:eastAsia="宋体"/>
                <w:b/>
              </w:rPr>
            </w:pPr>
          </w:p>
        </w:tc>
        <w:tc>
          <w:tcPr>
            <w:tcW w:w="992" w:type="dxa"/>
            <w:vAlign w:val="center"/>
          </w:tcPr>
          <w:p>
            <w:pPr>
              <w:spacing w:line="700" w:lineRule="exact"/>
              <w:jc w:val="left"/>
              <w:rPr>
                <w:rFonts w:ascii="宋体" w:hAnsi="宋体" w:eastAsia="宋体"/>
                <w:b/>
              </w:rPr>
            </w:pPr>
          </w:p>
        </w:tc>
        <w:tc>
          <w:tcPr>
            <w:tcW w:w="851" w:type="dxa"/>
            <w:vAlign w:val="center"/>
          </w:tcPr>
          <w:p>
            <w:pPr>
              <w:spacing w:line="700" w:lineRule="exact"/>
              <w:jc w:val="right"/>
              <w:rPr>
                <w:rFonts w:ascii="宋体" w:hAnsi="宋体" w:eastAsia="宋体"/>
                <w:b/>
              </w:rPr>
            </w:pPr>
          </w:p>
        </w:tc>
        <w:tc>
          <w:tcPr>
            <w:tcW w:w="834" w:type="dxa"/>
            <w:vAlign w:val="center"/>
          </w:tcPr>
          <w:p>
            <w:pPr>
              <w:rPr>
                <w:rFonts w:ascii="宋体" w:hAnsi="宋体" w:eastAsia="宋体"/>
              </w:rPr>
            </w:pPr>
          </w:p>
        </w:tc>
        <w:tc>
          <w:tcPr>
            <w:tcW w:w="709" w:type="dxa"/>
            <w:vAlign w:val="center"/>
          </w:tcPr>
          <w:p>
            <w:pPr>
              <w:spacing w:line="700" w:lineRule="exact"/>
              <w:jc w:val="right"/>
              <w:rPr>
                <w:rFonts w:ascii="宋体" w:hAnsi="宋体" w:eastAsia="宋体"/>
                <w:b/>
              </w:rPr>
            </w:pPr>
          </w:p>
        </w:tc>
        <w:tc>
          <w:tcPr>
            <w:tcW w:w="992" w:type="dxa"/>
            <w:vAlign w:val="center"/>
          </w:tcPr>
          <w:p>
            <w:pPr>
              <w:spacing w:line="700" w:lineRule="exact"/>
              <w:jc w:val="right"/>
              <w:rPr>
                <w:rFonts w:ascii="宋体" w:hAnsi="宋体" w:eastAsia="宋体"/>
                <w:b/>
              </w:rPr>
            </w:pPr>
          </w:p>
        </w:tc>
        <w:tc>
          <w:tcPr>
            <w:tcW w:w="1134" w:type="dxa"/>
            <w:vAlign w:val="center"/>
          </w:tcPr>
          <w:p>
            <w:pPr>
              <w:spacing w:line="700" w:lineRule="exact"/>
              <w:jc w:val="right"/>
              <w:rPr>
                <w:rFonts w:ascii="宋体" w:hAnsi="宋体" w:eastAsia="宋体"/>
                <w:b/>
              </w:rPr>
            </w:pPr>
          </w:p>
        </w:tc>
        <w:tc>
          <w:tcPr>
            <w:tcW w:w="851" w:type="dxa"/>
            <w:vAlign w:val="center"/>
          </w:tcPr>
          <w:p>
            <w:pPr>
              <w:spacing w:line="700" w:lineRule="exact"/>
              <w:jc w:val="right"/>
              <w:rPr>
                <w:rFonts w:ascii="宋体" w:hAnsi="宋体" w:eastAsia="宋体"/>
                <w:b/>
              </w:rPr>
            </w:pPr>
          </w:p>
        </w:tc>
        <w:tc>
          <w:tcPr>
            <w:tcW w:w="850" w:type="dxa"/>
            <w:vAlign w:val="center"/>
          </w:tcPr>
          <w:p>
            <w:pPr>
              <w:spacing w:line="700" w:lineRule="exact"/>
              <w:jc w:val="right"/>
              <w:rPr>
                <w:rFonts w:ascii="宋体" w:hAnsi="宋体" w:eastAsia="宋体"/>
                <w:b/>
              </w:rPr>
            </w:pPr>
          </w:p>
        </w:tc>
        <w:tc>
          <w:tcPr>
            <w:tcW w:w="851" w:type="dxa"/>
            <w:vAlign w:val="center"/>
          </w:tcPr>
          <w:p>
            <w:pPr>
              <w:spacing w:line="700" w:lineRule="exact"/>
              <w:jc w:val="right"/>
              <w:rPr>
                <w:rFonts w:ascii="宋体" w:hAnsi="宋体" w:eastAsia="宋体"/>
                <w:b/>
              </w:rPr>
            </w:pPr>
          </w:p>
        </w:tc>
        <w:tc>
          <w:tcPr>
            <w:tcW w:w="850" w:type="dxa"/>
            <w:vAlign w:val="center"/>
          </w:tcPr>
          <w:p>
            <w:pPr>
              <w:spacing w:line="700" w:lineRule="exact"/>
              <w:jc w:val="right"/>
              <w:rPr>
                <w:rFonts w:ascii="宋体" w:hAnsi="宋体" w:eastAsia="宋体"/>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9" w:hRule="atLeast"/>
          <w:jc w:val="center"/>
        </w:trPr>
        <w:tc>
          <w:tcPr>
            <w:tcW w:w="1221" w:type="dxa"/>
            <w:vAlign w:val="center"/>
          </w:tcPr>
          <w:p>
            <w:pPr>
              <w:spacing w:line="700" w:lineRule="exact"/>
              <w:jc w:val="left"/>
              <w:rPr>
                <w:rFonts w:ascii="宋体" w:hAnsi="宋体" w:eastAsia="宋体"/>
              </w:rPr>
            </w:pPr>
          </w:p>
        </w:tc>
        <w:tc>
          <w:tcPr>
            <w:tcW w:w="764" w:type="dxa"/>
            <w:vAlign w:val="center"/>
          </w:tcPr>
          <w:p>
            <w:pPr>
              <w:spacing w:line="700" w:lineRule="exact"/>
              <w:jc w:val="right"/>
              <w:rPr>
                <w:rFonts w:ascii="宋体" w:hAnsi="宋体" w:eastAsia="宋体"/>
              </w:rPr>
            </w:pPr>
          </w:p>
        </w:tc>
        <w:tc>
          <w:tcPr>
            <w:tcW w:w="1134" w:type="dxa"/>
            <w:vAlign w:val="center"/>
          </w:tcPr>
          <w:p>
            <w:pPr>
              <w:spacing w:line="700" w:lineRule="exact"/>
              <w:jc w:val="left"/>
              <w:rPr>
                <w:rFonts w:ascii="宋体" w:hAnsi="宋体" w:eastAsia="宋体"/>
              </w:rPr>
            </w:pPr>
          </w:p>
        </w:tc>
        <w:tc>
          <w:tcPr>
            <w:tcW w:w="1134" w:type="dxa"/>
            <w:vAlign w:val="center"/>
          </w:tcPr>
          <w:p>
            <w:pPr>
              <w:spacing w:line="700" w:lineRule="exact"/>
              <w:jc w:val="left"/>
              <w:rPr>
                <w:rFonts w:ascii="宋体" w:hAnsi="宋体" w:eastAsia="宋体"/>
              </w:rPr>
            </w:pPr>
          </w:p>
        </w:tc>
        <w:tc>
          <w:tcPr>
            <w:tcW w:w="992" w:type="dxa"/>
            <w:vAlign w:val="center"/>
          </w:tcPr>
          <w:p>
            <w:pPr>
              <w:spacing w:line="700" w:lineRule="exact"/>
              <w:jc w:val="left"/>
              <w:rPr>
                <w:rFonts w:ascii="宋体" w:hAnsi="宋体" w:eastAsia="宋体"/>
              </w:rPr>
            </w:pPr>
          </w:p>
        </w:tc>
        <w:tc>
          <w:tcPr>
            <w:tcW w:w="851" w:type="dxa"/>
            <w:vAlign w:val="center"/>
          </w:tcPr>
          <w:p>
            <w:pPr>
              <w:spacing w:line="700" w:lineRule="exact"/>
              <w:jc w:val="right"/>
              <w:rPr>
                <w:rFonts w:ascii="宋体" w:hAnsi="宋体" w:eastAsia="宋体"/>
              </w:rPr>
            </w:pPr>
          </w:p>
        </w:tc>
        <w:tc>
          <w:tcPr>
            <w:tcW w:w="834" w:type="dxa"/>
            <w:vAlign w:val="center"/>
          </w:tcPr>
          <w:p>
            <w:pPr>
              <w:spacing w:line="700" w:lineRule="exact"/>
              <w:jc w:val="right"/>
              <w:rPr>
                <w:rFonts w:ascii="宋体" w:hAnsi="宋体" w:eastAsia="宋体"/>
              </w:rPr>
            </w:pPr>
          </w:p>
        </w:tc>
        <w:tc>
          <w:tcPr>
            <w:tcW w:w="709" w:type="dxa"/>
            <w:vAlign w:val="center"/>
          </w:tcPr>
          <w:p>
            <w:pPr>
              <w:spacing w:line="700" w:lineRule="exact"/>
              <w:jc w:val="right"/>
              <w:rPr>
                <w:rFonts w:ascii="宋体" w:hAnsi="宋体" w:eastAsia="宋体"/>
              </w:rPr>
            </w:pPr>
          </w:p>
        </w:tc>
        <w:tc>
          <w:tcPr>
            <w:tcW w:w="992" w:type="dxa"/>
            <w:vAlign w:val="center"/>
          </w:tcPr>
          <w:p>
            <w:pPr>
              <w:spacing w:line="700" w:lineRule="exact"/>
              <w:jc w:val="right"/>
              <w:rPr>
                <w:rFonts w:ascii="宋体" w:hAnsi="宋体" w:eastAsia="宋体"/>
              </w:rPr>
            </w:pPr>
          </w:p>
        </w:tc>
        <w:tc>
          <w:tcPr>
            <w:tcW w:w="1134" w:type="dxa"/>
            <w:vAlign w:val="center"/>
          </w:tcPr>
          <w:p>
            <w:pPr>
              <w:spacing w:line="700" w:lineRule="exact"/>
              <w:jc w:val="right"/>
              <w:rPr>
                <w:rFonts w:ascii="宋体" w:hAnsi="宋体" w:eastAsia="宋体"/>
              </w:rPr>
            </w:pPr>
          </w:p>
        </w:tc>
        <w:tc>
          <w:tcPr>
            <w:tcW w:w="851" w:type="dxa"/>
            <w:vAlign w:val="center"/>
          </w:tcPr>
          <w:p>
            <w:pPr>
              <w:spacing w:line="700" w:lineRule="exact"/>
              <w:jc w:val="right"/>
              <w:rPr>
                <w:rFonts w:ascii="宋体" w:hAnsi="宋体" w:eastAsia="宋体"/>
              </w:rPr>
            </w:pPr>
          </w:p>
        </w:tc>
        <w:tc>
          <w:tcPr>
            <w:tcW w:w="850" w:type="dxa"/>
            <w:vAlign w:val="center"/>
          </w:tcPr>
          <w:p>
            <w:pPr>
              <w:spacing w:line="700" w:lineRule="exact"/>
              <w:jc w:val="right"/>
              <w:rPr>
                <w:rFonts w:ascii="宋体" w:hAnsi="宋体" w:eastAsia="宋体"/>
              </w:rPr>
            </w:pPr>
          </w:p>
        </w:tc>
        <w:tc>
          <w:tcPr>
            <w:tcW w:w="851" w:type="dxa"/>
            <w:vAlign w:val="center"/>
          </w:tcPr>
          <w:p>
            <w:pPr>
              <w:spacing w:line="700" w:lineRule="exact"/>
              <w:jc w:val="right"/>
              <w:rPr>
                <w:rFonts w:ascii="宋体" w:hAnsi="宋体" w:eastAsia="宋体"/>
              </w:rPr>
            </w:pPr>
          </w:p>
        </w:tc>
        <w:tc>
          <w:tcPr>
            <w:tcW w:w="850" w:type="dxa"/>
            <w:vAlign w:val="center"/>
          </w:tcPr>
          <w:p>
            <w:pPr>
              <w:spacing w:line="700" w:lineRule="exact"/>
              <w:jc w:val="right"/>
              <w:rPr>
                <w:rFonts w:ascii="宋体" w:hAnsi="宋体" w:eastAsia="宋体"/>
              </w:rPr>
            </w:pPr>
          </w:p>
        </w:tc>
      </w:tr>
    </w:tbl>
    <w:p>
      <w:pPr>
        <w:widowControl/>
        <w:jc w:val="left"/>
        <w:rPr>
          <w:rFonts w:ascii="仿宋" w:hAnsi="仿宋" w:eastAsia="仿宋"/>
          <w:sz w:val="32"/>
          <w:szCs w:val="32"/>
        </w:rPr>
        <w:sectPr>
          <w:footerReference r:id="rId4"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上年末我单位固定资产总金额为159.07万元（详见下表）。我单位本年度无国有资产购置计划，拟购置金额为</w:t>
      </w:r>
      <w:r>
        <w:rPr>
          <w:rFonts w:ascii="仿宋" w:hAnsi="仿宋" w:eastAsia="仿宋"/>
          <w:sz w:val="32"/>
          <w:szCs w:val="32"/>
        </w:rPr>
        <w:t>0。</w:t>
      </w:r>
    </w:p>
    <w:p>
      <w:pPr>
        <w:spacing w:line="360" w:lineRule="auto"/>
        <w:ind w:firstLine="640" w:firstLineChars="200"/>
        <w:rPr>
          <w:rFonts w:ascii="仿宋" w:hAnsi="仿宋" w:eastAsia="仿宋"/>
          <w:sz w:val="32"/>
          <w:szCs w:val="32"/>
        </w:rPr>
      </w:pPr>
    </w:p>
    <w:tbl>
      <w:tblPr>
        <w:tblStyle w:val="7"/>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202</w:t>
            </w:r>
            <w:r>
              <w:rPr>
                <w:rFonts w:hint="eastAsia" w:ascii="仿宋_GB2312" w:hAnsi="仿宋" w:eastAsia="仿宋_GB2312" w:cs="宋体"/>
                <w:bCs/>
                <w:kern w:val="0"/>
                <w:sz w:val="28"/>
                <w:szCs w:val="28"/>
              </w:rPr>
              <w:t>0年12月31日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159.07</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4948</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77.83</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4108</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77.83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41.15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40.09</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 PAGE </w:instrText>
    </w:r>
    <w:r>
      <w:rPr>
        <w:rStyle w:val="9"/>
      </w:rPr>
      <w:fldChar w:fldCharType="separate"/>
    </w:r>
    <w:r>
      <w:rPr>
        <w:rStyle w:val="9"/>
      </w:rPr>
      <w:t>3</w:t>
    </w:r>
    <w:r>
      <w:rPr>
        <w:rStyle w:val="9"/>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34</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34562"/>
    <w:multiLevelType w:val="multilevel"/>
    <w:tmpl w:val="13734562"/>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3Yzk4NGZhNDQwMzQxNjY4ZTc5ZmI0NDNkZjVlOGQifQ=="/>
  </w:docVars>
  <w:rsids>
    <w:rsidRoot w:val="00055F1F"/>
    <w:rsid w:val="00013B8A"/>
    <w:rsid w:val="00044FBC"/>
    <w:rsid w:val="00055F1F"/>
    <w:rsid w:val="000577EF"/>
    <w:rsid w:val="00057F18"/>
    <w:rsid w:val="00073381"/>
    <w:rsid w:val="000A445D"/>
    <w:rsid w:val="000C178B"/>
    <w:rsid w:val="00131DEC"/>
    <w:rsid w:val="00136AB3"/>
    <w:rsid w:val="001462BD"/>
    <w:rsid w:val="00152380"/>
    <w:rsid w:val="001638BE"/>
    <w:rsid w:val="00164810"/>
    <w:rsid w:val="00172C7A"/>
    <w:rsid w:val="00181777"/>
    <w:rsid w:val="001B4688"/>
    <w:rsid w:val="001B6235"/>
    <w:rsid w:val="001E4A3B"/>
    <w:rsid w:val="001F4875"/>
    <w:rsid w:val="00212335"/>
    <w:rsid w:val="002754BC"/>
    <w:rsid w:val="002918C6"/>
    <w:rsid w:val="00291EF3"/>
    <w:rsid w:val="00296524"/>
    <w:rsid w:val="002C2C87"/>
    <w:rsid w:val="002E01F6"/>
    <w:rsid w:val="002E7665"/>
    <w:rsid w:val="002F1ACB"/>
    <w:rsid w:val="002F530F"/>
    <w:rsid w:val="00305E97"/>
    <w:rsid w:val="00306151"/>
    <w:rsid w:val="00310532"/>
    <w:rsid w:val="0032782B"/>
    <w:rsid w:val="00340B3D"/>
    <w:rsid w:val="0034253A"/>
    <w:rsid w:val="003669CF"/>
    <w:rsid w:val="00367A30"/>
    <w:rsid w:val="003A06D2"/>
    <w:rsid w:val="003A4557"/>
    <w:rsid w:val="003A6366"/>
    <w:rsid w:val="003B0DA4"/>
    <w:rsid w:val="003C2317"/>
    <w:rsid w:val="003C442E"/>
    <w:rsid w:val="003D1092"/>
    <w:rsid w:val="003D37CD"/>
    <w:rsid w:val="003E5531"/>
    <w:rsid w:val="003E555C"/>
    <w:rsid w:val="003E6AF3"/>
    <w:rsid w:val="0040243C"/>
    <w:rsid w:val="00406BD1"/>
    <w:rsid w:val="00426C19"/>
    <w:rsid w:val="004366EC"/>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281A"/>
    <w:rsid w:val="00586C35"/>
    <w:rsid w:val="005B1B6F"/>
    <w:rsid w:val="005B22CB"/>
    <w:rsid w:val="005B6CCB"/>
    <w:rsid w:val="005C54AA"/>
    <w:rsid w:val="005C7B89"/>
    <w:rsid w:val="0062788A"/>
    <w:rsid w:val="00641F8A"/>
    <w:rsid w:val="006475C1"/>
    <w:rsid w:val="0066038E"/>
    <w:rsid w:val="0066383B"/>
    <w:rsid w:val="006679DB"/>
    <w:rsid w:val="00683062"/>
    <w:rsid w:val="006A6FA2"/>
    <w:rsid w:val="006B5117"/>
    <w:rsid w:val="006C0B6C"/>
    <w:rsid w:val="006C62DF"/>
    <w:rsid w:val="006F5104"/>
    <w:rsid w:val="006F6549"/>
    <w:rsid w:val="00704897"/>
    <w:rsid w:val="00735B02"/>
    <w:rsid w:val="007657C8"/>
    <w:rsid w:val="00767A77"/>
    <w:rsid w:val="00771E49"/>
    <w:rsid w:val="00782208"/>
    <w:rsid w:val="00791938"/>
    <w:rsid w:val="007A5999"/>
    <w:rsid w:val="007C7FD7"/>
    <w:rsid w:val="007D1347"/>
    <w:rsid w:val="007F3746"/>
    <w:rsid w:val="0082687C"/>
    <w:rsid w:val="00833132"/>
    <w:rsid w:val="00845C67"/>
    <w:rsid w:val="0086454E"/>
    <w:rsid w:val="008672EA"/>
    <w:rsid w:val="00890972"/>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B6E85"/>
    <w:rsid w:val="009F63C4"/>
    <w:rsid w:val="00A16957"/>
    <w:rsid w:val="00A6155C"/>
    <w:rsid w:val="00A75BA8"/>
    <w:rsid w:val="00A8079E"/>
    <w:rsid w:val="00A90328"/>
    <w:rsid w:val="00A92D66"/>
    <w:rsid w:val="00AA4262"/>
    <w:rsid w:val="00AB42FE"/>
    <w:rsid w:val="00AB5A90"/>
    <w:rsid w:val="00AB7449"/>
    <w:rsid w:val="00AE4AA5"/>
    <w:rsid w:val="00AE7FA9"/>
    <w:rsid w:val="00AF3C76"/>
    <w:rsid w:val="00AF7EDC"/>
    <w:rsid w:val="00B147EB"/>
    <w:rsid w:val="00B22155"/>
    <w:rsid w:val="00B76AA9"/>
    <w:rsid w:val="00B80FAB"/>
    <w:rsid w:val="00B81C88"/>
    <w:rsid w:val="00B96BAB"/>
    <w:rsid w:val="00BA5C83"/>
    <w:rsid w:val="00BC6A7D"/>
    <w:rsid w:val="00BD4829"/>
    <w:rsid w:val="00BD6002"/>
    <w:rsid w:val="00BD719F"/>
    <w:rsid w:val="00BE49B9"/>
    <w:rsid w:val="00BF5442"/>
    <w:rsid w:val="00C00E92"/>
    <w:rsid w:val="00C177A5"/>
    <w:rsid w:val="00C35FEE"/>
    <w:rsid w:val="00C50535"/>
    <w:rsid w:val="00C6153C"/>
    <w:rsid w:val="00C906EF"/>
    <w:rsid w:val="00CC7D74"/>
    <w:rsid w:val="00D02F97"/>
    <w:rsid w:val="00D45530"/>
    <w:rsid w:val="00D45A0E"/>
    <w:rsid w:val="00D45D23"/>
    <w:rsid w:val="00D46964"/>
    <w:rsid w:val="00D71BBC"/>
    <w:rsid w:val="00D723D1"/>
    <w:rsid w:val="00D80C60"/>
    <w:rsid w:val="00D8525F"/>
    <w:rsid w:val="00DA0C4D"/>
    <w:rsid w:val="00DA5DA7"/>
    <w:rsid w:val="00DC6613"/>
    <w:rsid w:val="00DD114A"/>
    <w:rsid w:val="00DE3935"/>
    <w:rsid w:val="00DE57D9"/>
    <w:rsid w:val="00DE6B32"/>
    <w:rsid w:val="00DF0930"/>
    <w:rsid w:val="00DF26B8"/>
    <w:rsid w:val="00DF2F1B"/>
    <w:rsid w:val="00E12C68"/>
    <w:rsid w:val="00E2325B"/>
    <w:rsid w:val="00E24075"/>
    <w:rsid w:val="00E270C9"/>
    <w:rsid w:val="00E35F38"/>
    <w:rsid w:val="00E46F27"/>
    <w:rsid w:val="00E509CC"/>
    <w:rsid w:val="00E56DC0"/>
    <w:rsid w:val="00E71A04"/>
    <w:rsid w:val="00E90DA6"/>
    <w:rsid w:val="00E96342"/>
    <w:rsid w:val="00EA2FEA"/>
    <w:rsid w:val="00EA56CB"/>
    <w:rsid w:val="00EA7853"/>
    <w:rsid w:val="00EC24E7"/>
    <w:rsid w:val="00EE6219"/>
    <w:rsid w:val="00EE772E"/>
    <w:rsid w:val="00F000B1"/>
    <w:rsid w:val="00F012D3"/>
    <w:rsid w:val="00F044C3"/>
    <w:rsid w:val="00F10D04"/>
    <w:rsid w:val="00F169E3"/>
    <w:rsid w:val="00F35D4B"/>
    <w:rsid w:val="00F3746B"/>
    <w:rsid w:val="00F572CB"/>
    <w:rsid w:val="00F621AF"/>
    <w:rsid w:val="00F8024E"/>
    <w:rsid w:val="00F82447"/>
    <w:rsid w:val="00F868E5"/>
    <w:rsid w:val="00F91B83"/>
    <w:rsid w:val="00FB2F32"/>
    <w:rsid w:val="00FC3191"/>
    <w:rsid w:val="00FE0F1F"/>
    <w:rsid w:val="00FF61F3"/>
    <w:rsid w:val="0B2F4F40"/>
    <w:rsid w:val="0B3812F9"/>
    <w:rsid w:val="0F5A1149"/>
    <w:rsid w:val="18EE4D85"/>
    <w:rsid w:val="191732A9"/>
    <w:rsid w:val="41774211"/>
    <w:rsid w:val="4FBF3F5F"/>
    <w:rsid w:val="76E90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uiPriority w:val="39"/>
    <w:pPr>
      <w:ind w:left="1260" w:leftChars="600"/>
    </w:pPr>
    <w:rPr>
      <w:rFonts w:ascii="等线" w:hAnsi="等线" w:eastAsia="等线" w:cs="Times New Roman"/>
    </w:rPr>
  </w:style>
  <w:style w:type="paragraph" w:styleId="6">
    <w:name w:val="toc 2"/>
    <w:basedOn w:val="1"/>
    <w:next w:val="1"/>
    <w:autoRedefine/>
    <w:unhideWhenUsed/>
    <w:qFormat/>
    <w:uiPriority w:val="39"/>
    <w:pPr>
      <w:ind w:left="420" w:leftChars="200"/>
    </w:pPr>
    <w:rPr>
      <w:rFonts w:ascii="等线" w:hAnsi="等线" w:eastAsia="等线" w:cs="Times New Roman"/>
    </w:rPr>
  </w:style>
  <w:style w:type="character" w:styleId="9">
    <w:name w:val="page number"/>
    <w:autoRedefine/>
    <w:semiHidden/>
    <w:unhideWhenUsed/>
    <w:qFormat/>
    <w:uiPriority w:val="99"/>
  </w:style>
  <w:style w:type="character" w:styleId="10">
    <w:name w:val="Hyperlink"/>
    <w:unhideWhenUsed/>
    <w:uiPriority w:val="99"/>
    <w:rPr>
      <w:color w:val="0563C1"/>
      <w:u w:val="single"/>
    </w:rPr>
  </w:style>
  <w:style w:type="character" w:customStyle="1" w:styleId="11">
    <w:name w:val="页眉 Char"/>
    <w:basedOn w:val="8"/>
    <w:link w:val="4"/>
    <w:uiPriority w:val="99"/>
    <w:rPr>
      <w:sz w:val="18"/>
      <w:szCs w:val="18"/>
    </w:rPr>
  </w:style>
  <w:style w:type="character" w:customStyle="1" w:styleId="12">
    <w:name w:val="页脚 Char"/>
    <w:basedOn w:val="8"/>
    <w:link w:val="3"/>
    <w:autoRedefine/>
    <w:qFormat/>
    <w:uiPriority w:val="99"/>
    <w:rPr>
      <w:sz w:val="18"/>
      <w:szCs w:val="18"/>
    </w:rPr>
  </w:style>
  <w:style w:type="character" w:customStyle="1" w:styleId="13">
    <w:name w:val="批注框文本 Char"/>
    <w:basedOn w:val="8"/>
    <w:link w:val="2"/>
    <w:semiHidden/>
    <w:uiPriority w:val="99"/>
    <w:rPr>
      <w:sz w:val="18"/>
      <w:szCs w:val="18"/>
    </w:rPr>
  </w:style>
  <w:style w:type="paragraph" w:styleId="14">
    <w:name w:val="List Paragraph"/>
    <w:basedOn w:val="1"/>
    <w:qFormat/>
    <w:uiPriority w:val="34"/>
    <w:pPr>
      <w:ind w:firstLine="420" w:firstLineChars="200"/>
    </w:pPr>
  </w:style>
  <w:style w:type="character" w:customStyle="1" w:styleId="15">
    <w:name w:val="页脚 字符"/>
    <w:autoRedefine/>
    <w:qFormat/>
    <w:uiPriority w:val="99"/>
    <w:rPr>
      <w:kern w:val="2"/>
      <w:sz w:val="18"/>
      <w:szCs w:val="18"/>
    </w:rPr>
  </w:style>
  <w:style w:type="character" w:customStyle="1" w:styleId="16">
    <w:name w:val="页眉 字符"/>
    <w:autoRedefine/>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63C00-FBB1-4F82-90A2-41BA57DCA42E}">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2495</Words>
  <Characters>14228</Characters>
  <Lines>118</Lines>
  <Paragraphs>33</Paragraphs>
  <TotalTime>46</TotalTime>
  <ScaleCrop>false</ScaleCrop>
  <LinksUpToDate>false</LinksUpToDate>
  <CharactersWithSpaces>16690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2021-04-29T03:28:00Z</dcterms:created>
  <dc:creator>Windows 用户</dc:creator>
  <cp:lastModifiedBy>yan珊珊</cp:lastModifiedBy>
  <cp:lastPrinted>2021-04-14T02:06:00Z</cp:lastPrinted>
  <dcterms:modified xsi:type="dcterms:W3CDTF">2024-06-04T06:40:32Z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6F87C2AEE9FE4A2ABBEE89718AA2DA06</vt:lpwstr>
  </property>
</Properties>
</file>