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bookmarkStart w:id="2" w:name="_GoBack"/>
      <w:bookmarkEnd w:id="2"/>
      <w:r>
        <w:rPr>
          <w:rFonts w:hint="eastAsia" w:ascii="宋体" w:hAnsi="宋体" w:eastAsia="宋体"/>
          <w:b/>
          <w:sz w:val="44"/>
          <w:szCs w:val="44"/>
        </w:rPr>
        <w:t>保定市徐水区留村镇</w:t>
      </w:r>
    </w:p>
    <w:p>
      <w:pPr>
        <w:spacing w:line="360" w:lineRule="auto"/>
        <w:jc w:val="center"/>
        <w:rPr>
          <w:rFonts w:ascii="宋体" w:hAnsi="宋体" w:eastAsia="宋体"/>
          <w:b/>
          <w:sz w:val="44"/>
          <w:szCs w:val="44"/>
        </w:rPr>
      </w:pPr>
      <w:r>
        <w:rPr>
          <w:rFonts w:ascii="宋体" w:hAnsi="宋体" w:eastAsia="宋体"/>
          <w:b/>
          <w:sz w:val="44"/>
          <w:szCs w:val="44"/>
        </w:rPr>
        <w:t>2019年部门预算公开说明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ascii="仿宋" w:hAnsi="仿宋" w:eastAsia="仿宋" w:cs="Times New Roman"/>
          <w:b/>
          <w:sz w:val="32"/>
          <w:szCs w:val="32"/>
        </w:rPr>
      </w:pPr>
      <w:r>
        <w:rPr>
          <w:rFonts w:hint="eastAsia" w:ascii="仿宋" w:hAnsi="仿宋" w:eastAsia="仿宋" w:cs="Times New Roman"/>
          <w:b/>
          <w:sz w:val="32"/>
          <w:szCs w:val="32"/>
        </w:rPr>
        <w:t>根据中共徐水县委办公室、徐水县人民政府办公室关于印发《徐水县留村镇职能配置、内设机构和人员编制方案》的通知（徐发 [2008]26号），现将我部门概况说明如下：</w:t>
      </w:r>
    </w:p>
    <w:p>
      <w:pPr>
        <w:spacing w:line="360" w:lineRule="auto"/>
        <w:ind w:firstLine="640" w:firstLineChars="200"/>
        <w:rPr>
          <w:rFonts w:ascii="仿宋" w:hAnsi="仿宋" w:eastAsia="仿宋" w:cs="Times New Roman"/>
          <w:b/>
          <w:sz w:val="32"/>
          <w:szCs w:val="32"/>
        </w:rPr>
      </w:pPr>
      <w:r>
        <w:rPr>
          <w:rFonts w:hint="eastAsia" w:ascii="仿宋" w:hAnsi="仿宋" w:eastAsia="仿宋" w:cs="Times New Roman"/>
          <w:b/>
          <w:sz w:val="32"/>
          <w:szCs w:val="32"/>
        </w:rPr>
        <w:t>（一）负责党委、人大、政府交办的各项日常工作和纪检监察、组织、宣传、统一战线、人事编制、工青妇及各部门、各方面的综合协调工作，督促检查有关工作的落实。</w:t>
      </w:r>
    </w:p>
    <w:p>
      <w:pPr>
        <w:spacing w:line="360" w:lineRule="auto"/>
        <w:ind w:firstLine="640" w:firstLineChars="200"/>
        <w:rPr>
          <w:rFonts w:ascii="仿宋" w:hAnsi="仿宋" w:eastAsia="仿宋" w:cs="Times New Roman"/>
          <w:b/>
          <w:sz w:val="32"/>
          <w:szCs w:val="32"/>
        </w:rPr>
      </w:pPr>
      <w:r>
        <w:rPr>
          <w:rFonts w:hint="eastAsia" w:ascii="仿宋" w:hAnsi="仿宋" w:eastAsia="仿宋" w:cs="Times New Roman"/>
          <w:b/>
          <w:sz w:val="32"/>
          <w:szCs w:val="32"/>
        </w:rPr>
        <w:t>（二）负责谋划发展思路、创优发展环境、推进农业产业化、促进农民增收、抓好项目建设、服务辖区企业、加强基础设施建设、国有资产管理、搞好统计工作，协调与经济发展相关的其他工作。负责本级财政预决算、收支和村级财务监督检查等工作。</w:t>
      </w:r>
    </w:p>
    <w:p>
      <w:pPr>
        <w:spacing w:line="360" w:lineRule="auto"/>
        <w:ind w:firstLine="640" w:firstLineChars="200"/>
        <w:rPr>
          <w:rFonts w:ascii="仿宋" w:hAnsi="仿宋" w:eastAsia="仿宋" w:cs="Times New Roman"/>
          <w:b/>
          <w:sz w:val="32"/>
          <w:szCs w:val="32"/>
        </w:rPr>
      </w:pPr>
      <w:r>
        <w:rPr>
          <w:rFonts w:hint="eastAsia" w:ascii="仿宋" w:hAnsi="仿宋" w:eastAsia="仿宋" w:cs="Times New Roman"/>
          <w:b/>
          <w:sz w:val="32"/>
          <w:szCs w:val="32"/>
        </w:rPr>
        <w:t>（三）负责民政优抚、扶贫开发、民族宗教、劳动和社会保障、科教文卫、安全生产等工作。协调与社会事务相关的其他工作。</w:t>
      </w:r>
    </w:p>
    <w:p>
      <w:pPr>
        <w:spacing w:line="360" w:lineRule="auto"/>
        <w:ind w:firstLine="640" w:firstLineChars="200"/>
        <w:rPr>
          <w:rFonts w:ascii="仿宋" w:hAnsi="仿宋" w:eastAsia="仿宋" w:cs="Times New Roman"/>
          <w:b/>
          <w:sz w:val="32"/>
          <w:szCs w:val="32"/>
        </w:rPr>
      </w:pPr>
      <w:r>
        <w:rPr>
          <w:rFonts w:hint="eastAsia" w:ascii="仿宋" w:hAnsi="仿宋" w:eastAsia="仿宋" w:cs="Times New Roman"/>
          <w:b/>
          <w:sz w:val="32"/>
          <w:szCs w:val="32"/>
        </w:rPr>
        <w:t>（四）负责来信来访、协调法庭、公安等部门工作，负责辖区内社会治安综合治理和法制宣传等工作，调解民事纠纷，维护社会稳定。</w:t>
      </w:r>
    </w:p>
    <w:p>
      <w:pPr>
        <w:spacing w:line="360" w:lineRule="auto"/>
        <w:ind w:firstLine="640" w:firstLineChars="200"/>
        <w:rPr>
          <w:rFonts w:ascii="仿宋" w:hAnsi="仿宋" w:eastAsia="仿宋" w:cs="Times New Roman"/>
          <w:b/>
          <w:sz w:val="32"/>
          <w:szCs w:val="32"/>
        </w:rPr>
      </w:pPr>
      <w:r>
        <w:rPr>
          <w:rFonts w:hint="eastAsia" w:ascii="仿宋" w:hAnsi="仿宋" w:eastAsia="仿宋" w:cs="Times New Roman"/>
          <w:b/>
          <w:sz w:val="32"/>
          <w:szCs w:val="32"/>
        </w:rPr>
        <w:t>（五）负责落实人口计划，开展和推动人口和计划生育各项工作，贯彻实施计划生育条例和法规。指导计划生育服务中心工作。</w:t>
      </w:r>
    </w:p>
    <w:p>
      <w:pPr>
        <w:spacing w:line="360" w:lineRule="auto"/>
        <w:ind w:firstLine="640" w:firstLineChars="200"/>
        <w:rPr>
          <w:rFonts w:ascii="仿宋" w:hAnsi="仿宋" w:eastAsia="仿宋" w:cs="Times New Roman"/>
          <w:b/>
          <w:sz w:val="32"/>
          <w:szCs w:val="32"/>
        </w:rPr>
      </w:pPr>
      <w:r>
        <w:rPr>
          <w:rFonts w:hint="eastAsia" w:ascii="仿宋" w:hAnsi="仿宋" w:eastAsia="仿宋" w:cs="Times New Roman"/>
          <w:b/>
          <w:sz w:val="32"/>
          <w:szCs w:val="32"/>
        </w:rPr>
        <w:t>（六）负责本镇农村社会化发展；负责村镇基础设施、交通等规划、建设、管理工作，负责国土资源、环境保护等工作。</w:t>
      </w:r>
    </w:p>
    <w:p>
      <w:pPr>
        <w:spacing w:line="360" w:lineRule="auto"/>
        <w:ind w:firstLine="640" w:firstLineChars="200"/>
        <w:rPr>
          <w:rFonts w:ascii="仿宋" w:hAnsi="仿宋" w:eastAsia="仿宋" w:cs="Times New Roman"/>
          <w:b/>
          <w:sz w:val="32"/>
          <w:szCs w:val="32"/>
        </w:rPr>
      </w:pPr>
      <w:r>
        <w:rPr>
          <w:rFonts w:hint="eastAsia" w:ascii="仿宋" w:hAnsi="仿宋" w:eastAsia="仿宋" w:cs="Times New Roman"/>
          <w:b/>
          <w:sz w:val="32"/>
          <w:szCs w:val="32"/>
        </w:rPr>
        <w:t>（七）负责计划生育技术服务；负责生育指导和避孕咨询；负责婚前咨询和新婚保健；负责计划生育技术人员与婚前保健服务人员培训；负责计划生育科学研究等。</w:t>
      </w:r>
    </w:p>
    <w:p>
      <w:pPr>
        <w:spacing w:line="360" w:lineRule="auto"/>
        <w:ind w:firstLine="640" w:firstLineChars="200"/>
        <w:rPr>
          <w:rFonts w:ascii="仿宋" w:hAnsi="仿宋" w:eastAsia="仿宋" w:cs="Times New Roman"/>
          <w:b/>
          <w:sz w:val="32"/>
          <w:szCs w:val="32"/>
        </w:rPr>
      </w:pPr>
      <w:r>
        <w:rPr>
          <w:rFonts w:hint="eastAsia" w:ascii="仿宋" w:hAnsi="仿宋" w:eastAsia="仿宋" w:cs="Times New Roman"/>
          <w:b/>
          <w:sz w:val="32"/>
          <w:szCs w:val="32"/>
        </w:rPr>
        <w:t>（八）开展科技宣传等各种形式的文体活动，推动健康向上的农村文化，发展广播电影电视事业，进一步丰富农村业余文化生活，建设好农村社会主义文化陈地，在建设农村物质文明的同时，建设好农村精神文明 。</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spacing w:line="300" w:lineRule="exact"/>
              <w:jc w:val="left"/>
              <w:rPr>
                <w:rFonts w:ascii="仿宋" w:hAnsi="仿宋" w:eastAsia="仿宋"/>
                <w:sz w:val="24"/>
                <w:szCs w:val="24"/>
              </w:rPr>
            </w:pPr>
            <w:r>
              <w:rPr>
                <w:rFonts w:hint="eastAsia" w:ascii="仿宋" w:hAnsi="仿宋" w:eastAsia="仿宋" w:cs="宋体"/>
                <w:color w:val="000000"/>
                <w:kern w:val="0"/>
                <w:sz w:val="24"/>
                <w:szCs w:val="24"/>
              </w:rPr>
              <w:t>留村镇（行政）</w:t>
            </w:r>
          </w:p>
        </w:tc>
        <w:tc>
          <w:tcPr>
            <w:tcW w:w="1701" w:type="dxa"/>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行政</w:t>
            </w:r>
          </w:p>
        </w:tc>
        <w:tc>
          <w:tcPr>
            <w:tcW w:w="1418" w:type="dxa"/>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正科级</w:t>
            </w:r>
          </w:p>
        </w:tc>
        <w:tc>
          <w:tcPr>
            <w:tcW w:w="3260" w:type="dxa"/>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spacing w:line="300" w:lineRule="exact"/>
              <w:jc w:val="left"/>
              <w:rPr>
                <w:rFonts w:ascii="仿宋" w:hAnsi="仿宋" w:eastAsia="仿宋"/>
                <w:sz w:val="24"/>
                <w:szCs w:val="24"/>
              </w:rPr>
            </w:pPr>
            <w:r>
              <w:rPr>
                <w:rFonts w:hint="eastAsia" w:ascii="仿宋" w:hAnsi="仿宋" w:eastAsia="仿宋" w:cs="宋体"/>
                <w:color w:val="000000"/>
                <w:kern w:val="0"/>
                <w:sz w:val="24"/>
                <w:szCs w:val="24"/>
              </w:rPr>
              <w:t>留村镇（事业）</w:t>
            </w:r>
          </w:p>
        </w:tc>
        <w:tc>
          <w:tcPr>
            <w:tcW w:w="1701" w:type="dxa"/>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事业</w:t>
            </w:r>
          </w:p>
        </w:tc>
        <w:tc>
          <w:tcPr>
            <w:tcW w:w="1418" w:type="dxa"/>
            <w:vAlign w:val="center"/>
          </w:tcPr>
          <w:p>
            <w:pPr>
              <w:spacing w:line="300" w:lineRule="exact"/>
              <w:jc w:val="center"/>
              <w:rPr>
                <w:rFonts w:ascii="仿宋" w:hAnsi="仿宋" w:eastAsia="仿宋"/>
                <w:sz w:val="24"/>
                <w:szCs w:val="24"/>
              </w:rPr>
            </w:pPr>
            <w:r>
              <w:rPr>
                <w:rFonts w:hint="eastAsia" w:ascii="仿宋" w:hAnsi="仿宋" w:eastAsia="仿宋" w:cs="宋体"/>
                <w:color w:val="000000"/>
                <w:kern w:val="0"/>
                <w:sz w:val="24"/>
                <w:szCs w:val="24"/>
              </w:rPr>
              <w:t>正科级</w:t>
            </w:r>
          </w:p>
        </w:tc>
        <w:tc>
          <w:tcPr>
            <w:tcW w:w="3260" w:type="dxa"/>
            <w:vAlign w:val="center"/>
          </w:tcPr>
          <w:p>
            <w:pPr>
              <w:spacing w:line="3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spacing w:line="300" w:lineRule="exact"/>
              <w:jc w:val="left"/>
              <w:rPr>
                <w:rFonts w:ascii="仿宋" w:hAnsi="仿宋" w:eastAsia="仿宋"/>
                <w:sz w:val="24"/>
                <w:szCs w:val="24"/>
              </w:rPr>
            </w:pPr>
          </w:p>
        </w:tc>
        <w:tc>
          <w:tcPr>
            <w:tcW w:w="1701" w:type="dxa"/>
            <w:vAlign w:val="center"/>
          </w:tcPr>
          <w:p>
            <w:pPr>
              <w:spacing w:line="300" w:lineRule="exact"/>
              <w:jc w:val="center"/>
              <w:rPr>
                <w:rFonts w:ascii="仿宋" w:hAnsi="仿宋" w:eastAsia="仿宋"/>
                <w:sz w:val="24"/>
                <w:szCs w:val="24"/>
              </w:rPr>
            </w:pPr>
          </w:p>
        </w:tc>
        <w:tc>
          <w:tcPr>
            <w:tcW w:w="1418" w:type="dxa"/>
            <w:vAlign w:val="center"/>
          </w:tcPr>
          <w:p>
            <w:pPr>
              <w:spacing w:line="300" w:lineRule="exact"/>
              <w:jc w:val="center"/>
              <w:rPr>
                <w:rFonts w:ascii="仿宋" w:hAnsi="仿宋" w:eastAsia="仿宋"/>
                <w:sz w:val="24"/>
                <w:szCs w:val="24"/>
              </w:rPr>
            </w:pPr>
          </w:p>
        </w:tc>
        <w:tc>
          <w:tcPr>
            <w:tcW w:w="3260" w:type="dxa"/>
            <w:vAlign w:val="center"/>
          </w:tcPr>
          <w:p>
            <w:pPr>
              <w:spacing w:line="30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spacing w:line="300" w:lineRule="exact"/>
              <w:jc w:val="left"/>
              <w:rPr>
                <w:rFonts w:ascii="仿宋" w:hAnsi="仿宋" w:eastAsia="仿宋"/>
                <w:sz w:val="24"/>
                <w:szCs w:val="24"/>
              </w:rPr>
            </w:pPr>
          </w:p>
        </w:tc>
        <w:tc>
          <w:tcPr>
            <w:tcW w:w="1701" w:type="dxa"/>
            <w:vAlign w:val="center"/>
          </w:tcPr>
          <w:p>
            <w:pPr>
              <w:spacing w:line="300" w:lineRule="exact"/>
              <w:jc w:val="center"/>
              <w:rPr>
                <w:rFonts w:ascii="仿宋" w:hAnsi="仿宋" w:eastAsia="仿宋"/>
                <w:sz w:val="24"/>
                <w:szCs w:val="24"/>
              </w:rPr>
            </w:pPr>
          </w:p>
        </w:tc>
        <w:tc>
          <w:tcPr>
            <w:tcW w:w="1418" w:type="dxa"/>
            <w:vAlign w:val="center"/>
          </w:tcPr>
          <w:p>
            <w:pPr>
              <w:spacing w:line="300" w:lineRule="exact"/>
              <w:jc w:val="center"/>
              <w:rPr>
                <w:rFonts w:ascii="仿宋" w:hAnsi="仿宋" w:eastAsia="仿宋"/>
                <w:sz w:val="24"/>
                <w:szCs w:val="24"/>
              </w:rPr>
            </w:pPr>
          </w:p>
        </w:tc>
        <w:tc>
          <w:tcPr>
            <w:tcW w:w="3260" w:type="dxa"/>
            <w:vAlign w:val="center"/>
          </w:tcPr>
          <w:p>
            <w:pPr>
              <w:spacing w:line="300" w:lineRule="exact"/>
              <w:jc w:val="center"/>
              <w:rPr>
                <w:rFonts w:ascii="仿宋" w:hAnsi="仿宋" w:eastAsia="仿宋" w:cs="宋体"/>
                <w:color w:val="000000"/>
                <w:kern w:val="0"/>
                <w:sz w:val="24"/>
                <w:szCs w:val="24"/>
              </w:rPr>
            </w:pPr>
          </w:p>
        </w:tc>
      </w:tr>
    </w:tbl>
    <w:p>
      <w:pPr>
        <w:spacing w:line="360" w:lineRule="auto"/>
        <w:rPr>
          <w:rFonts w:ascii="仿宋" w:hAnsi="仿宋" w:eastAsia="仿宋"/>
          <w:b/>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r>
        <w:rPr>
          <w:rFonts w:ascii="黑体" w:hAnsi="黑体" w:eastAsia="黑体" w:cs="Times New Roman"/>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2019年预算收入为</w:t>
      </w:r>
      <w:r>
        <w:rPr>
          <w:rFonts w:hint="eastAsia" w:ascii="仿宋" w:hAnsi="仿宋" w:eastAsia="仿宋"/>
          <w:sz w:val="32"/>
          <w:szCs w:val="32"/>
        </w:rPr>
        <w:t>1654.1</w:t>
      </w:r>
      <w:r>
        <w:rPr>
          <w:rFonts w:ascii="仿宋" w:hAnsi="仿宋" w:eastAsia="仿宋"/>
          <w:sz w:val="32"/>
          <w:szCs w:val="32"/>
        </w:rPr>
        <w:t>万元,其中：一般公共预算收入</w:t>
      </w:r>
      <w:r>
        <w:rPr>
          <w:rFonts w:hint="eastAsia" w:ascii="仿宋" w:hAnsi="仿宋" w:eastAsia="仿宋"/>
          <w:sz w:val="32"/>
          <w:szCs w:val="32"/>
        </w:rPr>
        <w:t>1646.2</w:t>
      </w:r>
      <w:r>
        <w:rPr>
          <w:rFonts w:ascii="仿宋" w:hAnsi="仿宋" w:eastAsia="仿宋"/>
          <w:sz w:val="32"/>
          <w:szCs w:val="32"/>
        </w:rPr>
        <w:t>万元，基金预算收入</w:t>
      </w:r>
      <w:r>
        <w:rPr>
          <w:rFonts w:hint="eastAsia" w:ascii="仿宋" w:hAnsi="仿宋" w:eastAsia="仿宋"/>
          <w:sz w:val="32"/>
          <w:szCs w:val="32"/>
        </w:rPr>
        <w:t>7.9</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2019年部门支出预算：</w:t>
      </w:r>
      <w:r>
        <w:rPr>
          <w:rFonts w:hint="eastAsia" w:ascii="仿宋" w:hAnsi="仿宋" w:eastAsia="仿宋"/>
          <w:sz w:val="32"/>
          <w:szCs w:val="32"/>
        </w:rPr>
        <w:t>1654.</w:t>
      </w:r>
      <w:r>
        <w:rPr>
          <w:rFonts w:ascii="仿宋" w:hAnsi="仿宋" w:eastAsia="仿宋"/>
          <w:sz w:val="32"/>
          <w:szCs w:val="32"/>
        </w:rPr>
        <w:t>1万元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基本支出1330.6</w:t>
      </w:r>
      <w:r>
        <w:rPr>
          <w:rFonts w:ascii="仿宋" w:hAnsi="仿宋" w:eastAsia="仿宋"/>
          <w:sz w:val="32"/>
          <w:szCs w:val="32"/>
        </w:rPr>
        <w:t>5</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1221.5</w:t>
      </w:r>
      <w:r>
        <w:rPr>
          <w:rFonts w:ascii="仿宋" w:hAnsi="仿宋" w:eastAsia="仿宋"/>
          <w:sz w:val="32"/>
          <w:szCs w:val="32"/>
        </w:rPr>
        <w:t>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109.12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323.45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323.45</w:t>
      </w:r>
      <w:r>
        <w:rPr>
          <w:rFonts w:ascii="仿宋" w:hAnsi="仿宋" w:eastAsia="仿宋"/>
          <w:sz w:val="32"/>
          <w:szCs w:val="32"/>
        </w:rPr>
        <w:t>万元</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本年度预算收支安排1654.09万元，较上年增加636.15</w:t>
      </w:r>
      <w:r>
        <w:rPr>
          <w:rFonts w:ascii="仿宋" w:hAnsi="仿宋" w:eastAsia="仿宋"/>
          <w:sz w:val="32"/>
          <w:szCs w:val="32"/>
        </w:rPr>
        <w:t>万元。其中:基本支出增加</w:t>
      </w:r>
      <w:r>
        <w:rPr>
          <w:rFonts w:hint="eastAsia" w:ascii="仿宋" w:hAnsi="仿宋" w:eastAsia="仿宋"/>
          <w:sz w:val="32"/>
          <w:szCs w:val="32"/>
        </w:rPr>
        <w:t>442.3</w:t>
      </w:r>
      <w:r>
        <w:rPr>
          <w:rFonts w:ascii="仿宋" w:hAnsi="仿宋" w:eastAsia="仿宋"/>
          <w:sz w:val="32"/>
          <w:szCs w:val="32"/>
        </w:rPr>
        <w:t>万元，主要原因是</w:t>
      </w:r>
      <w:r>
        <w:rPr>
          <w:rFonts w:hint="eastAsia" w:ascii="仿宋" w:hAnsi="仿宋" w:eastAsia="仿宋"/>
          <w:sz w:val="32"/>
          <w:szCs w:val="32"/>
        </w:rPr>
        <w:t>工资调标</w:t>
      </w:r>
      <w:r>
        <w:rPr>
          <w:rFonts w:ascii="仿宋" w:hAnsi="仿宋" w:eastAsia="仿宋"/>
          <w:sz w:val="32"/>
          <w:szCs w:val="32"/>
        </w:rPr>
        <w:t>；项目支出增加</w:t>
      </w:r>
      <w:r>
        <w:rPr>
          <w:rFonts w:hint="eastAsia" w:ascii="仿宋" w:hAnsi="仿宋" w:eastAsia="仿宋"/>
          <w:sz w:val="32"/>
          <w:szCs w:val="32"/>
        </w:rPr>
        <w:t>193.85</w:t>
      </w:r>
      <w:r>
        <w:rPr>
          <w:rFonts w:ascii="仿宋" w:hAnsi="仿宋" w:eastAsia="仿宋"/>
          <w:sz w:val="32"/>
          <w:szCs w:val="32"/>
        </w:rPr>
        <w:t>万元，主要原因是</w:t>
      </w:r>
      <w:r>
        <w:rPr>
          <w:rFonts w:hint="eastAsia" w:ascii="仿宋" w:hAnsi="仿宋" w:eastAsia="仿宋"/>
          <w:sz w:val="32"/>
          <w:szCs w:val="32"/>
        </w:rPr>
        <w:t>增加了公益性岗位人员工资、扶贫等项目</w:t>
      </w:r>
      <w:r>
        <w:rPr>
          <w:rFonts w:ascii="仿宋" w:hAnsi="仿宋" w:eastAsia="仿宋"/>
          <w:sz w:val="32"/>
          <w:szCs w:val="32"/>
        </w:rPr>
        <w:t>。</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2019年我部门机关运行经费安排</w:t>
      </w:r>
      <w:r>
        <w:rPr>
          <w:rFonts w:hint="eastAsia" w:ascii="仿宋" w:hAnsi="仿宋" w:eastAsia="仿宋"/>
          <w:sz w:val="32"/>
          <w:szCs w:val="32"/>
        </w:rPr>
        <w:t>109.12</w:t>
      </w:r>
      <w:r>
        <w:rPr>
          <w:rFonts w:ascii="仿宋" w:hAnsi="仿宋" w:eastAsia="仿宋"/>
          <w:sz w:val="32"/>
          <w:szCs w:val="32"/>
        </w:rPr>
        <w:t>万元，其中办公费</w:t>
      </w:r>
      <w:r>
        <w:rPr>
          <w:rFonts w:hint="eastAsia" w:ascii="仿宋" w:hAnsi="仿宋" w:eastAsia="仿宋"/>
          <w:sz w:val="32"/>
          <w:szCs w:val="32"/>
        </w:rPr>
        <w:t>36.25</w:t>
      </w:r>
      <w:r>
        <w:rPr>
          <w:rFonts w:ascii="仿宋" w:hAnsi="仿宋" w:eastAsia="仿宋"/>
          <w:sz w:val="32"/>
          <w:szCs w:val="32"/>
        </w:rPr>
        <w:t>万元，邮电费</w:t>
      </w:r>
      <w:r>
        <w:rPr>
          <w:rFonts w:hint="eastAsia" w:ascii="仿宋" w:hAnsi="仿宋" w:eastAsia="仿宋"/>
          <w:sz w:val="32"/>
          <w:szCs w:val="32"/>
        </w:rPr>
        <w:t>13.56</w:t>
      </w:r>
      <w:r>
        <w:rPr>
          <w:rFonts w:ascii="仿宋" w:hAnsi="仿宋" w:eastAsia="仿宋"/>
          <w:sz w:val="32"/>
          <w:szCs w:val="32"/>
        </w:rPr>
        <w:t>万元，工会经费、福利费</w:t>
      </w:r>
      <w:r>
        <w:rPr>
          <w:rFonts w:hint="eastAsia" w:ascii="仿宋" w:hAnsi="仿宋" w:eastAsia="仿宋"/>
          <w:sz w:val="32"/>
          <w:szCs w:val="32"/>
        </w:rPr>
        <w:t>17.23</w:t>
      </w:r>
      <w:r>
        <w:rPr>
          <w:rFonts w:ascii="仿宋" w:hAnsi="仿宋" w:eastAsia="仿宋"/>
          <w:sz w:val="32"/>
          <w:szCs w:val="32"/>
        </w:rPr>
        <w:t>万元，公务用车运行维护费</w:t>
      </w:r>
      <w:r>
        <w:rPr>
          <w:rFonts w:hint="eastAsia" w:ascii="仿宋" w:hAnsi="仿宋" w:eastAsia="仿宋"/>
          <w:sz w:val="32"/>
          <w:szCs w:val="32"/>
        </w:rPr>
        <w:t>12</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15.73</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8"/>
        <w:tblW w:w="5000" w:type="pct"/>
        <w:tblInd w:w="0" w:type="dxa"/>
        <w:tblLayout w:type="autofit"/>
        <w:tblCellMar>
          <w:top w:w="0" w:type="dxa"/>
          <w:left w:w="108" w:type="dxa"/>
          <w:bottom w:w="0" w:type="dxa"/>
          <w:right w:w="108" w:type="dxa"/>
        </w:tblCellMar>
      </w:tblPr>
      <w:tblGrid>
        <w:gridCol w:w="14174"/>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8"/>
              <w:tblW w:w="0" w:type="auto"/>
              <w:tblInd w:w="0" w:type="dxa"/>
              <w:tblLayout w:type="autofit"/>
              <w:tblCellMar>
                <w:top w:w="0" w:type="dxa"/>
                <w:left w:w="108" w:type="dxa"/>
                <w:bottom w:w="0" w:type="dxa"/>
                <w:right w:w="108" w:type="dxa"/>
              </w:tblCellMar>
            </w:tblPr>
            <w:tblGrid>
              <w:gridCol w:w="3542"/>
              <w:gridCol w:w="2089"/>
              <w:gridCol w:w="2322"/>
              <w:gridCol w:w="1369"/>
              <w:gridCol w:w="3925"/>
            </w:tblGrid>
            <w:tr>
              <w:tblPrEx>
                <w:tblCellMar>
                  <w:top w:w="0" w:type="dxa"/>
                  <w:left w:w="108" w:type="dxa"/>
                  <w:bottom w:w="0" w:type="dxa"/>
                  <w:right w:w="108" w:type="dxa"/>
                </w:tblCellMar>
              </w:tblPrEx>
              <w:trPr>
                <w:trHeight w:val="418" w:hRule="atLeast"/>
              </w:trPr>
              <w:tc>
                <w:tcPr>
                  <w:tcW w:w="13247"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8" w:hRule="atLeast"/>
              </w:trPr>
              <w:tc>
                <w:tcPr>
                  <w:tcW w:w="3542" w:type="dxa"/>
                  <w:tcBorders>
                    <w:top w:val="nil"/>
                    <w:left w:val="nil"/>
                    <w:bottom w:val="nil"/>
                    <w:right w:val="nil"/>
                  </w:tcBorders>
                  <w:vAlign w:val="center"/>
                </w:tcPr>
                <w:p>
                  <w:pPr>
                    <w:widowControl/>
                    <w:jc w:val="left"/>
                    <w:rPr>
                      <w:rFonts w:ascii="宋体" w:hAnsi="宋体" w:cs="宋体"/>
                      <w:kern w:val="0"/>
                      <w:sz w:val="24"/>
                      <w:szCs w:val="24"/>
                    </w:rPr>
                  </w:pPr>
                </w:p>
              </w:tc>
              <w:tc>
                <w:tcPr>
                  <w:tcW w:w="2089" w:type="dxa"/>
                  <w:tcBorders>
                    <w:top w:val="nil"/>
                    <w:left w:val="nil"/>
                    <w:bottom w:val="nil"/>
                    <w:right w:val="nil"/>
                  </w:tcBorders>
                  <w:vAlign w:val="center"/>
                </w:tcPr>
                <w:p>
                  <w:pPr>
                    <w:widowControl/>
                    <w:jc w:val="left"/>
                    <w:rPr>
                      <w:rFonts w:ascii="宋体" w:hAnsi="宋体" w:cs="宋体"/>
                      <w:kern w:val="0"/>
                      <w:sz w:val="24"/>
                      <w:szCs w:val="24"/>
                    </w:rPr>
                  </w:pPr>
                </w:p>
              </w:tc>
              <w:tc>
                <w:tcPr>
                  <w:tcW w:w="2322" w:type="dxa"/>
                  <w:tcBorders>
                    <w:top w:val="nil"/>
                    <w:left w:val="nil"/>
                    <w:bottom w:val="nil"/>
                    <w:right w:val="nil"/>
                  </w:tcBorders>
                  <w:vAlign w:val="center"/>
                </w:tcPr>
                <w:p>
                  <w:pPr>
                    <w:widowControl/>
                    <w:jc w:val="left"/>
                    <w:rPr>
                      <w:rFonts w:ascii="宋体" w:hAnsi="宋体" w:cs="宋体"/>
                      <w:kern w:val="0"/>
                      <w:sz w:val="24"/>
                      <w:szCs w:val="24"/>
                    </w:rPr>
                  </w:pPr>
                </w:p>
              </w:tc>
              <w:tc>
                <w:tcPr>
                  <w:tcW w:w="1369" w:type="dxa"/>
                  <w:tcBorders>
                    <w:top w:val="nil"/>
                    <w:left w:val="nil"/>
                    <w:bottom w:val="nil"/>
                    <w:right w:val="nil"/>
                  </w:tcBorders>
                  <w:vAlign w:val="center"/>
                </w:tcPr>
                <w:p>
                  <w:pPr>
                    <w:widowControl/>
                    <w:jc w:val="left"/>
                    <w:rPr>
                      <w:rFonts w:ascii="宋体" w:hAnsi="宋体" w:cs="宋体"/>
                      <w:kern w:val="0"/>
                      <w:sz w:val="24"/>
                      <w:szCs w:val="24"/>
                    </w:rPr>
                  </w:pPr>
                </w:p>
              </w:tc>
              <w:tc>
                <w:tcPr>
                  <w:tcW w:w="3925"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94" w:hRule="atLeast"/>
              </w:trPr>
              <w:tc>
                <w:tcPr>
                  <w:tcW w:w="35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208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232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136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39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94" w:hRule="atLeast"/>
              </w:trPr>
              <w:tc>
                <w:tcPr>
                  <w:tcW w:w="354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208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2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36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392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94" w:hRule="atLeast"/>
              </w:trPr>
              <w:tc>
                <w:tcPr>
                  <w:tcW w:w="354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208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2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36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392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88" w:hRule="atLeast"/>
              </w:trPr>
              <w:tc>
                <w:tcPr>
                  <w:tcW w:w="354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208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19.9</w:t>
                  </w:r>
                </w:p>
              </w:tc>
              <w:tc>
                <w:tcPr>
                  <w:tcW w:w="232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22.9</w:t>
                  </w:r>
                </w:p>
              </w:tc>
              <w:tc>
                <w:tcPr>
                  <w:tcW w:w="136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392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增加土地所车辆编制</w:t>
                  </w:r>
                </w:p>
              </w:tc>
            </w:tr>
            <w:tr>
              <w:tblPrEx>
                <w:tblCellMar>
                  <w:top w:w="0" w:type="dxa"/>
                  <w:left w:w="108" w:type="dxa"/>
                  <w:bottom w:w="0" w:type="dxa"/>
                  <w:right w:w="108" w:type="dxa"/>
                </w:tblCellMar>
              </w:tblPrEx>
              <w:trPr>
                <w:trHeight w:val="882" w:hRule="atLeast"/>
              </w:trPr>
              <w:tc>
                <w:tcPr>
                  <w:tcW w:w="354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208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232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36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392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76" w:hRule="atLeast"/>
              </w:trPr>
              <w:tc>
                <w:tcPr>
                  <w:tcW w:w="354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208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24.9</w:t>
                  </w:r>
                </w:p>
              </w:tc>
              <w:tc>
                <w:tcPr>
                  <w:tcW w:w="232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27.9</w:t>
                  </w:r>
                </w:p>
              </w:tc>
              <w:tc>
                <w:tcPr>
                  <w:tcW w:w="136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392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增加土地所车辆编制</w:t>
                  </w:r>
                </w:p>
              </w:tc>
            </w:tr>
            <w:tr>
              <w:tblPrEx>
                <w:tblCellMar>
                  <w:top w:w="0" w:type="dxa"/>
                  <w:left w:w="108" w:type="dxa"/>
                  <w:bottom w:w="0" w:type="dxa"/>
                  <w:right w:w="108" w:type="dxa"/>
                </w:tblCellMar>
              </w:tblPrEx>
              <w:trPr>
                <w:trHeight w:val="294" w:hRule="atLeast"/>
              </w:trPr>
              <w:tc>
                <w:tcPr>
                  <w:tcW w:w="3542" w:type="dxa"/>
                  <w:tcBorders>
                    <w:top w:val="nil"/>
                    <w:left w:val="nil"/>
                    <w:bottom w:val="nil"/>
                    <w:right w:val="nil"/>
                  </w:tcBorders>
                  <w:vAlign w:val="center"/>
                </w:tcPr>
                <w:p>
                  <w:pPr>
                    <w:widowControl/>
                    <w:jc w:val="left"/>
                    <w:rPr>
                      <w:rFonts w:ascii="宋体" w:hAnsi="宋体" w:cs="宋体"/>
                      <w:kern w:val="0"/>
                      <w:sz w:val="24"/>
                      <w:szCs w:val="24"/>
                    </w:rPr>
                  </w:pPr>
                </w:p>
              </w:tc>
              <w:tc>
                <w:tcPr>
                  <w:tcW w:w="2089" w:type="dxa"/>
                  <w:tcBorders>
                    <w:top w:val="nil"/>
                    <w:left w:val="nil"/>
                    <w:bottom w:val="nil"/>
                    <w:right w:val="nil"/>
                  </w:tcBorders>
                  <w:vAlign w:val="center"/>
                </w:tcPr>
                <w:p>
                  <w:pPr>
                    <w:widowControl/>
                    <w:jc w:val="left"/>
                    <w:rPr>
                      <w:rFonts w:ascii="宋体" w:hAnsi="宋体" w:cs="宋体"/>
                      <w:kern w:val="0"/>
                      <w:sz w:val="24"/>
                      <w:szCs w:val="24"/>
                    </w:rPr>
                  </w:pPr>
                </w:p>
              </w:tc>
              <w:tc>
                <w:tcPr>
                  <w:tcW w:w="2322" w:type="dxa"/>
                  <w:tcBorders>
                    <w:top w:val="nil"/>
                    <w:left w:val="nil"/>
                    <w:bottom w:val="nil"/>
                    <w:right w:val="nil"/>
                  </w:tcBorders>
                  <w:vAlign w:val="center"/>
                </w:tcPr>
                <w:p>
                  <w:pPr>
                    <w:widowControl/>
                    <w:jc w:val="left"/>
                    <w:rPr>
                      <w:rFonts w:ascii="宋体" w:hAnsi="宋体" w:cs="宋体"/>
                      <w:kern w:val="0"/>
                      <w:sz w:val="24"/>
                      <w:szCs w:val="24"/>
                    </w:rPr>
                  </w:pPr>
                </w:p>
              </w:tc>
              <w:tc>
                <w:tcPr>
                  <w:tcW w:w="1369" w:type="dxa"/>
                  <w:tcBorders>
                    <w:top w:val="nil"/>
                    <w:left w:val="nil"/>
                    <w:bottom w:val="nil"/>
                    <w:right w:val="nil"/>
                  </w:tcBorders>
                  <w:vAlign w:val="center"/>
                </w:tcPr>
                <w:p>
                  <w:pPr>
                    <w:widowControl/>
                    <w:jc w:val="left"/>
                    <w:rPr>
                      <w:rFonts w:ascii="宋体" w:hAnsi="宋体" w:cs="宋体"/>
                      <w:kern w:val="0"/>
                      <w:sz w:val="24"/>
                      <w:szCs w:val="24"/>
                    </w:rPr>
                  </w:pPr>
                </w:p>
              </w:tc>
              <w:tc>
                <w:tcPr>
                  <w:tcW w:w="3925"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一、总体绩效目标：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紧紧围绕全区中心工作和区委重要部署，按照建设</w:t>
      </w:r>
      <w:r>
        <w:rPr>
          <w:rFonts w:ascii="仿宋" w:hAnsi="仿宋" w:eastAsia="仿宋"/>
          <w:sz w:val="32"/>
          <w:szCs w:val="32"/>
        </w:rPr>
        <w:t>“</w:t>
      </w:r>
      <w:r>
        <w:rPr>
          <w:rFonts w:hint="eastAsia" w:ascii="仿宋" w:hAnsi="仿宋" w:eastAsia="仿宋"/>
          <w:sz w:val="32"/>
          <w:szCs w:val="32"/>
        </w:rPr>
        <w:t>生产发展、生活宽裕、乡风文明、村容整洁、管理民主</w:t>
      </w:r>
      <w:r>
        <w:rPr>
          <w:rFonts w:ascii="仿宋" w:hAnsi="仿宋" w:eastAsia="仿宋"/>
          <w:sz w:val="32"/>
          <w:szCs w:val="32"/>
        </w:rPr>
        <w:t>“</w:t>
      </w:r>
      <w:r>
        <w:rPr>
          <w:rFonts w:hint="eastAsia" w:ascii="仿宋" w:hAnsi="仿宋" w:eastAsia="仿宋"/>
          <w:sz w:val="32"/>
          <w:szCs w:val="32"/>
        </w:rPr>
        <w:t>的社会主义新农村的要求，着眼于全面推进农村的经济、政治、文化、社会和党的建设，履行促进经济发展、加强社会管理、提供公共服务和维护农村稳定四项职能。</w:t>
      </w:r>
    </w:p>
    <w:p>
      <w:pPr>
        <w:spacing w:line="360" w:lineRule="auto"/>
        <w:ind w:firstLine="640" w:firstLineChars="200"/>
        <w:rPr>
          <w:rFonts w:ascii="仿宋" w:hAnsi="仿宋" w:eastAsia="仿宋"/>
          <w:b/>
          <w:sz w:val="32"/>
          <w:szCs w:val="32"/>
        </w:rPr>
      </w:pPr>
      <w:r>
        <w:rPr>
          <w:rFonts w:hint="eastAsia" w:ascii="仿宋" w:hAnsi="仿宋" w:eastAsia="仿宋"/>
          <w:b/>
          <w:sz w:val="32"/>
          <w:szCs w:val="32"/>
        </w:rPr>
        <w:t>二、部门职责及工作活动绩效目标指标</w:t>
      </w:r>
    </w:p>
    <w:p>
      <w:pPr>
        <w:jc w:val="center"/>
        <w:outlineLvl w:val="0"/>
        <w:rPr>
          <w:rFonts w:ascii="方正小标宋_GBK" w:eastAsia="方正小标宋_GBK"/>
          <w:color w:val="FFFFFF"/>
          <w:sz w:val="32"/>
        </w:rPr>
      </w:pPr>
      <w:bookmarkStart w:id="0" w:name="_Toc1751064"/>
      <w:bookmarkStart w:id="1" w:name="_Toc504735766"/>
      <w:r>
        <w:rPr>
          <w:rFonts w:hint="eastAsia" w:ascii="方正小标宋_GBK" w:eastAsia="方正小标宋_GBK"/>
          <w:sz w:val="32"/>
        </w:rPr>
        <w:t>部门职责-工作活动绩效目标</w:t>
      </w:r>
      <w:r>
        <w:rPr>
          <w:rStyle w:val="10"/>
          <w:rFonts w:ascii="方正小标宋_GBK" w:eastAsia="方正小标宋_GBK"/>
          <w:color w:val="FFFFFF"/>
          <w:sz w:val="32"/>
        </w:rPr>
        <w:footnoteReference w:id="0" w:customMarkFollows="1"/>
        <w:sym w:font="Symbol" w:char="F020"/>
      </w:r>
      <w:bookmarkEnd w:id="0"/>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913</w:t>
            </w:r>
            <w:r>
              <w:rPr>
                <w:rFonts w:hint="eastAsia" w:ascii="方正小标宋_GBK" w:eastAsia="方正小标宋_GBK"/>
                <w:sz w:val="24"/>
              </w:rPr>
              <w:t>保定市徐水区留村镇人民政府</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一、选举和任免</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、确保有关选举的法律法规符合实际，在充分考察调研的基础上，实施对其进行修改。</w:t>
            </w:r>
            <w:r>
              <w:rPr>
                <w:rFonts w:ascii="方正书宋_GBK" w:eastAsia="方正书宋_GBK"/>
              </w:rPr>
              <w:t>2</w:t>
            </w:r>
            <w:r>
              <w:rPr>
                <w:rFonts w:hint="eastAsia" w:ascii="方正书宋_GBK" w:eastAsia="方正书宋_GBK"/>
              </w:rPr>
              <w:t>、对乡镇政府组成人员和乡镇人民法院主要负责人进行目标责任监督，确保依法履行职责，完成目标任务。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、换届选举及人事任免</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换届选举工作完成率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政治任务实现率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二、民族宗教事务管理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加强宗教事务管理工作，加强其他民族宗教综合性事务管理工作。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、民族宗教综合治理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加大补助力度，增强反渗透能力。不断提高民族宗教法律政策宣传覆盖率</w:t>
            </w:r>
            <w:r>
              <w:rPr>
                <w:rFonts w:ascii="方正书宋_GBK" w:eastAsia="方正书宋_GBK"/>
              </w:rPr>
              <w:t>,</w:t>
            </w:r>
            <w:r>
              <w:rPr>
                <w:rFonts w:hint="eastAsia" w:ascii="方正书宋_GBK" w:eastAsia="方正书宋_GBK"/>
              </w:rPr>
              <w:t>加大宣传教育力度</w:t>
            </w:r>
            <w:r>
              <w:rPr>
                <w:rFonts w:ascii="方正书宋_GBK" w:eastAsia="方正书宋_GBK"/>
              </w:rPr>
              <w:t>;</w:t>
            </w:r>
            <w:r>
              <w:rPr>
                <w:rFonts w:hint="eastAsia" w:ascii="方正书宋_GBK" w:eastAsia="方正书宋_GBK"/>
              </w:rPr>
              <w:t>妥善协助解决突发事件</w:t>
            </w:r>
            <w:r>
              <w:rPr>
                <w:rFonts w:ascii="方正书宋_GBK" w:eastAsia="方正书宋_GBK"/>
              </w:rPr>
              <w:t>;</w:t>
            </w:r>
            <w:r>
              <w:rPr>
                <w:rFonts w:hint="eastAsia" w:ascii="方正书宋_GBK" w:eastAsia="方正书宋_GBK"/>
              </w:rPr>
              <w:t>提高清真食品检查效率</w:t>
            </w:r>
            <w:r>
              <w:rPr>
                <w:rFonts w:ascii="方正书宋_GBK" w:eastAsia="方正书宋_GBK"/>
              </w:rPr>
              <w:t>,</w:t>
            </w:r>
            <w:r>
              <w:rPr>
                <w:rFonts w:hint="eastAsia" w:ascii="方正书宋_GBK" w:eastAsia="方正书宋_GBK"/>
              </w:rPr>
              <w:t>及时解决其他民族宗教问题。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维稳突出问题解决率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天主教神职人员补助覆盖率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三、政法综治稳定和国家安全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、贯彻实施国家安全战略，推进国家安全法制建设，贯彻落实国家安全工作方针，研究解决涉及国家安全工作的重大问题。</w:t>
            </w:r>
            <w:r>
              <w:rPr>
                <w:rFonts w:ascii="方正书宋_GBK" w:eastAsia="方正书宋_GBK"/>
              </w:rPr>
              <w:t>2</w:t>
            </w:r>
            <w:r>
              <w:rPr>
                <w:rFonts w:hint="eastAsia" w:ascii="方正书宋_GBK" w:eastAsia="方正书宋_GBK"/>
              </w:rPr>
              <w:t>、推进社会治安综合治理，维护社会稳定，有效地维护本乡镇的可持续稳定。同时抓好全民普法工作，推进依法治理。</w:t>
            </w:r>
            <w:r>
              <w:rPr>
                <w:rFonts w:ascii="方正书宋_GBK" w:eastAsia="方正书宋_GBK"/>
              </w:rPr>
              <w:t>3</w:t>
            </w:r>
            <w:r>
              <w:rPr>
                <w:rFonts w:hint="eastAsia" w:ascii="方正书宋_GBK" w:eastAsia="方正书宋_GBK"/>
              </w:rPr>
              <w:t>、加强政法队伍建设和领导班子建设。</w:t>
            </w:r>
            <w:r>
              <w:rPr>
                <w:rFonts w:ascii="方正书宋_GBK" w:eastAsia="方正书宋_GBK"/>
              </w:rPr>
              <w:t>4</w:t>
            </w:r>
            <w:r>
              <w:rPr>
                <w:rFonts w:hint="eastAsia" w:ascii="方正书宋_GBK" w:eastAsia="方正书宋_GBK"/>
              </w:rPr>
              <w:t>、受理并查处涉法信访案件工作，促进司法公正。</w:t>
            </w:r>
            <w:r>
              <w:rPr>
                <w:rFonts w:ascii="方正书宋_GBK" w:eastAsia="方正书宋_GBK"/>
              </w:rPr>
              <w:t>5</w:t>
            </w:r>
            <w:r>
              <w:rPr>
                <w:rFonts w:hint="eastAsia" w:ascii="方正书宋_GBK" w:eastAsia="方正书宋_GBK"/>
              </w:rPr>
              <w:t>、坚持社会治安综合治理属地管理原则，抓好目标管理责任制、领导责任制、责任追究和一票否决权等</w:t>
            </w:r>
            <w:r>
              <w:rPr>
                <w:rFonts w:ascii="方正书宋_GBK" w:eastAsia="方正书宋_GBK"/>
              </w:rPr>
              <w:t xml:space="preserve"> </w:t>
            </w:r>
            <w:r>
              <w:rPr>
                <w:rFonts w:hint="eastAsia" w:ascii="方正书宋_GBK" w:eastAsia="方正书宋_GBK"/>
              </w:rPr>
              <w:t>制度的落实，抓好中小学校的社会治安综合治理和所辖乡镇铁路治安联防护路等工作。</w:t>
            </w:r>
            <w:r>
              <w:rPr>
                <w:rFonts w:ascii="方正书宋_GBK" w:eastAsia="方正书宋_GBK"/>
              </w:rPr>
              <w:t>6</w:t>
            </w:r>
            <w:r>
              <w:rPr>
                <w:rFonts w:hint="eastAsia" w:ascii="方正书宋_GBK" w:eastAsia="方正书宋_GBK"/>
              </w:rPr>
              <w:t>、依法打击并取缔各种非法宗教活动。</w:t>
            </w:r>
            <w:r>
              <w:rPr>
                <w:rFonts w:ascii="方正书宋_GBK" w:eastAsia="方正书宋_GBK"/>
              </w:rPr>
              <w:t>7</w:t>
            </w:r>
            <w:r>
              <w:rPr>
                <w:rFonts w:hint="eastAsia" w:ascii="方正书宋_GBK" w:eastAsia="方正书宋_GBK"/>
              </w:rPr>
              <w:t>、矛</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抓好乡镇政法综治稳定工作，预防减少不稳定因素的发生，有效化解不稳定隐患、群体性事件和突发事件，维护国家安全工作。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、协调维护社会稳定和国家安全</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排查、化解影响社会稳定的重大不稳定隐患、群体性事件和突发事件及影响国家安全的事件。</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协调督导事项化解率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安保活动圆满完成情况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、涉法涉诉信访工作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强化接访中心建设，切实提高接访中心吸附力。积极推进涉法涉诉信访工作改革，把涉法涉诉信访问题的解决导入法治轨道。</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办结率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完成较好</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、矛盾纠纷排查化解</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完善矛盾纠纷排查机制，对乡镇内矛盾纠纷随时排查及时化解，做到小事不出村，大事不出镇，把矛盾化解在基层、化解在萌芽状态。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矛盾纠纷排查率</w:t>
            </w:r>
            <w:r>
              <w:rPr>
                <w:rFonts w:ascii="方正书宋_GBK" w:eastAsia="方正书宋_GBK"/>
              </w:rPr>
              <w:t>100%</w:t>
            </w:r>
            <w:r>
              <w:rPr>
                <w:rFonts w:hint="eastAsia" w:ascii="方正书宋_GBK" w:eastAsia="方正书宋_GBK"/>
              </w:rPr>
              <w:t>，化解率</w:t>
            </w:r>
            <w:r>
              <w:rPr>
                <w:rFonts w:ascii="方正书宋_GBK" w:eastAsia="方正书宋_GBK"/>
              </w:rPr>
              <w:t>98%</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排查率、化解率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完成较好</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、铁路护路联防工作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组织开展好全国两会及其他重要时期铁路护路联防工作，维护好铁路的安全运行，保障铁路运输安全。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保障铁路运输安全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保障安全畅通</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完成较好</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四、社会管理与服务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157.98</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组织指导基层政权和社区建设；推进社会工作人员队伍建设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推进乡镇社会组织健康发展，优化行政区划空间布局，建立健全城乡基层群众自治组织，逐步实现社会工作者专业化、职业化。</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、基层政权和社区建设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157.98</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建立健全城乡基层群众自治组织，在村（居）民委员会实行</w:t>
            </w:r>
            <w:r>
              <w:rPr>
                <w:rFonts w:hint="cs" w:ascii="方正书宋_GBK" w:eastAsia="方正书宋_GBK"/>
              </w:rPr>
              <w:t>“</w:t>
            </w:r>
            <w:r>
              <w:rPr>
                <w:rFonts w:hint="eastAsia" w:ascii="方正书宋_GBK" w:eastAsia="方正书宋_GBK"/>
              </w:rPr>
              <w:t>四个民主</w:t>
            </w:r>
            <w:r>
              <w:rPr>
                <w:rFonts w:hint="cs" w:ascii="方正书宋_GBK" w:eastAsia="方正书宋_GBK"/>
              </w:rPr>
              <w:t>”</w:t>
            </w:r>
            <w:r>
              <w:rPr>
                <w:rFonts w:hint="eastAsia" w:ascii="方正书宋_GBK" w:eastAsia="方正书宋_GBK"/>
              </w:rPr>
              <w:t>；按照</w:t>
            </w:r>
            <w:r>
              <w:rPr>
                <w:rFonts w:hint="cs" w:ascii="方正书宋_GBK" w:eastAsia="方正书宋_GBK"/>
              </w:rPr>
              <w:t>“</w:t>
            </w:r>
            <w:r>
              <w:rPr>
                <w:rFonts w:hint="eastAsia" w:ascii="方正书宋_GBK" w:eastAsia="方正书宋_GBK"/>
              </w:rPr>
              <w:t>四有一创</w:t>
            </w:r>
            <w:r>
              <w:rPr>
                <w:rFonts w:hint="cs" w:ascii="方正书宋_GBK" w:eastAsia="方正书宋_GBK"/>
              </w:rPr>
              <w:t>”</w:t>
            </w:r>
            <w:r>
              <w:rPr>
                <w:rFonts w:hint="eastAsia" w:ascii="方正书宋_GBK" w:eastAsia="方正书宋_GBK"/>
              </w:rPr>
              <w:t>标准开展城市社区建设，按照农村社区建设实验全覆盖创建标准开展农村社区建设。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村民委员会换届选举率达到或超过上届水平。</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社区综合设施覆盖率达到全国平均水平</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77.4%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76.4%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开展农村社区建设的建制村到达全国平均水平</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41.53%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40.53%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39.53%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五、政府专项工作服务与管理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政府采购、农村综合改革、政府债务、综合治税、政府购买服务、规范津补贴等政府专项工作的服务与管理。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各专项工作依法规范管理，政策制度健全，执行程序规范，管控有力有效，各项政策落实，各项服务到位，业务风险有效控制，资金分配规范合理，经费使用节约。</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、政府债务管理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加强政府债券管理和土储融资审核；编制月季年报并上报分析材料；实施风险预警及专项检查与监督。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有效发挥政府规范举债的积极作用，规范政府债务管理，防范政府债务风险</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乡镇债务风险警戒值</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全部低于财政部风险警戒标准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总体风险低于警戒标准，单项指标被风险预警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总体风险低于警戒标准，两个单项指标被风险预警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六、水利水电项目建设与管理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水利水电项目的建设与维护管理。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按期完成水利水电项目建设和维修管护任务，对社会稳定和经济发展起到积极作用</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、水利工程运行与维护</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开展河道堤防、水库、水闸、排灌泵站、水文等水利工程运行管理和加强对乡镇水利行业的安全生产监督、检查。对水利工程进行维修养护，确保工程安全运行。</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年度维修养护工程质量全部合格，工程正常运行。</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工程质量验收合格率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工程运行故障率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、农田水利建设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建设小型农田水利设施，实施节水灌溉、灌区续建配套与节水改造等，推广综合节水技术，农业水价综合改革，开展乡镇水利站建设。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提高农业用水效率、改善农业生产条件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、水库移民安置及后期管理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落实水库移民政策，扶持移民发展生产，保持移民稳定。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增加移民收入，改善移民生产生活条件，促进移民稳定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移民政策落实率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、保障农村饮水安全</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在全县范围内通过实施农村饮水安全项目，解决农村居民饮水不安全问题。</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保障农村供水安全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七、水利科技支撑和公共服务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组织开展乡镇水利事业建设的科技创新和技术示范推广，为水利事业科学发展提供公共支撑。</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示范推广水利工程和管理技术，提高水利事业管理水平。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、防汛抗旱</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负责乡镇防汛抗旱组织建设，应急调度，建设应急度汛、抗旱应急、海堤、山洪灾害防治项目，储备管理防汛抗旱物资，建设水利信息化基础设施，提高乡镇抗御水旱灾害能力。</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发挥防汛抗旱减灾体系作用，最大限度地减少水旱灾害造成的人员伤亡和财产损失。</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八、城乡建设管理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乡镇公用设施建设、安全和应急管理；落实村庄和小城镇建设政策；指导农村住房建设、住房安全和危房改造；改善小城镇和村庄人居环境。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加强村镇建设，改善农村人居环境，实现城乡统筹发展。协调和指导推进城镇化工作，加快城镇化进程。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、公用设施建设与管理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开展乡镇供水、节水、燃气、热力、市政设施、园林、污水处理、垃圾处理等设施建设，开展乡镇的绿化和生物多样性工作；组织实施城镇绿道绿廊建设；进行公用设施安全和应急管理。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加强乡镇基础设施建设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基础设施建设工作目标完成率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、推进城镇化建设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结合本年乡镇建设工作重点，结合上级对乡镇建设工作考核评价指标体系，对乡镇建设工作进行评价，结果纳入乡镇领导综合考核评价</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危房改造完成率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垃圾处理率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乡镇建设工作考核完成率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九、交通运输基础设施建设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完成交通基础设施投资；管理乡镇重点工程建设、工程质量和安全生产，对项目招投标活动进行监督管理。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投资建设普通公路及农村公路；进行场站建设；建设物流园区</w:t>
            </w:r>
            <w:r>
              <w:rPr>
                <w:rFonts w:ascii="方正书宋_GBK" w:eastAsia="方正书宋_GBK"/>
              </w:rPr>
              <w:t>(</w:t>
            </w:r>
            <w:r>
              <w:rPr>
                <w:rFonts w:hint="eastAsia" w:ascii="方正书宋_GBK" w:eastAsia="方正书宋_GBK"/>
              </w:rPr>
              <w:t>中心</w:t>
            </w:r>
            <w:r>
              <w:rPr>
                <w:rFonts w:ascii="方正书宋_GBK" w:eastAsia="方正书宋_GBK"/>
              </w:rPr>
              <w:t>)</w:t>
            </w:r>
            <w:r>
              <w:rPr>
                <w:rFonts w:hint="eastAsia" w:ascii="方正书宋_GBK" w:eastAsia="方正书宋_GBK"/>
              </w:rPr>
              <w:t>项目；扩大农村客运站点、候车亭、招呼牌建设；保障交通基础设施建设项目质量。</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、开展交通基础设施建设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监管乡镇公路、水路、地方铁路建设市场，对公路、水路、地方铁路等有关重点工程建设、工程质量和安全生产及行业招投标活动进行监督和管理，做好建设过程中的协调管理工作。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公路、水路建设市场运转有序，各项业务顺利开展，工作按时完成。</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交通基础设施建设重点项目完成率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十、交通运输基础设施养护、维护</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开展交通运输基础设施养护、维护，对项目招投标活动进行监督管理。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完成路基路面大中型维修，加固桥梁，治理隐患；开展高速绿色廊道建设；农村公路养护实施</w:t>
            </w:r>
            <w:r>
              <w:rPr>
                <w:rFonts w:hint="cs" w:ascii="方正书宋_GBK" w:eastAsia="方正书宋_GBK"/>
              </w:rPr>
              <w:t>“</w:t>
            </w:r>
            <w:r>
              <w:rPr>
                <w:rFonts w:hint="eastAsia" w:ascii="方正书宋_GBK" w:eastAsia="方正书宋_GBK"/>
              </w:rPr>
              <w:t>以奖代补</w:t>
            </w:r>
            <w:r>
              <w:rPr>
                <w:rFonts w:hint="cs" w:ascii="方正书宋_GBK" w:eastAsia="方正书宋_GBK"/>
              </w:rPr>
              <w:t>”</w:t>
            </w:r>
            <w:r>
              <w:rPr>
                <w:rFonts w:hint="eastAsia" w:ascii="方正书宋_GBK" w:eastAsia="方正书宋_GBK"/>
              </w:rPr>
              <w:t>。</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、公路建设管理养护基础数据采集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按时、保质、保量完成数据采集分析，为公路管理提供依据和支持。</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公路基础信息数据更新率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公路基础信息数据使用率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、公路、水运工程养护监督和管理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对公路、水运工程及其设施养护工程质量安全及招投标活动进行监督和管理。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各项业务顺利开展，按时完成工作。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工作质量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按时完成工作，质量高</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按时完成工作，质量一般</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基本完成工作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项目质量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合格</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十一、农村文化建设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协助完成国家下达的广播电视直播卫星户户通工程、农村电影工作、数字影院升级改造、农家书屋建设、全民阅读活动、老放映员生活补助以及应急广播体系建设等任务目标。</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、公共服务工程推广</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10.56</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农家书屋建设、群众文化体育活动、全民阅读活动、老放映员生活补助以及应急广播体系建设等任务目标。</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群众文化体育活动组织覆盖率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农村公益电影放映完成率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民间交流次数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对外交流次数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户户通工程任务完成率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老放映员补助到位率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全民阅读活动任务完成率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农家书屋更新完成率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应急广播体系建设任务完成率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十二、医疗保障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通过贯彻实施新型农村合作医疗、疾病应急救助、城乡居民大病保险以及公费医疗等制度，保障人民群众公平享有所需医疗服务权益。</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扩大各项保险的覆盖面，及时足额落实社会保险待遇。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、新型农村合作医疗及城乡居民大病保险</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有效降低城乡居民看病就医的经济负担。</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新农合参合率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十三、计划生育</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提供各类计划生育技术服务，开展出生人口性别比治理以及流动人口计划生育管理等各项工作。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、计划生育服务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改善乡镇农村计划怀孕夫妇健康状况，有效降低出生缺陷发生风险；为各类育龄人群提供安全、有效避孕节育技术服务；健全完善流动人口管理机制。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免费孕前优生健康检查目标人群覆盖率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十四、政务管理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126.46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承担系统综合业务管理和部门综合事务管理。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促进乡镇机关事务管理工作科学发展。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126.46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搞好服务保障，为广大干部职工提供安全、快捷、细致、周到的工作环境；加强财务管理，确保资金安全，提高财政资金使用效益。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十五、环境污染综合防治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16.45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贯彻落实大气、水体、固体废物、化学品、机动车等污染防治管理制度，开展饮用水水源地环境保护。</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加强大气、水体、机动车污染防治，加强固体废弃物、重金属等重点污染治理工程的防治工作。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、大气污染防治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16.45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重点对</w:t>
            </w:r>
            <w:r>
              <w:rPr>
                <w:rFonts w:ascii="方正书宋_GBK" w:eastAsia="方正书宋_GBK"/>
              </w:rPr>
              <w:t>PM</w:t>
            </w:r>
            <w:r>
              <w:rPr>
                <w:rFonts w:hint="eastAsia" w:ascii="方正书宋_GBK" w:eastAsia="方正书宋_GBK"/>
              </w:rPr>
              <w:t>、</w:t>
            </w:r>
            <w:r>
              <w:rPr>
                <w:rFonts w:ascii="方正书宋_GBK" w:eastAsia="方正书宋_GBK"/>
              </w:rPr>
              <w:t>VOC</w:t>
            </w:r>
            <w:r>
              <w:rPr>
                <w:rFonts w:hint="eastAsia" w:ascii="方正书宋_GBK" w:eastAsia="方正书宋_GBK"/>
              </w:rPr>
              <w:t>、二氧化硫等大气污染物进行综合防治，推动城镇环境空气质量改善。</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加强大气污染防治，推动城市环境空气质量改善。</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VOC</w:t>
            </w:r>
            <w:r>
              <w:rPr>
                <w:rFonts w:hint="eastAsia" w:ascii="方正书宋_GBK" w:eastAsia="方正书宋_GBK"/>
              </w:rPr>
              <w:t>排放消减率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十六、自然生态保护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强化生态保护和监察监管，提高自然保护区建设水平，加强生物多样性保护力度，提升农村生态环境质量。</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加强自然生态保护。</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、农村环境综合整治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解决农村区域性突出环境问题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试点、示范区域村庄污水处理率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十七、信访问题处理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负责正常信访、非访、突发性及群体性事件的办理；提供相关服务保障；协助区信访局处理群众进京上访；信访事项督查、复查复核、听证。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及时办理正常信访业务，妥善处置非访、突发性及群体性事件，对信访事项督查、复查复核、听证。</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、办理正常信访业务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办理人民群众来信、来访、网上信访；处理乡镇群众进京上访。</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十八、民兵训练和专武干部培训</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加强后备力量建设，培养</w:t>
            </w:r>
            <w:r>
              <w:rPr>
                <w:rFonts w:hint="cs" w:ascii="方正书宋_GBK" w:eastAsia="方正书宋_GBK"/>
              </w:rPr>
              <w:t>“</w:t>
            </w:r>
            <w:r>
              <w:rPr>
                <w:rFonts w:hint="eastAsia" w:ascii="方正书宋_GBK" w:eastAsia="方正书宋_GBK"/>
              </w:rPr>
              <w:t>劳武</w:t>
            </w:r>
            <w:r>
              <w:rPr>
                <w:rFonts w:hint="cs" w:ascii="方正书宋_GBK" w:eastAsia="方正书宋_GBK"/>
              </w:rPr>
              <w:t>”</w:t>
            </w:r>
            <w:r>
              <w:rPr>
                <w:rFonts w:hint="eastAsia" w:ascii="方正书宋_GBK" w:eastAsia="方正书宋_GBK"/>
              </w:rPr>
              <w:t>两用人才的人民武装建设的基地。</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w:t>
            </w:r>
            <w:r>
              <w:rPr>
                <w:rFonts w:hint="cs" w:ascii="方正书宋_GBK" w:eastAsia="方正书宋_GBK"/>
              </w:rPr>
              <w:t>“</w:t>
            </w:r>
            <w:r>
              <w:rPr>
                <w:rFonts w:hint="eastAsia" w:ascii="方正书宋_GBK" w:eastAsia="方正书宋_GBK"/>
              </w:rPr>
              <w:t>严格训练、严格要求</w:t>
            </w:r>
            <w:r>
              <w:rPr>
                <w:rFonts w:hint="cs" w:ascii="方正书宋_GBK" w:eastAsia="方正书宋_GBK"/>
              </w:rPr>
              <w:t>”</w:t>
            </w:r>
            <w:r>
              <w:rPr>
                <w:rFonts w:hint="eastAsia" w:ascii="方正书宋_GBK" w:eastAsia="方正书宋_GBK"/>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、民兵训练和专武干部培训</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根据上级要求，认真</w:t>
            </w:r>
            <w:r>
              <w:rPr>
                <w:rFonts w:hint="eastAsia" w:ascii="方正书宋_GBK" w:eastAsia="方正书宋_GBK"/>
                <w:lang w:eastAsia="zh-CN"/>
              </w:rPr>
              <w:t>制订</w:t>
            </w:r>
            <w:r>
              <w:rPr>
                <w:rFonts w:hint="eastAsia" w:ascii="方正书宋_GBK" w:eastAsia="方正书宋_GBK"/>
              </w:rPr>
              <w:t>基干民兵和专武干部培训计划和方案，严格组织人员按质按量完成训练任务。保证装备器材的良好状态，随时执行紧急拉动和应急任务。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十九、义务教育</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提高义务教育公用经费保障水平，改善办学条件，均衡配置基础教育资源，缩小城乡、区域、校际之间办学差距，落实学生资助政策。</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、改善薄弱学校办学条件</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保障义务教育阶段薄弱学校基本教学条件，改善学校生活设施，办好必要的教学点，解决乡镇学校大班额问题，推进农村学校教育信息化。</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2014</w:t>
            </w:r>
            <w:r>
              <w:rPr>
                <w:rFonts w:hint="eastAsia" w:ascii="方正书宋_GBK" w:eastAsia="方正书宋_GBK"/>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中小学生均校舍面积</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二十、食品药品安全管理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对食品制作流通各环节进行监管，及时发现和排除食品安全问题，确保大型活动期间的餐饮安全。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、食品（含保健品）安全监管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通过对食品生产、流通、餐饮消费、保健食品的各个环节抽验和强力监管，及时发现和排除食品安全问题</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确保食品安全，重大活动和暑期食品不出现重大事故，保证人民群众饮食安全。不出现重大食品安全事故</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重大食品事故案件（个）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、重大活动餐饮服务食品安全保障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规范重大活动餐饮服务单位食品安全监管，确保大型政治、经济、文化、体育活动及举办各类大型会议、展览会和赛事等活动期间的餐饮服务食品安全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提升重大活动餐饮服务食品安全监管水平；规范重大活动餐饮服务单位食品安全监管；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重大活动餐饮服务接待单位预监督率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强化监管手段，组织开展食品药品科研项目、监督、检查、检测、案件处置、统计分析、信息公开、宣传教育等各项综合业务工作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食品药品检验能力进一步提升，监管能力全面提升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检验监测能力与检测需求比率相适应</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二十一、安全生产综合监督管理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承担全县安全生产综合监督管理责任，依法行使综合监督管理职权；根据</w:t>
            </w:r>
            <w:r>
              <w:rPr>
                <w:rFonts w:hint="eastAsia" w:ascii="方正书宋_GBK" w:eastAsia="方正书宋_GBK"/>
                <w:lang w:eastAsia="zh-CN"/>
              </w:rPr>
              <w:t>《中华人民共和国安全生产法》</w:t>
            </w:r>
            <w:r>
              <w:rPr>
                <w:rFonts w:hint="eastAsia" w:ascii="方正书宋_GBK" w:eastAsia="方正书宋_GBK"/>
              </w:rPr>
              <w:t>、《安全生产违法行为行政处罚办法》等法律法规，依法开展执法检查工作，对发现的安全生产违法行为依法进行行政处罚，遏制重特大事故发生，确保全县安全生产形势稳定好转。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对重点行业和作业场所职业卫生安全生产加强行政执法监察；开展重大危险源执法检查工作；开展安全事故检查及安全生产宣传教育活动；促进企业全面落实安全生产诚信管理。</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、加强安全生产综合监督管理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、加强重大危险源安全管理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加强重大危险源的监测、监控、辨识与评估及登记建档、备案与核销等安全管理；开展重大危险源执法检查工作。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科学准确进行重大危险源等级界定；有效开展监测数据的综合分析、数据发布工作；督促企业切实加强危险源监控，有效治理隐患，落实监管责任</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专项检查次数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二十二、防灾减灾救灾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组织开展乡镇防灾减灾救灾工作；组织救灾捐赠工作，负责救灾捐赠款物的接收和分配。</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实施分类救助，保障受灾群众基本生活。</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、防灾减灾及救灾准备</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组织乡级防灾减灾及救灾活动；提高专业队伍业务素质。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提高公民避灾自救能力和防灾减灾意识，提升重大自然灾害防御能力；提高专业队伍业务素质；保障上级救灾物资及时组织发放，提高抗灾水平。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组织防灾减灾及救灾准备活动次数（次）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、灾民救助</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救灾措施到位率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突发灾害报灾时效性和准确性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小时内，准确度</w:t>
            </w:r>
            <w:r>
              <w:rPr>
                <w:rFonts w:ascii="方正书宋_GBK" w:eastAsia="方正书宋_GBK"/>
              </w:rPr>
              <w:t>98%</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r>
              <w:rPr>
                <w:rFonts w:hint="eastAsia" w:ascii="方正书宋_GBK" w:eastAsia="方正书宋_GBK"/>
              </w:rPr>
              <w:t>小时内，准确度</w:t>
            </w: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r>
              <w:rPr>
                <w:rFonts w:hint="eastAsia" w:ascii="方正书宋_GBK" w:eastAsia="方正书宋_GBK"/>
              </w:rPr>
              <w:t>小时内，准确度</w:t>
            </w: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超出</w:t>
            </w:r>
            <w:r>
              <w:rPr>
                <w:rFonts w:ascii="方正书宋_GBK" w:eastAsia="方正书宋_GBK"/>
              </w:rPr>
              <w:t>24</w:t>
            </w:r>
            <w:r>
              <w:rPr>
                <w:rFonts w:hint="eastAsia" w:ascii="方正书宋_GBK" w:eastAsia="方正书宋_GBK"/>
              </w:rPr>
              <w:t>小时，准确度低于</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二十三、扶持农产品生产</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对生产者采取直接补贴的办法，支持推广优良品种、先进适用种养技术，实施科学管理</w:t>
            </w:r>
            <w:r>
              <w:rPr>
                <w:rFonts w:ascii="方正书宋_GBK" w:eastAsia="方正书宋_GBK"/>
              </w:rPr>
              <w:t>,</w:t>
            </w:r>
            <w:r>
              <w:rPr>
                <w:rFonts w:hint="eastAsia" w:ascii="方正书宋_GBK" w:eastAsia="方正书宋_GBK"/>
              </w:rPr>
              <w:t>提高农产品产量、质量，提高生产经营效益。</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提高农产品产量和产量，优化农业产业结构，提高经济效益，增加农民收入。</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、实施良种补贴</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按照国家、省部署，对全乡主要粮食作物和猪、牛、羊、鸡等畜产品生产实施良种补贴。</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小麦、玉米、水稻、棉花良种补贴全覆盖。畜牧、水产品种优良化率持续提高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良种补贴覆盖率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、实施菜篮子工程</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w:t>
            </w:r>
            <w:r>
              <w:rPr>
                <w:rFonts w:hint="cs" w:ascii="方正书宋_GBK" w:eastAsia="方正书宋_GBK"/>
              </w:rPr>
              <w:t>“</w:t>
            </w:r>
            <w:r>
              <w:rPr>
                <w:rFonts w:hint="eastAsia" w:ascii="方正书宋_GBK" w:eastAsia="方正书宋_GBK"/>
              </w:rPr>
              <w:t>菜篮子</w:t>
            </w:r>
            <w:r>
              <w:rPr>
                <w:rFonts w:hint="cs" w:ascii="方正书宋_GBK" w:eastAsia="方正书宋_GBK"/>
              </w:rPr>
              <w:t>”</w:t>
            </w:r>
            <w:r>
              <w:rPr>
                <w:rFonts w:hint="eastAsia" w:ascii="方正书宋_GBK" w:eastAsia="方正书宋_GBK"/>
              </w:rPr>
              <w:t>产品生产向规模化、园区化、设施化、标准化和产销一体化发展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按要求完成畜禽标准化健康养殖规模场改造任务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蔬菜标准园创建完成率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二十四、完善农村经营管理体制</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、促进土地流转</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建设土地流转有形市场。</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指导全乡建立运转顺畅、便捷高效的农村土地承包经营权流转服务平台，带动土地流转依法、有序开展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土地流转提高率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、土地确权登记</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根据国家要求开展农村土地承包经营确权登记试点，并逐步向全县全面推开。</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完成全乡耕地面积</w:t>
            </w:r>
            <w:r>
              <w:rPr>
                <w:rFonts w:ascii="方正书宋_GBK" w:eastAsia="方正书宋_GBK"/>
              </w:rPr>
              <w:t>50%</w:t>
            </w:r>
            <w:r>
              <w:rPr>
                <w:rFonts w:hint="eastAsia" w:ascii="方正书宋_GBK" w:eastAsia="方正书宋_GBK"/>
              </w:rPr>
              <w:t>的确权登记颁证目标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农村土地承包土地确权登记颁证率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、农村经营管理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支持农民专业合作组织规范、健康发展。建立健全农村集体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管理制度，盘活集体存量资产资源，拓宽集体增收渠道，促进农村集体资产保值增值。</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管理制度，指导农村经济组织健康、规范发展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村集体经济业务规范率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二十五、林业生态建设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完成国家下达和省委省政府</w:t>
            </w:r>
            <w:r>
              <w:rPr>
                <w:rFonts w:hint="eastAsia" w:ascii="方正书宋_GBK" w:eastAsia="方正书宋_GBK"/>
                <w:lang w:eastAsia="zh-CN"/>
              </w:rPr>
              <w:t>制订</w:t>
            </w:r>
            <w:r>
              <w:rPr>
                <w:rFonts w:hint="eastAsia" w:ascii="方正书宋_GBK" w:eastAsia="方正书宋_GBK"/>
              </w:rPr>
              <w:t>的造林任务及全区森林覆盖率考核目标。有效改善生态环境。</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、造林绿化</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增加有林地面积，提高乡镇绿化水平和森林覆盖率，改善生态环境。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全乡镇完成年初造林绿化任务。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森林覆盖率提高</w:t>
            </w:r>
            <w:r>
              <w:rPr>
                <w:rFonts w:ascii="方正书宋_GBK" w:eastAsia="方正书宋_GBK"/>
              </w:rPr>
              <w:t>1</w:t>
            </w:r>
            <w:r>
              <w:rPr>
                <w:rFonts w:hint="eastAsia" w:ascii="方正书宋_GBK" w:eastAsia="方正书宋_GBK"/>
              </w:rPr>
              <w:t>个百分点。</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二十六、推进新农村建设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通过实施农村面貌改造提升行动，加快建设社会主义新农村。</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、农村面貌改造提升</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按照统筹城乡发展要求，以</w:t>
            </w:r>
            <w:r>
              <w:rPr>
                <w:rFonts w:hint="cs" w:ascii="方正书宋_GBK" w:eastAsia="方正书宋_GBK"/>
              </w:rPr>
              <w:t>“</w:t>
            </w:r>
            <w:r>
              <w:rPr>
                <w:rFonts w:hint="eastAsia" w:ascii="方正书宋_GBK" w:eastAsia="方正书宋_GBK"/>
              </w:rPr>
              <w:t>保持田园风光、增加现代设施、绿化村落庭院、传承优秀文化</w:t>
            </w:r>
            <w:r>
              <w:rPr>
                <w:rFonts w:hint="cs" w:ascii="方正书宋_GBK" w:eastAsia="方正书宋_GBK"/>
              </w:rPr>
              <w:t>”</w:t>
            </w:r>
            <w:r>
              <w:rPr>
                <w:rFonts w:hint="eastAsia" w:ascii="方正书宋_GBK" w:eastAsia="方正书宋_GBK"/>
              </w:rPr>
              <w:t>为重点，组织实施农村面貌改造提升行动。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围绕农村改造</w:t>
            </w:r>
            <w:r>
              <w:rPr>
                <w:rFonts w:ascii="方正书宋_GBK" w:eastAsia="方正书宋_GBK"/>
              </w:rPr>
              <w:t>15</w:t>
            </w:r>
            <w:r>
              <w:rPr>
                <w:rFonts w:hint="eastAsia" w:ascii="方正书宋_GBK" w:eastAsia="方正书宋_GBK"/>
              </w:rPr>
              <w:t>件实事，突出重点，因地制宜，开展农村面貌改造提升。按照分期分批推进的要求，每年选定一批重点村实施改造提升。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重点村改造提升完成率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、美丽乡村建设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按照市、县统筹城乡发展的要求，以</w:t>
            </w:r>
            <w:r>
              <w:rPr>
                <w:rFonts w:hint="cs" w:ascii="方正书宋_GBK" w:eastAsia="方正书宋_GBK"/>
              </w:rPr>
              <w:t>“</w:t>
            </w:r>
            <w:r>
              <w:rPr>
                <w:rFonts w:hint="eastAsia" w:ascii="方正书宋_GBK" w:eastAsia="方正书宋_GBK"/>
              </w:rPr>
              <w:t>环境美、产业美、精神美、生态美</w:t>
            </w:r>
            <w:r>
              <w:rPr>
                <w:rFonts w:hint="cs" w:ascii="方正书宋_GBK" w:eastAsia="方正书宋_GBK"/>
              </w:rPr>
              <w:t>”</w:t>
            </w:r>
            <w:r>
              <w:rPr>
                <w:rFonts w:hint="eastAsia" w:ascii="方正书宋_GBK" w:eastAsia="方正书宋_GBK"/>
              </w:rPr>
              <w:t>为重点，大力推进美丽乡村建设。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突出重点，因地制宜，按照分期分批推进的要求，每年选定一批重点村实施改造提升。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村民满意度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美丽乡村建设重点村任务完成率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bl>
    <w:p>
      <w:pPr>
        <w:jc w:val="center"/>
        <w:outlineLvl w:val="0"/>
        <w:rPr>
          <w:rFonts w:ascii="方正小标宋_GBK" w:hAnsi="Calibri" w:eastAsia="方正小标宋_GBK" w:cs="Times New Roman"/>
          <w:sz w:val="32"/>
        </w:rPr>
      </w:pPr>
    </w:p>
    <w:bookmarkEnd w:id="1"/>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2019年，我部门无政府采购预算，空表列示。</w:t>
      </w:r>
    </w:p>
    <w:tbl>
      <w:tblPr>
        <w:tblStyle w:val="8"/>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left"/>
              <w:rPr>
                <w:rFonts w:ascii="方正小标宋_GBK" w:eastAsia="方正小标宋_GBK"/>
                <w:sz w:val="24"/>
              </w:rPr>
            </w:pP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上年末我部门固定资产总金额为396.07万元（详见下表）。我部门本年度无国有资产购置计划，拟购置金额为</w:t>
      </w:r>
      <w:r>
        <w:rPr>
          <w:rFonts w:ascii="仿宋" w:hAnsi="仿宋" w:eastAsia="仿宋"/>
          <w:sz w:val="32"/>
          <w:szCs w:val="32"/>
        </w:rPr>
        <w:t>0。</w:t>
      </w:r>
    </w:p>
    <w:tbl>
      <w:tblPr>
        <w:tblStyle w:val="8"/>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截止时间：2018年12月31日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396.07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4948</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210.92</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4108</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202.92</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21.75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b/>
                <w:kern w:val="0"/>
                <w:sz w:val="24"/>
                <w:szCs w:val="24"/>
              </w:rPr>
              <w:t>--</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163.4</w:t>
            </w: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73602"/>
      <w:docPartObj>
        <w:docPartGallery w:val="autotext"/>
      </w:docPartObj>
    </w:sdtPr>
    <w:sdtContent>
      <w:p>
        <w:pPr>
          <w:pStyle w:val="3"/>
          <w:jc w:val="center"/>
        </w:pPr>
        <w:r>
          <w:fldChar w:fldCharType="begin"/>
        </w:r>
        <w:r>
          <w:instrText xml:space="preserve">PAGE   \* MERGEFORMAT</w:instrText>
        </w:r>
        <w:r>
          <w:fldChar w:fldCharType="separate"/>
        </w:r>
        <w:r>
          <w:rPr>
            <w:lang w:val="zh-CN"/>
          </w:rPr>
          <w:t>27</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pPr>
      <w:r>
        <w:rPr>
          <w:rStyle w:val="10"/>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E3Yzk4NGZhNDQwMzQxNjY4ZTc5ZmI0NDNkZjVlOGQifQ=="/>
  </w:docVars>
  <w:rsids>
    <w:rsidRoot w:val="00055F1F"/>
    <w:rsid w:val="00013B8A"/>
    <w:rsid w:val="00044FBC"/>
    <w:rsid w:val="00055F1F"/>
    <w:rsid w:val="00057F18"/>
    <w:rsid w:val="000A445D"/>
    <w:rsid w:val="00131DEC"/>
    <w:rsid w:val="001462BD"/>
    <w:rsid w:val="00152380"/>
    <w:rsid w:val="001638BE"/>
    <w:rsid w:val="00181777"/>
    <w:rsid w:val="001B4688"/>
    <w:rsid w:val="001F4875"/>
    <w:rsid w:val="0025479C"/>
    <w:rsid w:val="002918C6"/>
    <w:rsid w:val="00296524"/>
    <w:rsid w:val="002E01F6"/>
    <w:rsid w:val="002F530F"/>
    <w:rsid w:val="00305E97"/>
    <w:rsid w:val="0032782B"/>
    <w:rsid w:val="00340B3D"/>
    <w:rsid w:val="00367A30"/>
    <w:rsid w:val="003A06D2"/>
    <w:rsid w:val="003C2317"/>
    <w:rsid w:val="003C442E"/>
    <w:rsid w:val="003D1092"/>
    <w:rsid w:val="003D37CD"/>
    <w:rsid w:val="003E5531"/>
    <w:rsid w:val="0040243C"/>
    <w:rsid w:val="00406BD1"/>
    <w:rsid w:val="00426C19"/>
    <w:rsid w:val="00450FD9"/>
    <w:rsid w:val="00453CE0"/>
    <w:rsid w:val="00470BBB"/>
    <w:rsid w:val="0048611E"/>
    <w:rsid w:val="004B6929"/>
    <w:rsid w:val="004F3C52"/>
    <w:rsid w:val="00510A1E"/>
    <w:rsid w:val="00570142"/>
    <w:rsid w:val="00597613"/>
    <w:rsid w:val="005A3C66"/>
    <w:rsid w:val="005B1B6F"/>
    <w:rsid w:val="005B6CCB"/>
    <w:rsid w:val="005C30DA"/>
    <w:rsid w:val="005C54AA"/>
    <w:rsid w:val="005C7B89"/>
    <w:rsid w:val="005D10EB"/>
    <w:rsid w:val="00610157"/>
    <w:rsid w:val="0062788A"/>
    <w:rsid w:val="00641F8A"/>
    <w:rsid w:val="006C62DF"/>
    <w:rsid w:val="006F5104"/>
    <w:rsid w:val="00735B02"/>
    <w:rsid w:val="007657C8"/>
    <w:rsid w:val="00771E49"/>
    <w:rsid w:val="00782208"/>
    <w:rsid w:val="007C7FD7"/>
    <w:rsid w:val="007F3746"/>
    <w:rsid w:val="00833132"/>
    <w:rsid w:val="008672EA"/>
    <w:rsid w:val="00891680"/>
    <w:rsid w:val="008A0B5F"/>
    <w:rsid w:val="008B5402"/>
    <w:rsid w:val="008E7E95"/>
    <w:rsid w:val="0090527E"/>
    <w:rsid w:val="00905BB7"/>
    <w:rsid w:val="00912DA4"/>
    <w:rsid w:val="009302B8"/>
    <w:rsid w:val="009305C6"/>
    <w:rsid w:val="00962D23"/>
    <w:rsid w:val="009812B9"/>
    <w:rsid w:val="00982F3D"/>
    <w:rsid w:val="00A8079E"/>
    <w:rsid w:val="00A92D66"/>
    <w:rsid w:val="00AA4262"/>
    <w:rsid w:val="00AB5A90"/>
    <w:rsid w:val="00AE4AA5"/>
    <w:rsid w:val="00AE7FA9"/>
    <w:rsid w:val="00B147EB"/>
    <w:rsid w:val="00B21E70"/>
    <w:rsid w:val="00B80FAB"/>
    <w:rsid w:val="00B81C88"/>
    <w:rsid w:val="00B92E82"/>
    <w:rsid w:val="00BA5C83"/>
    <w:rsid w:val="00BC6A7D"/>
    <w:rsid w:val="00BD719F"/>
    <w:rsid w:val="00C177A5"/>
    <w:rsid w:val="00C6153C"/>
    <w:rsid w:val="00CC7D74"/>
    <w:rsid w:val="00D02F97"/>
    <w:rsid w:val="00D45530"/>
    <w:rsid w:val="00DA5DA7"/>
    <w:rsid w:val="00DE3935"/>
    <w:rsid w:val="00E2325B"/>
    <w:rsid w:val="00E24075"/>
    <w:rsid w:val="00E35F38"/>
    <w:rsid w:val="00E46F27"/>
    <w:rsid w:val="00E509CC"/>
    <w:rsid w:val="00E71A04"/>
    <w:rsid w:val="00E96342"/>
    <w:rsid w:val="00ED628A"/>
    <w:rsid w:val="00F000B1"/>
    <w:rsid w:val="00F012D3"/>
    <w:rsid w:val="00F10D04"/>
    <w:rsid w:val="00F572CB"/>
    <w:rsid w:val="00F621AF"/>
    <w:rsid w:val="00F753AB"/>
    <w:rsid w:val="00F82447"/>
    <w:rsid w:val="00F96B40"/>
    <w:rsid w:val="00FB2F32"/>
    <w:rsid w:val="00FE0F1F"/>
    <w:rsid w:val="00FF61F3"/>
    <w:rsid w:val="2AF46817"/>
    <w:rsid w:val="3FE929BD"/>
    <w:rsid w:val="40815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39"/>
    <w:rPr>
      <w:rFonts w:ascii="Calibri" w:hAnsi="Calibri" w:eastAsia="宋体" w:cs="Times New Roman"/>
    </w:rPr>
  </w:style>
  <w:style w:type="paragraph" w:styleId="6">
    <w:name w:val="footnote text"/>
    <w:basedOn w:val="1"/>
    <w:link w:val="16"/>
    <w:autoRedefine/>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autoRedefine/>
    <w:unhideWhenUsed/>
    <w:qFormat/>
    <w:uiPriority w:val="39"/>
    <w:pPr>
      <w:ind w:left="420" w:leftChars="200"/>
    </w:pPr>
    <w:rPr>
      <w:rFonts w:ascii="Calibri" w:hAnsi="Calibri" w:eastAsia="宋体" w:cs="Times New Roman"/>
    </w:rPr>
  </w:style>
  <w:style w:type="character" w:styleId="10">
    <w:name w:val="footnote reference"/>
    <w:autoRedefine/>
    <w:semiHidden/>
    <w:unhideWhenUsed/>
    <w:qFormat/>
    <w:uiPriority w:val="99"/>
    <w:rPr>
      <w:vertAlign w:val="superscript"/>
    </w:rPr>
  </w:style>
  <w:style w:type="character" w:customStyle="1" w:styleId="11">
    <w:name w:val="页眉 字符"/>
    <w:basedOn w:val="9"/>
    <w:link w:val="4"/>
    <w:autoRedefine/>
    <w:qFormat/>
    <w:uiPriority w:val="99"/>
    <w:rPr>
      <w:sz w:val="18"/>
      <w:szCs w:val="18"/>
    </w:rPr>
  </w:style>
  <w:style w:type="character" w:customStyle="1" w:styleId="12">
    <w:name w:val="页脚 字符"/>
    <w:basedOn w:val="9"/>
    <w:link w:val="3"/>
    <w:autoRedefine/>
    <w:qFormat/>
    <w:uiPriority w:val="99"/>
    <w:rPr>
      <w:sz w:val="18"/>
      <w:szCs w:val="18"/>
    </w:rPr>
  </w:style>
  <w:style w:type="character" w:customStyle="1" w:styleId="13">
    <w:name w:val="批注框文本 字符"/>
    <w:basedOn w:val="9"/>
    <w:link w:val="2"/>
    <w:autoRedefine/>
    <w:semiHidden/>
    <w:qFormat/>
    <w:uiPriority w:val="99"/>
    <w:rPr>
      <w:sz w:val="18"/>
      <w:szCs w:val="18"/>
    </w:rPr>
  </w:style>
  <w:style w:type="paragraph" w:styleId="14">
    <w:name w:val="List Paragraph"/>
    <w:basedOn w:val="1"/>
    <w:autoRedefine/>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15">
    <w:name w:val="[Normal]"/>
    <w:autoRedefine/>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 w:type="character" w:customStyle="1" w:styleId="16">
    <w:name w:val="脚注文本 字符"/>
    <w:basedOn w:val="9"/>
    <w:link w:val="6"/>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18B88-030C-45A7-B4AB-4E44279D0416}">
  <ds:schemaRefs/>
</ds:datastoreItem>
</file>

<file path=docProps/app.xml><?xml version="1.0" encoding="utf-8"?>
<Properties xmlns="http://schemas.openxmlformats.org/officeDocument/2006/extended-properties" xmlns:vt="http://schemas.openxmlformats.org/officeDocument/2006/docPropsVTypes">
  <Template>Normal</Template>
  <Pages>27</Pages>
  <Words>2053</Words>
  <Characters>11707</Characters>
  <Lines>97</Lines>
  <Paragraphs>27</Paragraphs>
  <TotalTime>460</TotalTime>
  <ScaleCrop>false</ScaleCrop>
  <LinksUpToDate>false</LinksUpToDate>
  <CharactersWithSpaces>13733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yan珊珊</cp:lastModifiedBy>
  <cp:lastPrinted>2019-02-19T07:03:00Z</cp:lastPrinted>
  <dcterms:modified xsi:type="dcterms:W3CDTF">2024-06-04T06:25:20Z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413482E74A5647A4872E20DC98025B51_12</vt:lpwstr>
  </property>
</Properties>
</file>