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0"/>
          <w:szCs w:val="44"/>
        </w:rPr>
      </w:pPr>
      <w:r>
        <w:rPr>
          <w:rFonts w:hint="eastAsia" w:ascii="宋体" w:hAnsi="宋体" w:eastAsia="宋体"/>
          <w:b/>
          <w:sz w:val="40"/>
          <w:szCs w:val="44"/>
        </w:rPr>
        <w:t>中国人民政治协商会议保定市徐水区委员会办公室</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rPr>
          <w:rFonts w:ascii="仿宋" w:hAnsi="仿宋" w:eastAsia="仿宋"/>
          <w:sz w:val="32"/>
          <w:szCs w:val="32"/>
        </w:rPr>
      </w:pPr>
      <w:r>
        <w:rPr>
          <w:rFonts w:ascii="仿宋" w:hAnsi="仿宋" w:eastAsia="仿宋"/>
          <w:sz w:val="32"/>
          <w:szCs w:val="32"/>
        </w:rPr>
        <w:tab/>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按照《中华人民共和国预算法》</w:t>
      </w:r>
      <w:r>
        <w:rPr>
          <w:rFonts w:hint="eastAsia" w:ascii="仿宋" w:hAnsi="仿宋" w:eastAsia="仿宋" w:cs="仿宋"/>
          <w:sz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jc w:val="left"/>
        <w:rPr>
          <w:rFonts w:ascii="仿宋" w:hAnsi="仿宋" w:eastAsia="仿宋"/>
          <w:sz w:val="32"/>
          <w:szCs w:val="32"/>
        </w:rPr>
      </w:pPr>
      <w:r>
        <w:rPr>
          <w:rFonts w:hint="eastAsia" w:ascii="仿宋" w:hAnsi="仿宋" w:eastAsia="仿宋"/>
          <w:sz w:val="32"/>
          <w:szCs w:val="32"/>
        </w:rPr>
        <w:t>根据《中国人民政治协商会议保定市徐水区委员会办公室职能配置、内设机构和人员编制规定》，</w:t>
      </w:r>
      <w:r>
        <w:rPr>
          <w:rFonts w:ascii="仿宋" w:hAnsi="仿宋" w:eastAsia="仿宋"/>
          <w:sz w:val="32"/>
          <w:szCs w:val="32"/>
        </w:rPr>
        <w:t xml:space="preserve"> 中国人民政治协商会议保定市徐水区委员会办公室的主要职责是：</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部门职责：</w:t>
      </w:r>
    </w:p>
    <w:p>
      <w:pPr>
        <w:pStyle w:val="15"/>
        <w:rPr>
          <w:rFonts w:hint="eastAsia" w:ascii="仿宋" w:hAnsi="仿宋" w:eastAsia="仿宋" w:cs="仿宋"/>
          <w:sz w:val="32"/>
          <w:szCs w:val="32"/>
        </w:rPr>
      </w:pPr>
      <w:r>
        <w:rPr>
          <w:rFonts w:hint="eastAsia" w:ascii="仿宋" w:hAnsi="仿宋" w:eastAsia="仿宋" w:cs="仿宋"/>
          <w:sz w:val="32"/>
          <w:szCs w:val="32"/>
        </w:rPr>
        <w:t>（一）负责政协全体会议、常务委员会会议、主席会议、专题协商会议、秘书长会议的组织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筹备、协调</w:t>
      </w:r>
      <w:r>
        <w:rPr>
          <w:rFonts w:hint="eastAsia" w:ascii="仿宋" w:hAnsi="仿宋" w:eastAsia="仿宋" w:cs="仿宋"/>
          <w:sz w:val="32"/>
          <w:szCs w:val="32"/>
        </w:rPr>
        <w:t>工作。</w:t>
      </w:r>
    </w:p>
    <w:p>
      <w:pPr>
        <w:pStyle w:val="15"/>
        <w:rPr>
          <w:rFonts w:hint="eastAsia" w:ascii="仿宋" w:hAnsi="仿宋" w:eastAsia="仿宋" w:cs="仿宋"/>
          <w:sz w:val="32"/>
          <w:szCs w:val="32"/>
        </w:rPr>
      </w:pPr>
      <w:r>
        <w:rPr>
          <w:rFonts w:hint="eastAsia" w:ascii="仿宋" w:hAnsi="仿宋" w:eastAsia="仿宋" w:cs="仿宋"/>
          <w:sz w:val="32"/>
          <w:szCs w:val="32"/>
        </w:rPr>
        <w:t>（二）负责政协全体会议、常务委员会会议、主席会议决议和决定的具体组织实施工作。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）负责政协委员进行视察、参观、调查、座谈、学习、研讨等日常活动的服务和具体组织工作。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）负责协调、保障专门委员会实施专题调研计划和开展相关活动的服务保障工作。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）整理、报送政协组织和政协委员履行职能形成的调研报告、视察报告、大会发言、建议案；收集反映社情民意，处理政协委员和人民群众的来信来访。</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）负责区政协委员提案办理的协调和服务工作。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）负责宣传人民政协的方针政策、工作业绩和经验以及政协委员的先进事迹，收集和反映区政协委员和各界人士的意见与建议，综合、反映社情民意。</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）工作，联系各民主党派、工商联、各人民团体和无党派人士，互通信息，协调工作，加强合作。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）负责区政协机关机构编制、干部人事管理和后勤服务保障工作。负责接待海内外有关友好人士和对外联谊工作。</w:t>
      </w:r>
      <w:bookmarkStart w:id="0" w:name="_GoBack"/>
      <w:bookmarkEnd w:id="0"/>
    </w:p>
    <w:p>
      <w:pPr>
        <w:pStyle w:val="15"/>
        <w:rPr>
          <w:rFonts w:hint="eastAsia" w:ascii="仿宋" w:hAnsi="仿宋" w:eastAsia="仿宋" w:cs="仿宋"/>
          <w:sz w:val="32"/>
          <w:szCs w:val="32"/>
        </w:rPr>
      </w:pPr>
      <w:r>
        <w:rPr>
          <w:rFonts w:hint="eastAsia" w:ascii="仿宋" w:hAnsi="仿宋" w:eastAsia="仿宋" w:cs="仿宋"/>
          <w:sz w:val="32"/>
          <w:szCs w:val="32"/>
        </w:rPr>
        <w:t>（十）承办区政协领导同志交办的其他事项。</w:t>
      </w: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15"/>
                <w:szCs w:val="15"/>
              </w:rPr>
            </w:pPr>
            <w:r>
              <w:rPr>
                <w:rFonts w:ascii="方正小标宋_GBK" w:eastAsia="方正小标宋_GBK"/>
                <w:sz w:val="15"/>
                <w:szCs w:val="15"/>
              </w:rPr>
              <w:t>中国人民政治协商会议保定市徐水区委员会办公室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485.59</w:t>
      </w:r>
      <w:r>
        <w:rPr>
          <w:rFonts w:ascii="仿宋" w:hAnsi="仿宋" w:eastAsia="仿宋"/>
          <w:sz w:val="32"/>
          <w:szCs w:val="32"/>
        </w:rPr>
        <w:t>万元,其中：一般公共预算收入</w:t>
      </w:r>
      <w:r>
        <w:rPr>
          <w:rFonts w:hint="eastAsia" w:ascii="仿宋" w:hAnsi="仿宋" w:eastAsia="仿宋"/>
          <w:sz w:val="32"/>
          <w:szCs w:val="32"/>
        </w:rPr>
        <w:t>485.59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485.59</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基本支出423.95万元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371.28</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52.67</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项目支出61.64</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61.64</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本年度预算收支安排485.59万元，较上年</w:t>
      </w:r>
      <w:r>
        <w:rPr>
          <w:rFonts w:ascii="仿宋" w:hAnsi="仿宋" w:eastAsia="仿宋"/>
          <w:sz w:val="32"/>
          <w:szCs w:val="32"/>
        </w:rPr>
        <w:t>减少</w:t>
      </w:r>
      <w:r>
        <w:rPr>
          <w:rFonts w:hint="eastAsia" w:ascii="仿宋" w:hAnsi="仿宋" w:eastAsia="仿宋"/>
          <w:sz w:val="32"/>
          <w:szCs w:val="32"/>
        </w:rPr>
        <w:t>68.08</w:t>
      </w:r>
      <w:r>
        <w:rPr>
          <w:rFonts w:ascii="仿宋" w:hAnsi="仿宋" w:eastAsia="仿宋"/>
          <w:sz w:val="32"/>
          <w:szCs w:val="32"/>
        </w:rPr>
        <w:t>万元。其中:基本支出减少</w:t>
      </w:r>
      <w:r>
        <w:rPr>
          <w:rFonts w:hint="eastAsia" w:ascii="仿宋" w:hAnsi="仿宋" w:eastAsia="仿宋"/>
          <w:sz w:val="32"/>
          <w:szCs w:val="32"/>
        </w:rPr>
        <w:t>66.2</w:t>
      </w:r>
      <w:r>
        <w:rPr>
          <w:rFonts w:ascii="仿宋" w:hAnsi="仿宋" w:eastAsia="仿宋"/>
          <w:sz w:val="32"/>
          <w:szCs w:val="32"/>
        </w:rPr>
        <w:t>万元，主要原因是</w:t>
      </w:r>
      <w:r>
        <w:rPr>
          <w:rFonts w:hint="eastAsia" w:ascii="仿宋" w:hAnsi="仿宋" w:eastAsia="仿宋"/>
          <w:sz w:val="32"/>
          <w:szCs w:val="32"/>
        </w:rPr>
        <w:t>由于人员经费变化</w:t>
      </w:r>
      <w:r>
        <w:rPr>
          <w:rFonts w:ascii="仿宋" w:hAnsi="仿宋" w:eastAsia="仿宋"/>
          <w:sz w:val="32"/>
          <w:szCs w:val="32"/>
        </w:rPr>
        <w:t>；项目支出减少</w:t>
      </w:r>
      <w:r>
        <w:rPr>
          <w:rFonts w:hint="eastAsia" w:ascii="仿宋" w:hAnsi="仿宋" w:eastAsia="仿宋"/>
          <w:sz w:val="32"/>
          <w:szCs w:val="32"/>
        </w:rPr>
        <w:t>1.88</w:t>
      </w:r>
      <w:r>
        <w:rPr>
          <w:rFonts w:ascii="仿宋" w:hAnsi="仿宋" w:eastAsia="仿宋"/>
          <w:sz w:val="32"/>
          <w:szCs w:val="32"/>
        </w:rPr>
        <w:t>万元，主要原因是</w:t>
      </w:r>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52.67</w:t>
      </w:r>
      <w:r>
        <w:rPr>
          <w:rFonts w:ascii="仿宋" w:hAnsi="仿宋" w:eastAsia="仿宋"/>
          <w:sz w:val="32"/>
          <w:szCs w:val="32"/>
        </w:rPr>
        <w:t>万元，其中办公费</w:t>
      </w:r>
      <w:r>
        <w:rPr>
          <w:rFonts w:hint="eastAsia" w:ascii="仿宋" w:hAnsi="仿宋" w:eastAsia="仿宋"/>
          <w:sz w:val="32"/>
          <w:szCs w:val="32"/>
        </w:rPr>
        <w:t>6.80</w:t>
      </w:r>
      <w:r>
        <w:rPr>
          <w:rFonts w:ascii="仿宋" w:hAnsi="仿宋" w:eastAsia="仿宋"/>
          <w:sz w:val="32"/>
          <w:szCs w:val="32"/>
        </w:rPr>
        <w:t>万元，邮电费</w:t>
      </w:r>
      <w:r>
        <w:rPr>
          <w:rFonts w:hint="eastAsia" w:ascii="仿宋" w:hAnsi="仿宋" w:eastAsia="仿宋"/>
          <w:sz w:val="32"/>
          <w:szCs w:val="32"/>
        </w:rPr>
        <w:t>10.32</w:t>
      </w:r>
      <w:r>
        <w:rPr>
          <w:rFonts w:ascii="仿宋" w:hAnsi="仿宋" w:eastAsia="仿宋"/>
          <w:sz w:val="32"/>
          <w:szCs w:val="32"/>
        </w:rPr>
        <w:t>万元，工会经费、福利费</w:t>
      </w:r>
      <w:r>
        <w:rPr>
          <w:rFonts w:hint="eastAsia" w:ascii="仿宋" w:hAnsi="仿宋" w:eastAsia="仿宋"/>
          <w:sz w:val="32"/>
          <w:szCs w:val="32"/>
        </w:rPr>
        <w:t>7.5</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2.98</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10"/>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-2</w:t>
                  </w:r>
                </w:p>
                <w:p>
                  <w:pPr>
                    <w:widowControl/>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年，我部门针对三公经费支出制定了严格的管理制度，认真执行中央八项规定，厉行节约，杜绝浪费。从总量来讲，我部门的三公经费与上年相比减少了2万元。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ind w:firstLine="640"/>
        <w:jc w:val="left"/>
        <w:outlineLvl w:val="1"/>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以习近平新时代中国特色社会主义思想为指导，深入贯彻落实十九届四中全会、中央政协工作会议和区政协工作会议精神，圆满完成区政协党组的各项工作任务。立足新时代新方位，把加强思想政治引领、广泛凝聚共识作为履职中心环节，把政协制度优势转化为治理效能。严格执行党对政协组织实施领导的制度规定，确保政协始终在党的领导下主动负责、协调一致地开展工作。建立健全制度机制，完善政协党建制度、履职制度、委员工作制度、政协系统联系指导制度，强化制度落实、执行和督促检查，形成用制度规范行为、按制度办事、靠制度管人的良好氛围。围绕区委、区政府工作思路，聚焦我区经济社会发展重要问题和民生关切，丰富协商内容，完善协商机制、规范协商活动，提高协商质量。强化政协委员履职考核工作，完善委员履职档案，引导委员懂政协、会协商、善议政，充分发挥委员的主体作用。加强政协干部队伍建设，增强服务大局、服务群众、服务委员的本领，干出新时代政协工作新样子。</w:t>
      </w:r>
    </w:p>
    <w:p>
      <w:pPr>
        <w:spacing w:line="500" w:lineRule="exact"/>
        <w:ind w:firstLine="640"/>
        <w:jc w:val="left"/>
        <w:outlineLvl w:val="1"/>
        <w:rPr>
          <w:rFonts w:ascii="仿宋" w:hAnsi="仿宋" w:eastAsia="仿宋"/>
          <w:sz w:val="32"/>
          <w:szCs w:val="32"/>
        </w:rPr>
      </w:pPr>
      <w:r>
        <w:rPr>
          <w:rFonts w:ascii="仿宋" w:hAnsi="仿宋" w:eastAsia="仿宋"/>
          <w:sz w:val="32"/>
          <w:szCs w:val="32"/>
        </w:rPr>
        <w:t>二、分项绩效目标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（一）组织召开政协会议</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绩效目标：完善各项会议制度，规范会议程序，提高会议质量，提高政治协商水平。</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w:t>
      </w:r>
      <w:r>
        <w:rPr>
          <w:rFonts w:ascii="仿宋" w:hAnsi="仿宋" w:eastAsia="仿宋"/>
          <w:sz w:val="32"/>
          <w:szCs w:val="32"/>
        </w:rPr>
        <w:t>2020</w:t>
      </w:r>
      <w:r>
        <w:rPr>
          <w:rFonts w:hint="eastAsia" w:ascii="仿宋" w:hAnsi="仿宋" w:eastAsia="仿宋" w:cs="微软雅黑"/>
          <w:sz w:val="32"/>
          <w:szCs w:val="32"/>
        </w:rPr>
        <w:t>年结合我区实际，依据区委常委会研究批准的政协党组关于召开区政协第二届委员会第四次会议有关事项的请示，择时召开政协全会。全年召开</w:t>
      </w:r>
      <w:r>
        <w:rPr>
          <w:rFonts w:ascii="仿宋" w:hAnsi="仿宋" w:eastAsia="仿宋"/>
          <w:sz w:val="32"/>
          <w:szCs w:val="32"/>
        </w:rPr>
        <w:t>4</w:t>
      </w:r>
      <w:r>
        <w:rPr>
          <w:rFonts w:hint="eastAsia" w:ascii="仿宋" w:hAnsi="仿宋" w:eastAsia="仿宋" w:cs="微软雅黑"/>
          <w:sz w:val="32"/>
          <w:szCs w:val="32"/>
        </w:rPr>
        <w:t>次以上常委会及主席会，保障会议顺利召开，完成会议议程。</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（二）开展专题调研活动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绩效指标：按照政协党组调研计划，组织委员开展重点课题和专项课题调研；组织对社情民意信息进行整理，筛选重要社情民意向区委和区政府进行反映。</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（三）抓好机关建设，做好服务保障工作</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绩效目标：加强政协机关自身建设，理论研究、干部管理、信息和宣传工作，政协自身建设质量更加扎实，理论研究成果丰硕，宣传报道工作成效明显，后勤服务保障更加有力，信息化能力更加提升。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绩效指标：加强委员学习</w:t>
      </w:r>
      <w:r>
        <w:rPr>
          <w:rFonts w:ascii="仿宋" w:hAnsi="仿宋" w:eastAsia="仿宋"/>
          <w:sz w:val="32"/>
          <w:szCs w:val="32"/>
        </w:rPr>
        <w:t>,</w:t>
      </w:r>
      <w:r>
        <w:rPr>
          <w:rFonts w:hint="eastAsia" w:ascii="仿宋" w:hAnsi="仿宋" w:eastAsia="仿宋" w:cs="微软雅黑"/>
          <w:sz w:val="32"/>
          <w:szCs w:val="32"/>
        </w:rPr>
        <w:t>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pPr>
        <w:spacing w:line="500" w:lineRule="exact"/>
        <w:ind w:firstLine="640"/>
        <w:jc w:val="left"/>
        <w:outlineLvl w:val="1"/>
        <w:rPr>
          <w:rFonts w:ascii="仿宋" w:hAnsi="仿宋" w:eastAsia="仿宋"/>
          <w:sz w:val="32"/>
          <w:szCs w:val="32"/>
        </w:rPr>
      </w:pPr>
      <w:r>
        <w:rPr>
          <w:rFonts w:ascii="仿宋" w:hAnsi="仿宋" w:eastAsia="仿宋"/>
          <w:sz w:val="32"/>
          <w:szCs w:val="32"/>
        </w:rPr>
        <w:t>三、工作保障措施</w:t>
      </w:r>
    </w:p>
    <w:p>
      <w:pPr>
        <w:spacing w:line="500" w:lineRule="exact"/>
        <w:ind w:firstLine="640"/>
        <w:jc w:val="left"/>
        <w:rPr>
          <w:rFonts w:ascii="仿宋" w:hAnsi="仿宋" w:eastAsia="仿宋"/>
          <w:sz w:val="32"/>
          <w:szCs w:val="32"/>
        </w:rPr>
      </w:pPr>
      <w:r>
        <w:rPr>
          <w:rFonts w:ascii="仿宋" w:hAnsi="仿宋" w:eastAsia="仿宋"/>
          <w:sz w:val="32"/>
          <w:szCs w:val="32"/>
        </w:rPr>
        <w:t>为充分履行我单位部门职责，达到上述绩效目标要求，并保证年度发展规划目标的顺利实现，采取下列几项措施：</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（一）</w:t>
      </w:r>
      <w:r>
        <w:rPr>
          <w:rFonts w:ascii="仿宋" w:hAnsi="仿宋" w:eastAsia="仿宋"/>
          <w:sz w:val="32"/>
          <w:szCs w:val="32"/>
        </w:rPr>
        <w:t>完善制度建设：通过不断完善支付制度，保证预算绩效目标顺利完成。</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（二）</w:t>
      </w:r>
      <w:r>
        <w:rPr>
          <w:rFonts w:ascii="仿宋" w:hAnsi="仿宋" w:eastAsia="仿宋"/>
          <w:sz w:val="32"/>
          <w:szCs w:val="32"/>
        </w:rPr>
        <w:t>加强支出管理：通过优化支出结构、编细编实预算、加快履行政府采购手续、尽快启动项目、尽快支付资金等多项措施保证达到支出进度。</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（三）</w:t>
      </w:r>
      <w:r>
        <w:rPr>
          <w:rFonts w:ascii="仿宋" w:hAnsi="仿宋" w:eastAsia="仿宋"/>
          <w:sz w:val="32"/>
          <w:szCs w:val="32"/>
        </w:rPr>
        <w:t>加强绩效运行监控:按要求开展绩效运行监控，发现问题及时采取措施，确保绩效目标保质如期实现。</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（四）</w:t>
      </w:r>
      <w:r>
        <w:rPr>
          <w:rFonts w:ascii="仿宋" w:hAnsi="仿宋" w:eastAsia="仿宋"/>
          <w:sz w:val="32"/>
          <w:szCs w:val="32"/>
        </w:rPr>
        <w:t>做好绩效自评：按要求开展上一年度预算绩效自评和重点评价工作，对评价中发现的问题及时整改，调整优化支出结构，提高财政资金使用效益。</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（五）</w:t>
      </w:r>
      <w:r>
        <w:rPr>
          <w:rFonts w:ascii="仿宋" w:hAnsi="仿宋" w:eastAsia="仿宋"/>
          <w:sz w:val="32"/>
          <w:szCs w:val="32"/>
        </w:rPr>
        <w:t>规范财务资产管理：完善财务管理制度，严格审批程序，加强固定资产登记、使用管理和报废处理管理，做到支出合理，物尽其用。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（六）</w:t>
      </w:r>
      <w:r>
        <w:rPr>
          <w:rFonts w:ascii="仿宋" w:hAnsi="仿宋" w:eastAsia="仿宋"/>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（七）</w:t>
      </w:r>
      <w:r>
        <w:rPr>
          <w:rFonts w:ascii="仿宋" w:hAnsi="仿宋" w:eastAsia="仿宋"/>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jc w:val="center"/>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jc w:val="left"/>
        <w:outlineLvl w:val="1"/>
        <w:rPr>
          <w:rFonts w:ascii="Times New Roman" w:hAnsi="宋体" w:eastAsia="宋体"/>
          <w:b/>
          <w:sz w:val="28"/>
        </w:rPr>
      </w:pPr>
      <w:r>
        <w:rPr>
          <w:rFonts w:ascii="方正仿宋_GBK" w:eastAsia="方正仿宋_GBK"/>
          <w:b/>
          <w:sz w:val="28"/>
        </w:rPr>
        <w:t>1、报刊征订经费绩效目标表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131-0702-JBN-4T47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报刊征订经费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主要用于政协常委报刊征订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1、政协自身建设质量更加扎实，工作科学化水平进一步提升。文史资料的社会功能增强，理论研究成果服务履职作用明显。</w:t>
            </w:r>
          </w:p>
          <w:p>
            <w:pPr>
              <w:spacing w:line="300" w:lineRule="exact"/>
              <w:jc w:val="left"/>
              <w:rPr>
                <w:rFonts w:ascii="方正书宋_GBK" w:eastAsia="方正书宋_GBK"/>
              </w:rPr>
            </w:pPr>
            <w:r>
              <w:rPr>
                <w:rFonts w:ascii="方正书宋_GBK" w:eastAsia="方正书宋_GBK"/>
              </w:rPr>
              <w:t>2、政协自身建设质量更加扎实，工作科学化水平进一步提升。文史资料的社会功能增强，理论研究成果服务履职作用明显。</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报刊征订率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政协常委报刊征订率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jc w:val="left"/>
        <w:outlineLvl w:val="1"/>
        <w:rPr>
          <w:rFonts w:ascii="Times New Roman" w:hAnsi="宋体" w:eastAsia="宋体"/>
          <w:b/>
          <w:sz w:val="28"/>
        </w:rPr>
      </w:pPr>
      <w:r>
        <w:rPr>
          <w:rFonts w:ascii="方正仿宋_GBK" w:eastAsia="方正仿宋_GBK"/>
          <w:b/>
          <w:sz w:val="28"/>
        </w:rPr>
        <w:t>2、政协保洁经费绩效目标表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131-0702-JBN-BU8Z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用于单位保洁服务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1、关自身建设、服务保障能力进一步提升。</w:t>
            </w:r>
          </w:p>
          <w:p>
            <w:pPr>
              <w:spacing w:line="300" w:lineRule="exact"/>
              <w:jc w:val="left"/>
              <w:rPr>
                <w:rFonts w:ascii="方正书宋_GBK" w:eastAsia="方正书宋_GBK"/>
              </w:rPr>
            </w:pPr>
            <w:r>
              <w:rPr>
                <w:rFonts w:ascii="方正书宋_GBK" w:eastAsia="方正书宋_GBK"/>
              </w:rPr>
              <w:t>2、为全体职工提供舒适的工作环境。</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该笔资金投入是否能够按照时限发放落实到位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3、政协会议绩效目标表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131-0401-JBN-YMUO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政协会议项目预算资金33万元，主要用于政协会议开支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1、完善各项会议制度，规范会议程序，提高会议质量，提高政治协商水平。</w:t>
            </w:r>
          </w:p>
          <w:p>
            <w:pPr>
              <w:spacing w:line="300" w:lineRule="exact"/>
              <w:jc w:val="left"/>
              <w:rPr>
                <w:rFonts w:ascii="方正书宋_GBK" w:eastAsia="方正书宋_GBK"/>
              </w:rPr>
            </w:pPr>
            <w:r>
              <w:rPr>
                <w:rFonts w:ascii="方正书宋_GBK" w:eastAsia="方正书宋_GBK"/>
              </w:rPr>
              <w:t>2、各项会务完成率</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会议筹备到位率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承担区政协委员和常务委员会各种会议的筹备工作，包括会议的宣传、文件起草、食宿的安排和安全保卫工作是否到位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落实会议精神委员满意率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落实会议精神委员满意率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宣传会议精神，委员提案答复率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4、政协综合事务管理绩效目标表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131-0702-JBN-0A23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主要用于委员学习培训，机关接待、离退休人员服务，后勤保障、以及承办区政协主席、副主席、秘书长交办的其他事项。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1、区政协自身建设、理论研究以及宣传工作，与区内外有关单位的联系协调，</w:t>
            </w:r>
          </w:p>
          <w:p>
            <w:pPr>
              <w:spacing w:line="300" w:lineRule="exact"/>
              <w:jc w:val="left"/>
              <w:rPr>
                <w:rFonts w:ascii="方正书宋_GBK" w:eastAsia="方正书宋_GBK"/>
              </w:rPr>
            </w:pPr>
            <w:r>
              <w:rPr>
                <w:rFonts w:ascii="方正书宋_GBK" w:eastAsia="方正书宋_GBK"/>
              </w:rPr>
              <w:t>2、负责对委员学习培训，机关接待、离退休人员服务，后勤保障、以及承办区政协主席、副主席、秘书长交办的其他事项。</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各种服务完成情况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能够长期较好地完成机关服务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接受机关职工满意程度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5、专题调研活动绩效目标表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131-0601-JBN-GB50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专题调研活动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主要用于调研视察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1、发挥政协作为扩大社会各界有序参与的重要渠道作用，探索开展活动的新方法新途径，充分调动委员参政议政积极，向区委、区政府提出高质量的建议案。</w:t>
            </w:r>
          </w:p>
          <w:p>
            <w:pPr>
              <w:spacing w:line="300" w:lineRule="exact"/>
              <w:jc w:val="left"/>
              <w:rPr>
                <w:rFonts w:ascii="方正书宋_GBK" w:eastAsia="方正书宋_GBK"/>
              </w:rPr>
            </w:pPr>
            <w:r>
              <w:rPr>
                <w:rFonts w:ascii="方正书宋_GBK" w:eastAsia="方正书宋_GBK"/>
              </w:rPr>
              <w:t>2、视察调研社会不同阶层、群体的愿望和要求，将分散在民间、基层有识之士的真知灼见反映给决策部门。</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选取政协委员提案展开视察调研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视察调研社会不同阶层、群体的愿望和要求，将分散在民间、基层有识之士的真知灼见反映给决策部门。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群众对政协委员的满意度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政协视察调研是否反映民意。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480"/>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131</w:t>
            </w:r>
            <w:r>
              <w:rPr>
                <w:rFonts w:ascii="方正小标宋_GBK" w:eastAsia="方正小标宋_GBK"/>
                <w:sz w:val="15"/>
                <w:szCs w:val="15"/>
              </w:rPr>
              <w:t>中国人民政治协商会议保定市徐水区委员会办公室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vMerge w:val="continue"/>
          </w:tcPr>
          <w:p/>
        </w:tc>
        <w:tc>
          <w:tcPr>
            <w:vMerge w:val="continue"/>
          </w:tcPr>
          <w:p/>
        </w:tc>
        <w:tc>
          <w:tcPr>
            <w:vMerge w:val="continue"/>
          </w:tcPr>
          <w:p/>
        </w:tc>
        <w:tc>
          <w:tcPr>
            <w:vMerge w:val="continue"/>
          </w:tcPr>
          <w:p/>
        </w:tc>
        <w:tc>
          <w:tcPr>
            <w:vMerge w:val="continue"/>
          </w:tc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ind w:right="420"/>
              <w:rPr>
                <w:rFonts w:ascii="方正书宋_GBK" w:eastAsia="方正书宋_GBK"/>
              </w:rPr>
            </w:pPr>
            <w:r>
              <w:rPr>
                <w:rFonts w:hint="eastAsia" w:ascii="方正书宋_GBK" w:eastAsia="方正书宋_GBK"/>
              </w:rPr>
              <w:t xml:space="preserve"> </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rPr>
          <w:rFonts w:ascii="仿宋" w:hAnsi="仿宋" w:eastAsia="仿宋"/>
          <w:sz w:val="32"/>
          <w:szCs w:val="32"/>
        </w:rPr>
      </w:pPr>
      <w:r>
        <w:rPr>
          <w:rFonts w:hint="eastAsia" w:ascii="仿宋" w:hAnsi="仿宋" w:eastAsia="仿宋"/>
          <w:sz w:val="32"/>
          <w:szCs w:val="32"/>
        </w:rPr>
        <w:t>上年末我部门固定资产总金额为9.76万元（详见下表）。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万元，详见政府采购预算表。</w:t>
      </w:r>
    </w:p>
    <w:tbl>
      <w:tblPr>
        <w:tblStyle w:val="10"/>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9.76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8.16</w:t>
            </w:r>
          </w:p>
        </w:tc>
      </w:tr>
    </w:tbl>
    <w:p>
      <w:pPr>
        <w:spacing w:line="360" w:lineRule="auto"/>
        <w:rPr>
          <w:rFonts w:ascii="仿宋" w:hAnsi="仿宋" w:eastAsia="仿宋" w:cs="Times New Roman"/>
          <w:sz w:val="32"/>
          <w:szCs w:val="32"/>
        </w:rPr>
      </w:pPr>
      <w:r>
        <w:rPr>
          <w:rFonts w:hint="eastAsia" w:ascii="仿宋" w:hAnsi="仿宋" w:eastAsia="仿宋" w:cs="Times New Roman"/>
          <w:sz w:val="32"/>
          <w:szCs w:val="32"/>
        </w:rPr>
        <w:t>备注：办公用房统一由机关服务中心管理。</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6"/>
          <w:jc w:val="center"/>
        </w:pPr>
        <w:r>
          <w:fldChar w:fldCharType="begin"/>
        </w:r>
        <w:r>
          <w:instrText xml:space="preserve">PAGE   \* MERGEFORMAT</w:instrText>
        </w:r>
        <w:r>
          <w:fldChar w:fldCharType="separate"/>
        </w:r>
        <w:r>
          <w:rPr>
            <w:lang w:val="zh-CN"/>
          </w:rPr>
          <w:t>15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5ZTY4OGU2ZTJlMzY0MTVlZGQ3NDZmYmYzNmMwZWIifQ=="/>
  </w:docVars>
  <w:rsids>
    <w:rsidRoot w:val="00055F1F"/>
    <w:rsid w:val="00013B8A"/>
    <w:rsid w:val="000403DC"/>
    <w:rsid w:val="00044FBC"/>
    <w:rsid w:val="00055F1F"/>
    <w:rsid w:val="000577EF"/>
    <w:rsid w:val="00057F18"/>
    <w:rsid w:val="000A445D"/>
    <w:rsid w:val="000C178B"/>
    <w:rsid w:val="000C7168"/>
    <w:rsid w:val="00121FE0"/>
    <w:rsid w:val="00131DEC"/>
    <w:rsid w:val="00136AB3"/>
    <w:rsid w:val="001462BD"/>
    <w:rsid w:val="00152380"/>
    <w:rsid w:val="001638BE"/>
    <w:rsid w:val="00172B15"/>
    <w:rsid w:val="00172C7A"/>
    <w:rsid w:val="00181777"/>
    <w:rsid w:val="001A6619"/>
    <w:rsid w:val="001B4688"/>
    <w:rsid w:val="001B6235"/>
    <w:rsid w:val="001F4875"/>
    <w:rsid w:val="00212335"/>
    <w:rsid w:val="002207EB"/>
    <w:rsid w:val="002918C6"/>
    <w:rsid w:val="00296524"/>
    <w:rsid w:val="002E01F6"/>
    <w:rsid w:val="002F1ACB"/>
    <w:rsid w:val="002F530F"/>
    <w:rsid w:val="00305E97"/>
    <w:rsid w:val="00310532"/>
    <w:rsid w:val="0032782B"/>
    <w:rsid w:val="00340B3D"/>
    <w:rsid w:val="0034253A"/>
    <w:rsid w:val="003524F2"/>
    <w:rsid w:val="00367A30"/>
    <w:rsid w:val="003A06D2"/>
    <w:rsid w:val="003A6366"/>
    <w:rsid w:val="003C2317"/>
    <w:rsid w:val="003C442E"/>
    <w:rsid w:val="003D1092"/>
    <w:rsid w:val="003D37CD"/>
    <w:rsid w:val="003E5531"/>
    <w:rsid w:val="003E6AF3"/>
    <w:rsid w:val="0040243C"/>
    <w:rsid w:val="00402CE4"/>
    <w:rsid w:val="00406BD1"/>
    <w:rsid w:val="00426C19"/>
    <w:rsid w:val="0043091C"/>
    <w:rsid w:val="00450FD9"/>
    <w:rsid w:val="00453CE0"/>
    <w:rsid w:val="00470736"/>
    <w:rsid w:val="00470BBB"/>
    <w:rsid w:val="0048611E"/>
    <w:rsid w:val="004B6929"/>
    <w:rsid w:val="004E2F43"/>
    <w:rsid w:val="004E3572"/>
    <w:rsid w:val="004F3C52"/>
    <w:rsid w:val="00510A1E"/>
    <w:rsid w:val="005158E2"/>
    <w:rsid w:val="00523BC6"/>
    <w:rsid w:val="00524204"/>
    <w:rsid w:val="00550049"/>
    <w:rsid w:val="00570142"/>
    <w:rsid w:val="00586C35"/>
    <w:rsid w:val="005B1B6F"/>
    <w:rsid w:val="005B6CCB"/>
    <w:rsid w:val="005C54AA"/>
    <w:rsid w:val="005C7B89"/>
    <w:rsid w:val="0062788A"/>
    <w:rsid w:val="0064107C"/>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515F0"/>
    <w:rsid w:val="00857375"/>
    <w:rsid w:val="0086454E"/>
    <w:rsid w:val="008672EA"/>
    <w:rsid w:val="00891680"/>
    <w:rsid w:val="008A0099"/>
    <w:rsid w:val="008A0B5F"/>
    <w:rsid w:val="008B5402"/>
    <w:rsid w:val="008D11BC"/>
    <w:rsid w:val="0090527E"/>
    <w:rsid w:val="00905BB7"/>
    <w:rsid w:val="0090620C"/>
    <w:rsid w:val="00912DA4"/>
    <w:rsid w:val="009302B8"/>
    <w:rsid w:val="009305C6"/>
    <w:rsid w:val="00946274"/>
    <w:rsid w:val="009752AE"/>
    <w:rsid w:val="00982F3D"/>
    <w:rsid w:val="009A278A"/>
    <w:rsid w:val="00A16957"/>
    <w:rsid w:val="00A6155C"/>
    <w:rsid w:val="00A8079E"/>
    <w:rsid w:val="00A90328"/>
    <w:rsid w:val="00A92D66"/>
    <w:rsid w:val="00AA4262"/>
    <w:rsid w:val="00AB5A90"/>
    <w:rsid w:val="00AB7449"/>
    <w:rsid w:val="00AD451C"/>
    <w:rsid w:val="00AE4AA5"/>
    <w:rsid w:val="00AE7FA9"/>
    <w:rsid w:val="00B147EB"/>
    <w:rsid w:val="00B22155"/>
    <w:rsid w:val="00B317CB"/>
    <w:rsid w:val="00B76AA9"/>
    <w:rsid w:val="00B80FAB"/>
    <w:rsid w:val="00B81C88"/>
    <w:rsid w:val="00BA5C83"/>
    <w:rsid w:val="00BC6A7D"/>
    <w:rsid w:val="00BD4829"/>
    <w:rsid w:val="00BD6002"/>
    <w:rsid w:val="00BD719F"/>
    <w:rsid w:val="00BF5442"/>
    <w:rsid w:val="00C177A5"/>
    <w:rsid w:val="00C319CB"/>
    <w:rsid w:val="00C35FEE"/>
    <w:rsid w:val="00C50535"/>
    <w:rsid w:val="00C6153C"/>
    <w:rsid w:val="00C906EF"/>
    <w:rsid w:val="00CC7D74"/>
    <w:rsid w:val="00CE3D3B"/>
    <w:rsid w:val="00D02F97"/>
    <w:rsid w:val="00D27F51"/>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75014"/>
    <w:rsid w:val="00F8024E"/>
    <w:rsid w:val="00F82447"/>
    <w:rsid w:val="00F868E5"/>
    <w:rsid w:val="00FB2F32"/>
    <w:rsid w:val="00FE0F1F"/>
    <w:rsid w:val="00FF61F3"/>
    <w:rsid w:val="2D0B43C6"/>
    <w:rsid w:val="618A3A16"/>
    <w:rsid w:val="77072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uiPriority w:val="99"/>
    <w:rPr>
      <w:sz w:val="18"/>
      <w:szCs w:val="18"/>
    </w:rPr>
  </w:style>
  <w:style w:type="character" w:customStyle="1" w:styleId="14">
    <w:name w:val="批注框文本 字符"/>
    <w:basedOn w:val="11"/>
    <w:link w:val="5"/>
    <w:semiHidden/>
    <w:qFormat/>
    <w:uiPriority w:val="99"/>
    <w:rPr>
      <w:sz w:val="18"/>
      <w:szCs w:val="18"/>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7CA9-311C-4E18-8F06-562B6E46DBF9}">
  <ds:schemaRefs/>
</ds:datastoreItem>
</file>

<file path=docProps/app.xml><?xml version="1.0" encoding="utf-8"?>
<Properties xmlns="http://schemas.openxmlformats.org/officeDocument/2006/extended-properties" xmlns:vt="http://schemas.openxmlformats.org/officeDocument/2006/docPropsVTypes">
  <Template>Normal</Template>
  <Pages>16</Pages>
  <Words>5442</Words>
  <Characters>5819</Characters>
  <Lines>46</Lines>
  <Paragraphs>13</Paragraphs>
  <TotalTime>1</TotalTime>
  <ScaleCrop>false</ScaleCrop>
  <LinksUpToDate>false</LinksUpToDate>
  <CharactersWithSpaces>5861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杰子</cp:lastModifiedBy>
  <cp:lastPrinted>2019-02-19T07:03:00Z</cp:lastPrinted>
  <dcterms:modified xsi:type="dcterms:W3CDTF">2024-06-30T02:00:56Z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D041E9DAFC794824B8D6E0E737BE8173</vt:lpwstr>
  </property>
</Properties>
</file>