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保定市自然资源和规划局徐水区分局</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根据《中共保定市委机构编制委员会关于市自然资源和规划局设立派出分局的批复》，保定市自然资源和规划局徐水区分局的主要职责是：</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贯彻执行自然资源和规划法律、法规、规章制度，负责辖区内自然资源管理工作，履行自然资源空间用途管制职责和自然资源所有者职责，落实</w:t>
      </w:r>
      <w:r>
        <w:rPr>
          <w:rFonts w:hint="eastAsia" w:ascii="Times New Roman" w:hAnsi="Times New Roman" w:eastAsia="宋体" w:cs="Times New Roman"/>
          <w:color w:val="000000"/>
          <w:kern w:val="0"/>
          <w:sz w:val="28"/>
          <w:szCs w:val="28"/>
        </w:rPr>
        <w:t>单位</w:t>
      </w:r>
      <w:r>
        <w:rPr>
          <w:rFonts w:ascii="Times New Roman" w:hAnsi="Times New Roman" w:eastAsia="宋体" w:cs="Times New Roman"/>
          <w:color w:val="000000"/>
          <w:kern w:val="0"/>
          <w:sz w:val="28"/>
          <w:szCs w:val="28"/>
        </w:rPr>
        <w:t>安全生产职责。</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1、负责开展辖区内自然资源和地理国情等专项调查、监测、评价工作，组织开展土地市场监测和动态巡查。</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2、负责辖区内不动产统一确权登记发证工作。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3、负责土地转用、征收的工作，负责国有土地使用权公开出让、转让、划拨的前期工作。负责国有土地收储工作。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4、落实耕地保护政策，负责辖区内的耕地保护、永久基本农田划定保护和耕地占补平衡工作。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5、依据权限负责辖区内建设项目用地预审工作，负责集体建设用地的管理。</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6、负责主城区城镇开发边界以外辖区内的详细规划、乡（镇）国土空间规划和村庄规划的编制工作。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7、负责主城区城镇开发边界以外辖区内有关建设项目的用地选址意见（书）和建设用地（含临时）、建设工程（含临时）、乡村建设的规划许可工作。负责建设工程的竣工规划条件核实工作。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8、依据市国土空间总体规划和相关专项规划负责辖区内市政工程的规划许可工作。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9、负责辖区内湿地保护、建设、开发利用，监督管理湿地公园。监督管理陆野生动植物保护、疫源疫情监测、防控工作。负责辖区内自然保护地的监督管理工作。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10、负责统筹辖区内国土空间生态修复工作。负责辖区内矿证管理工作。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11、负责辖区内林业产业、科技推广、种苗花卉、造林绿化、森林资源、林草项目的管理工作。负责辖区内森林、草原火灾预防工作，负责草原和土地沙漠化监督管理。</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12、负责辖区内地理信息、测绘管理工作。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13、受市局委托负责辖区内自然资源和规划（林业）执法监察工作。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14、完成上级交办的其他工作。</w:t>
      </w: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保定市自然资源和规划局徐水区分局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5</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998.71</w:t>
      </w:r>
      <w:r>
        <w:rPr>
          <w:rFonts w:ascii="仿宋" w:hAnsi="仿宋" w:eastAsia="仿宋"/>
          <w:sz w:val="32"/>
          <w:szCs w:val="32"/>
        </w:rPr>
        <w:t>万元,其中：一般公共预算收入</w:t>
      </w:r>
      <w:r>
        <w:rPr>
          <w:rFonts w:hint="eastAsia" w:ascii="仿宋" w:hAnsi="仿宋" w:eastAsia="仿宋"/>
          <w:sz w:val="32"/>
          <w:szCs w:val="32"/>
        </w:rPr>
        <w:t>524.83</w:t>
      </w:r>
      <w:r>
        <w:rPr>
          <w:rFonts w:ascii="仿宋" w:hAnsi="仿宋" w:eastAsia="仿宋"/>
          <w:sz w:val="32"/>
          <w:szCs w:val="32"/>
        </w:rPr>
        <w:t>万元，基金预算收入</w:t>
      </w:r>
      <w:r>
        <w:rPr>
          <w:rFonts w:hint="eastAsia" w:ascii="仿宋" w:hAnsi="仿宋" w:eastAsia="仿宋"/>
          <w:sz w:val="32"/>
          <w:szCs w:val="32"/>
        </w:rPr>
        <w:t>471.16</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1.75</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rPr>
        <w:t>单位</w:t>
      </w:r>
      <w:r>
        <w:rPr>
          <w:rFonts w:ascii="仿宋" w:hAnsi="仿宋" w:eastAsia="仿宋"/>
          <w:sz w:val="32"/>
          <w:szCs w:val="32"/>
        </w:rPr>
        <w:t>支出预算：</w:t>
      </w:r>
      <w:r>
        <w:rPr>
          <w:rFonts w:hint="eastAsia" w:ascii="仿宋" w:hAnsi="仿宋" w:eastAsia="仿宋"/>
          <w:sz w:val="32"/>
          <w:szCs w:val="32"/>
        </w:rPr>
        <w:t>998.71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基本支出432.36万元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351.48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80.88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566.35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566.35</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本年度预算收支安排998.71万元，较上年</w:t>
      </w:r>
      <w:r>
        <w:rPr>
          <w:rFonts w:ascii="仿宋" w:hAnsi="仿宋" w:eastAsia="仿宋"/>
          <w:sz w:val="32"/>
          <w:szCs w:val="32"/>
        </w:rPr>
        <w:t>减少</w:t>
      </w:r>
      <w:r>
        <w:rPr>
          <w:rFonts w:hint="eastAsia" w:ascii="仿宋" w:hAnsi="仿宋" w:eastAsia="仿宋"/>
          <w:sz w:val="32"/>
          <w:szCs w:val="32"/>
        </w:rPr>
        <w:t>1669.63</w:t>
      </w:r>
      <w:r>
        <w:rPr>
          <w:rFonts w:ascii="仿宋" w:hAnsi="仿宋" w:eastAsia="仿宋"/>
          <w:sz w:val="32"/>
          <w:szCs w:val="32"/>
        </w:rPr>
        <w:t>万元。其中:基本支出减少</w:t>
      </w:r>
      <w:r>
        <w:rPr>
          <w:rFonts w:hint="eastAsia" w:ascii="仿宋" w:hAnsi="仿宋" w:eastAsia="仿宋"/>
          <w:sz w:val="32"/>
          <w:szCs w:val="32"/>
        </w:rPr>
        <w:t>16.26</w:t>
      </w:r>
      <w:r>
        <w:rPr>
          <w:rFonts w:ascii="仿宋" w:hAnsi="仿宋" w:eastAsia="仿宋"/>
          <w:sz w:val="32"/>
          <w:szCs w:val="32"/>
        </w:rPr>
        <w:t>万元，主要原因是</w:t>
      </w:r>
      <w:r>
        <w:rPr>
          <w:rFonts w:hint="eastAsia" w:ascii="仿宋" w:hAnsi="仿宋" w:eastAsia="仿宋"/>
          <w:sz w:val="32"/>
          <w:szCs w:val="32"/>
        </w:rPr>
        <w:t>按照节约开支要求，压缩办公经费以及人员退休和调离，从而减少人员经费和办公经费</w:t>
      </w:r>
      <w:r>
        <w:rPr>
          <w:rFonts w:ascii="仿宋" w:hAnsi="仿宋" w:eastAsia="仿宋"/>
          <w:sz w:val="32"/>
          <w:szCs w:val="32"/>
        </w:rPr>
        <w:t>；项目支出减少</w:t>
      </w:r>
      <w:r>
        <w:rPr>
          <w:rFonts w:hint="eastAsia" w:ascii="仿宋" w:hAnsi="仿宋" w:eastAsia="仿宋"/>
          <w:sz w:val="32"/>
          <w:szCs w:val="32"/>
        </w:rPr>
        <w:t>1653.37</w:t>
      </w:r>
      <w:r>
        <w:rPr>
          <w:rFonts w:ascii="仿宋" w:hAnsi="仿宋" w:eastAsia="仿宋"/>
          <w:sz w:val="32"/>
          <w:szCs w:val="32"/>
        </w:rPr>
        <w:t>万元，主要原因是</w:t>
      </w:r>
      <w:r>
        <w:rPr>
          <w:rFonts w:hint="eastAsia" w:ascii="仿宋" w:hAnsi="仿宋" w:eastAsia="仿宋"/>
          <w:sz w:val="32"/>
          <w:szCs w:val="32"/>
        </w:rPr>
        <w:t>鉴于当前区级财政紧张，减少项目资金投入</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机关运行经费安排</w:t>
      </w:r>
      <w:r>
        <w:rPr>
          <w:rFonts w:hint="eastAsia" w:ascii="仿宋" w:hAnsi="仿宋" w:eastAsia="仿宋"/>
          <w:sz w:val="32"/>
          <w:szCs w:val="32"/>
        </w:rPr>
        <w:t>80.88</w:t>
      </w:r>
      <w:r>
        <w:rPr>
          <w:rFonts w:ascii="仿宋" w:hAnsi="仿宋" w:eastAsia="仿宋"/>
          <w:sz w:val="32"/>
          <w:szCs w:val="32"/>
        </w:rPr>
        <w:t>万元，其中办公费</w:t>
      </w:r>
      <w:r>
        <w:rPr>
          <w:rFonts w:hint="eastAsia" w:ascii="仿宋" w:hAnsi="仿宋" w:eastAsia="仿宋"/>
          <w:sz w:val="32"/>
          <w:szCs w:val="32"/>
        </w:rPr>
        <w:t>10.24</w:t>
      </w:r>
      <w:r>
        <w:rPr>
          <w:rFonts w:ascii="仿宋" w:hAnsi="仿宋" w:eastAsia="仿宋"/>
          <w:sz w:val="32"/>
          <w:szCs w:val="32"/>
        </w:rPr>
        <w:t>万元，邮电费</w:t>
      </w:r>
      <w:r>
        <w:rPr>
          <w:rFonts w:hint="eastAsia" w:ascii="仿宋" w:hAnsi="仿宋" w:eastAsia="仿宋"/>
          <w:sz w:val="32"/>
          <w:szCs w:val="32"/>
        </w:rPr>
        <w:t>10.18</w:t>
      </w:r>
      <w:r>
        <w:rPr>
          <w:rFonts w:ascii="仿宋" w:hAnsi="仿宋" w:eastAsia="仿宋"/>
          <w:sz w:val="32"/>
          <w:szCs w:val="32"/>
        </w:rPr>
        <w:t>万元，工会经费、福利费</w:t>
      </w:r>
      <w:r>
        <w:rPr>
          <w:rFonts w:hint="eastAsia" w:ascii="仿宋" w:hAnsi="仿宋" w:eastAsia="仿宋"/>
          <w:sz w:val="32"/>
          <w:szCs w:val="32"/>
        </w:rPr>
        <w:t>4.05</w:t>
      </w:r>
      <w:r>
        <w:rPr>
          <w:rFonts w:ascii="仿宋" w:hAnsi="仿宋" w:eastAsia="仿宋"/>
          <w:sz w:val="32"/>
          <w:szCs w:val="32"/>
        </w:rPr>
        <w:t>万元，公务用车运行维护费</w:t>
      </w:r>
      <w:r>
        <w:rPr>
          <w:rFonts w:hint="eastAsia" w:ascii="仿宋" w:hAnsi="仿宋" w:eastAsia="仿宋"/>
          <w:sz w:val="32"/>
          <w:szCs w:val="32"/>
        </w:rPr>
        <w:t>24.3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32.11</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492"/>
            </w:tblGrid>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492"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4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认真执行中央八项规定，厉行节约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6.37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-4.08</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认真执行中央八项规定，厉行节约</w:t>
                  </w:r>
                </w:p>
              </w:tc>
            </w:tr>
            <w:tr>
              <w:tblPrEx>
                <w:tblCellMar>
                  <w:top w:w="0" w:type="dxa"/>
                  <w:left w:w="108" w:type="dxa"/>
                  <w:bottom w:w="0" w:type="dxa"/>
                  <w:right w:w="108" w:type="dxa"/>
                </w:tblCellMar>
              </w:tblPrEx>
              <w:trPr>
                <w:trHeight w:val="636"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36.07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26.59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-9.48</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落实中央八项规定</w:t>
                  </w:r>
                  <w:bookmarkStart w:id="7" w:name="_GoBack"/>
                  <w:bookmarkEnd w:id="7"/>
                  <w:r>
                    <w:rPr>
                      <w:rFonts w:hint="eastAsia" w:ascii="仿宋_GB2312" w:hAnsi="宋体" w:eastAsia="仿宋_GB2312" w:cs="宋体"/>
                      <w:kern w:val="0"/>
                      <w:sz w:val="24"/>
                      <w:szCs w:val="24"/>
                    </w:rPr>
                    <w:t>，厉行节约，“三公经费”总体减少9.48万元</w:t>
                  </w:r>
                  <w:r>
                    <w:rPr>
                      <w:rFonts w:ascii="仿宋_GB2312" w:hAnsi="宋体" w:eastAsia="仿宋_GB2312" w:cs="宋体"/>
                      <w:kern w:val="0"/>
                      <w:sz w:val="24"/>
                      <w:szCs w:val="24"/>
                    </w:rPr>
                    <w:t xml:space="preserve"> </w:t>
                  </w: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360" w:lineRule="auto"/>
        <w:ind w:firstLine="560" w:firstLineChars="200"/>
        <w:rPr>
          <w:rFonts w:ascii="仿宋" w:hAnsi="仿宋" w:eastAsia="仿宋"/>
          <w:sz w:val="32"/>
          <w:szCs w:val="32"/>
        </w:rPr>
      </w:pPr>
      <w:r>
        <w:rPr>
          <w:rFonts w:hint="eastAsia" w:ascii="仿宋" w:hAnsi="仿宋" w:eastAsia="仿宋"/>
          <w:color w:val="000000"/>
          <w:sz w:val="28"/>
          <w:szCs w:val="28"/>
        </w:rPr>
        <w:t>以习近平新时代中国特色社会主义思想为指导，深入贯彻落实中央和省、市、区政府关于林业和草原重大决策部署，紧紧围绕自然资源管理中心工作，着眼</w:t>
      </w:r>
      <w:r>
        <w:rPr>
          <w:rFonts w:ascii="Times New Roman" w:hAnsi="Times New Roman" w:cs="Times New Roman"/>
          <w:color w:val="000000"/>
          <w:sz w:val="28"/>
          <w:szCs w:val="28"/>
        </w:rPr>
        <w:t>“</w:t>
      </w:r>
      <w:r>
        <w:rPr>
          <w:rFonts w:hint="eastAsia" w:ascii="仿宋" w:hAnsi="仿宋" w:eastAsia="仿宋"/>
          <w:color w:val="000000"/>
          <w:sz w:val="28"/>
          <w:szCs w:val="28"/>
        </w:rPr>
        <w:t>统一行使全民所有自然资源资产所有者职责、统一行使所有国土空间用途管制和生态保护修复职责</w:t>
      </w:r>
      <w:r>
        <w:rPr>
          <w:rFonts w:ascii="Times New Roman" w:hAnsi="Times New Roman" w:cs="Times New Roman"/>
          <w:color w:val="000000"/>
          <w:sz w:val="28"/>
          <w:szCs w:val="28"/>
        </w:rPr>
        <w:t>”</w:t>
      </w:r>
      <w:r>
        <w:rPr>
          <w:rFonts w:hint="eastAsia" w:ascii="仿宋" w:hAnsi="仿宋" w:eastAsia="仿宋"/>
          <w:color w:val="000000"/>
          <w:sz w:val="28"/>
          <w:szCs w:val="28"/>
        </w:rPr>
        <w:t>新职能新定位和脱贫攻坚等国家重大战略，全力以赴做好政策支持、要素保障和生态支撑。以组织开展自然资源统一确权登记、高质量完成第三次国土调查为基础，加快构建全区国土空间规划、自然资源资产产权制度和统一的自然资源调查评价三个管理体系。以完成国家和省、市生态保护修复任务、地质灾害防治、矿产开发监管、海洋灾害预警预报为重点，确保不发生重大灾情和安全事故。以提高土地投入产出效益、矿产资源节约与合理利用、测绘地理信息应急保障服务、遏制违法违规为抓手，努力提升资源节约集约利用水平。围绕建设京津冀生态环境支撑区战略定位，持续推进大规模国土绿化进程，完成全年营造林面积，有效改善生态环境</w:t>
      </w:r>
      <w:r>
        <w:rPr>
          <w:rFonts w:ascii="Times New Roman" w:hAnsi="Times New Roman" w:cs="Times New Roman"/>
          <w:color w:val="000000"/>
          <w:sz w:val="28"/>
          <w:szCs w:val="28"/>
        </w:rPr>
        <w:t>,</w:t>
      </w:r>
      <w:r>
        <w:rPr>
          <w:rFonts w:hint="eastAsia" w:ascii="仿宋" w:hAnsi="仿宋" w:eastAsia="仿宋"/>
          <w:color w:val="000000"/>
          <w:sz w:val="28"/>
          <w:szCs w:val="28"/>
        </w:rPr>
        <w:t>提升森林质量；完善生态保护体系建设，确保全区生态林得到有效管护，自然保护地管理体系日趋完善，加强森林草原防火、有害生物防治，巩固生态建设成果；充分发挥科技示范引领，通过先进技术推广和科技支撑，示范建设高标准经济林和花卉示范基地，助推生态脱贫。</w:t>
      </w: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1"/>
        <w:rPr>
          <w:rFonts w:ascii="Times New Roman" w:hAnsi="宋体" w:eastAsia="宋体"/>
          <w:b/>
          <w:sz w:val="28"/>
        </w:rPr>
      </w:pPr>
      <w:r>
        <w:rPr>
          <w:rFonts w:ascii="方正仿宋_GBK" w:eastAsia="方正仿宋_GBK"/>
          <w:b/>
          <w:sz w:val="28"/>
        </w:rPr>
        <w:t>1、</w:t>
      </w:r>
      <w:r>
        <w:rPr>
          <w:rFonts w:hint="eastAsia" w:ascii="方正仿宋_GBK" w:eastAsia="方正仿宋_GBK"/>
          <w:b/>
          <w:sz w:val="28"/>
        </w:rPr>
        <w:t>徐水区绿化占地土地流转金</w:t>
      </w:r>
      <w:r>
        <w:rPr>
          <w:rFonts w:ascii="方正仿宋_GBK" w:eastAsia="方正仿宋_GBK"/>
          <w:b/>
          <w:sz w:val="28"/>
        </w:rPr>
        <w:t>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0" w:name="_Toc32410795"/>
      <w:r>
        <w:rPr>
          <w:rFonts w:ascii="方正仿宋_GBK" w:eastAsia="方正仿宋_GBK"/>
          <w:b/>
          <w:sz w:val="28"/>
        </w:rPr>
        <w:instrText xml:space="preserve">1、2020年度国有建设用地供应计划编制经费绩效目标表</w:instrText>
      </w:r>
      <w:bookmarkEnd w:id="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1自规局</w:t>
            </w:r>
            <w:r>
              <w:rPr>
                <w:rFonts w:ascii="方正书宋_GBK" w:eastAsia="方正书宋_GBK"/>
                <w:b/>
              </w:rPr>
              <w:t>（行政）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sz w:val="18"/>
                <w:szCs w:val="18"/>
              </w:rPr>
              <w:t>13062522P00456610302</w:t>
            </w:r>
            <w:r>
              <w:rPr>
                <w:rFonts w:ascii="方正书宋_GBK" w:eastAsia="方正书宋_GBK"/>
              </w:rPr>
              <w:t>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sz w:val="18"/>
                <w:szCs w:val="18"/>
              </w:rPr>
            </w:pPr>
            <w:r>
              <w:rPr>
                <w:rFonts w:hint="eastAsia" w:ascii="方正仿宋_GBK" w:eastAsia="方正仿宋_GBK"/>
                <w:b/>
                <w:sz w:val="18"/>
                <w:szCs w:val="18"/>
              </w:rPr>
              <w:t>徐水区绿化占地土地流转金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471.16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471.16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绿化占地租用农民土地的</w:t>
            </w:r>
            <w:r>
              <w:rPr>
                <w:rFonts w:ascii="方正书宋_GBK" w:eastAsia="方正书宋_GBK"/>
              </w:rPr>
              <w:t>土地流转金</w:t>
            </w:r>
            <w:r>
              <w:rPr>
                <w:rFonts w:hint="eastAsia" w:ascii="方正书宋_GBK" w:eastAsia="方正书宋_GBK"/>
              </w:rPr>
              <w:t>471.16</w:t>
            </w:r>
            <w:r>
              <w:rPr>
                <w:rFonts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减少地下水开采，改善两侧生态环境</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完成植树造林绿化占地流转金补助支付工作</w:t>
            </w:r>
          </w:p>
          <w:p>
            <w:pPr>
              <w:spacing w:line="300" w:lineRule="exact"/>
              <w:jc w:val="left"/>
              <w:rPr>
                <w:rFonts w:ascii="方正书宋_GBK" w:eastAsia="方正书宋_GBK"/>
              </w:rPr>
            </w:pPr>
            <w:r>
              <w:rPr>
                <w:rFonts w:hint="eastAsia" w:ascii="方正书宋_GBK" w:eastAsia="方正书宋_GBK"/>
              </w:rPr>
              <w:t>3、该项目绿化占地流转金</w:t>
            </w:r>
            <w:r>
              <w:rPr>
                <w:rFonts w:ascii="方正书宋_GBK" w:eastAsia="方正书宋_GBK"/>
              </w:rPr>
              <w:t>471.16万元，预计当年1-12月份支付471.16万元</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rPr>
                <w:rFonts w:ascii="宋体" w:hAnsi="宋体" w:eastAsia="宋体" w:cs="宋体"/>
                <w:color w:val="000000"/>
                <w:sz w:val="22"/>
              </w:rPr>
            </w:pPr>
            <w:r>
              <w:rPr>
                <w:rFonts w:hint="eastAsia"/>
                <w:color w:val="000000"/>
                <w:sz w:val="22"/>
              </w:rPr>
              <w:t>实际支付资金情况</w:t>
            </w:r>
          </w:p>
        </w:tc>
        <w:tc>
          <w:tcPr>
            <w:tcW w:w="2891" w:type="dxa"/>
            <w:shd w:val="clear" w:color="auto" w:fill="auto"/>
            <w:vAlign w:val="center"/>
          </w:tcPr>
          <w:p>
            <w:pPr>
              <w:rPr>
                <w:rFonts w:ascii="Calibri" w:hAnsi="Calibri" w:eastAsia="宋体" w:cs="Calibri"/>
                <w:color w:val="000000"/>
                <w:sz w:val="22"/>
              </w:rPr>
            </w:pPr>
            <w:r>
              <w:rPr>
                <w:rFonts w:ascii="Calibri" w:hAnsi="Calibri" w:cs="Calibri"/>
                <w:color w:val="000000"/>
                <w:sz w:val="22"/>
              </w:rPr>
              <w:t>实际支付流转金金额占计划支付流转金金额的比率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rPr>
                <w:rFonts w:ascii="Calibri" w:hAnsi="Calibri" w:eastAsia="宋体" w:cs="Calibri"/>
                <w:color w:val="000000"/>
                <w:sz w:val="22"/>
              </w:rPr>
            </w:pPr>
            <w:r>
              <w:rPr>
                <w:rFonts w:ascii="Calibri" w:hAnsi="Calibri" w:cs="Calibri"/>
                <w:color w:val="000000"/>
                <w:sz w:val="22"/>
              </w:rPr>
              <w:t>工作计划和合同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rPr>
                <w:rFonts w:ascii="Calibri" w:hAnsi="Calibri" w:eastAsia="宋体" w:cs="Calibri"/>
                <w:color w:val="000000"/>
                <w:sz w:val="22"/>
              </w:rPr>
            </w:pPr>
            <w:r>
              <w:rPr>
                <w:rFonts w:ascii="Calibri" w:hAnsi="Calibri" w:cs="Calibri"/>
                <w:color w:val="000000"/>
                <w:sz w:val="22"/>
              </w:rPr>
              <w:t>拨付工作考核情况</w:t>
            </w:r>
          </w:p>
        </w:tc>
        <w:tc>
          <w:tcPr>
            <w:tcW w:w="2891" w:type="dxa"/>
            <w:shd w:val="clear" w:color="auto" w:fill="auto"/>
            <w:vAlign w:val="center"/>
          </w:tcPr>
          <w:p>
            <w:pPr>
              <w:rPr>
                <w:rFonts w:ascii="Calibri" w:hAnsi="Calibri" w:eastAsia="宋体" w:cs="Calibri"/>
                <w:color w:val="000000"/>
                <w:sz w:val="22"/>
              </w:rPr>
            </w:pPr>
            <w:r>
              <w:rPr>
                <w:rFonts w:ascii="Calibri" w:hAnsi="Calibri" w:cs="Calibri"/>
                <w:color w:val="000000"/>
                <w:sz w:val="22"/>
              </w:rPr>
              <w:t>工作考核是否合格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rPr>
                <w:rFonts w:ascii="Calibri" w:hAnsi="Calibri" w:eastAsia="宋体" w:cs="Calibri"/>
                <w:color w:val="000000"/>
                <w:sz w:val="22"/>
              </w:rPr>
            </w:pPr>
            <w:r>
              <w:rPr>
                <w:rFonts w:ascii="Calibri" w:hAnsi="Calibri" w:cs="Calibri"/>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时效指标</w:t>
            </w:r>
          </w:p>
        </w:tc>
        <w:tc>
          <w:tcPr>
            <w:tcW w:w="1276" w:type="dxa"/>
            <w:shd w:val="clear" w:color="auto" w:fill="auto"/>
            <w:vAlign w:val="center"/>
          </w:tcPr>
          <w:p>
            <w:pPr>
              <w:rPr>
                <w:rFonts w:ascii="Calibri" w:hAnsi="Calibri" w:eastAsia="宋体" w:cs="Calibri"/>
                <w:color w:val="000000"/>
                <w:sz w:val="22"/>
              </w:rPr>
            </w:pPr>
            <w:r>
              <w:rPr>
                <w:rFonts w:ascii="Calibri" w:hAnsi="Calibri" w:cs="Calibri"/>
                <w:color w:val="000000"/>
                <w:sz w:val="22"/>
              </w:rPr>
              <w:t>及时支付资金率</w:t>
            </w:r>
          </w:p>
        </w:tc>
        <w:tc>
          <w:tcPr>
            <w:tcW w:w="2891" w:type="dxa"/>
            <w:shd w:val="clear" w:color="auto" w:fill="auto"/>
            <w:vAlign w:val="center"/>
          </w:tcPr>
          <w:p>
            <w:pPr>
              <w:rPr>
                <w:rFonts w:ascii="Calibri" w:hAnsi="Calibri" w:eastAsia="宋体" w:cs="Calibri"/>
                <w:color w:val="000000"/>
                <w:sz w:val="22"/>
              </w:rPr>
            </w:pPr>
            <w:r>
              <w:rPr>
                <w:rFonts w:ascii="Calibri" w:hAnsi="Calibri" w:cs="Calibri"/>
                <w:color w:val="000000"/>
                <w:sz w:val="22"/>
              </w:rPr>
              <w:t>按照工作计划及时拨付资金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rPr>
                <w:rFonts w:ascii="Calibri" w:hAnsi="Calibri" w:eastAsia="宋体" w:cs="Calibri"/>
                <w:color w:val="000000"/>
                <w:sz w:val="22"/>
              </w:rPr>
            </w:pPr>
            <w:r>
              <w:rPr>
                <w:rFonts w:ascii="Calibri" w:hAnsi="Calibri" w:cs="Calibri"/>
                <w:color w:val="000000"/>
                <w:sz w:val="22"/>
              </w:rPr>
              <w:t>工作计划和合同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成本指标</w:t>
            </w:r>
          </w:p>
        </w:tc>
        <w:tc>
          <w:tcPr>
            <w:tcW w:w="1276" w:type="dxa"/>
            <w:shd w:val="clear" w:color="auto" w:fill="auto"/>
            <w:vAlign w:val="center"/>
          </w:tcPr>
          <w:p>
            <w:pPr>
              <w:rPr>
                <w:rFonts w:ascii="Calibri" w:hAnsi="Calibri" w:eastAsia="宋体" w:cs="Calibri"/>
                <w:color w:val="000000"/>
                <w:sz w:val="22"/>
              </w:rPr>
            </w:pPr>
            <w:r>
              <w:rPr>
                <w:rFonts w:ascii="Calibri" w:hAnsi="Calibri" w:cs="Calibri"/>
                <w:color w:val="000000"/>
                <w:sz w:val="22"/>
              </w:rPr>
              <w:t>预算执行率</w:t>
            </w:r>
          </w:p>
        </w:tc>
        <w:tc>
          <w:tcPr>
            <w:tcW w:w="2891" w:type="dxa"/>
            <w:shd w:val="clear" w:color="auto" w:fill="auto"/>
            <w:vAlign w:val="center"/>
          </w:tcPr>
          <w:p>
            <w:pPr>
              <w:rPr>
                <w:rFonts w:ascii="Calibri" w:hAnsi="Calibri" w:eastAsia="宋体" w:cs="Calibri"/>
                <w:color w:val="000000"/>
                <w:sz w:val="22"/>
              </w:rPr>
            </w:pPr>
            <w:r>
              <w:rPr>
                <w:rFonts w:ascii="Calibri" w:hAnsi="Calibri" w:cs="Calibri"/>
                <w:color w:val="000000"/>
                <w:sz w:val="22"/>
              </w:rPr>
              <w:t>不超项目本年度资金预算</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rPr>
                <w:rFonts w:ascii="Calibri" w:hAnsi="Calibri" w:eastAsia="宋体" w:cs="Calibri"/>
                <w:color w:val="000000"/>
                <w:sz w:val="22"/>
              </w:rPr>
            </w:pPr>
            <w:r>
              <w:rPr>
                <w:rFonts w:ascii="Calibri" w:hAnsi="Calibri" w:cs="Calibri"/>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w:t>
            </w:r>
            <w:r>
              <w:rPr>
                <w:rFonts w:ascii="方正书宋_GBK" w:eastAsia="方正书宋_GBK"/>
              </w:rPr>
              <w:t>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rPr>
                <w:rFonts w:ascii="Calibri" w:hAnsi="Calibri" w:eastAsia="宋体" w:cs="Calibri"/>
                <w:color w:val="000000"/>
                <w:sz w:val="22"/>
              </w:rPr>
            </w:pPr>
            <w:r>
              <w:rPr>
                <w:rFonts w:ascii="Calibri" w:hAnsi="Calibri" w:cs="Calibri"/>
                <w:color w:val="000000"/>
                <w:sz w:val="22"/>
              </w:rPr>
              <w:t>保证造林绿化工作进行</w:t>
            </w:r>
          </w:p>
        </w:tc>
        <w:tc>
          <w:tcPr>
            <w:tcW w:w="2891" w:type="dxa"/>
            <w:shd w:val="clear" w:color="auto" w:fill="auto"/>
            <w:vAlign w:val="center"/>
          </w:tcPr>
          <w:p>
            <w:pPr>
              <w:rPr>
                <w:rFonts w:ascii="Calibri" w:hAnsi="Calibri" w:eastAsia="宋体" w:cs="Calibri"/>
                <w:color w:val="000000"/>
                <w:sz w:val="22"/>
              </w:rPr>
            </w:pPr>
            <w:r>
              <w:rPr>
                <w:rFonts w:ascii="Calibri" w:hAnsi="Calibri" w:cs="Calibri"/>
                <w:color w:val="000000"/>
                <w:sz w:val="22"/>
              </w:rPr>
              <w:t>能够保障造林绿化工作顺利开展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rPr>
                <w:rFonts w:ascii="Calibri" w:hAnsi="Calibri" w:eastAsia="宋体" w:cs="Calibri"/>
                <w:color w:val="000000"/>
                <w:sz w:val="22"/>
              </w:rPr>
            </w:pPr>
            <w:r>
              <w:rPr>
                <w:rFonts w:ascii="Calibri" w:hAnsi="Calibri" w:cs="Calibri"/>
                <w:color w:val="000000"/>
                <w:sz w:val="22"/>
              </w:rPr>
              <w:t>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1"/>
        <w:rPr>
          <w:rFonts w:ascii="Times New Roman" w:hAnsi="宋体" w:eastAsia="宋体"/>
          <w:b/>
          <w:sz w:val="28"/>
        </w:rPr>
      </w:pPr>
      <w:r>
        <w:rPr>
          <w:rFonts w:ascii="方正仿宋_GBK" w:eastAsia="方正仿宋_GBK"/>
          <w:b/>
          <w:sz w:val="28"/>
        </w:rPr>
        <w:t>2、</w:t>
      </w:r>
      <w:r>
        <w:rPr>
          <w:rFonts w:hint="eastAsia" w:ascii="方正仿宋_GBK" w:eastAsia="方正仿宋_GBK"/>
          <w:b/>
          <w:sz w:val="28"/>
        </w:rPr>
        <w:t>徐水区不动产登记中心投保职业责任险项目</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2410796"/>
      <w:r>
        <w:rPr>
          <w:rFonts w:ascii="方正仿宋_GBK" w:eastAsia="方正仿宋_GBK"/>
          <w:b/>
          <w:sz w:val="28"/>
        </w:rPr>
        <w:instrText xml:space="preserve">2、2020年度权籍调查测绘工作经费绩效目标表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1自规局</w:t>
            </w:r>
            <w:r>
              <w:rPr>
                <w:rFonts w:ascii="方正书宋_GBK" w:eastAsia="方正书宋_GBK"/>
                <w:b/>
              </w:rPr>
              <w:t>（行政）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sz w:val="18"/>
                <w:szCs w:val="18"/>
              </w:rPr>
            </w:pPr>
            <w:r>
              <w:rPr>
                <w:rFonts w:ascii="方正书宋_GBK" w:eastAsia="方正书宋_GBK"/>
                <w:sz w:val="18"/>
                <w:szCs w:val="18"/>
              </w:rPr>
              <w:t>13062522P004567100058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徐水区不动产登记中心投保职业责任险项目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r>
              <w:rPr>
                <w:rFonts w:ascii="方正书宋_GBK" w:eastAsia="方正书宋_GBK"/>
              </w:rPr>
              <w:t>.00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r>
              <w:rPr>
                <w:rFonts w:ascii="方正书宋_GBK" w:eastAsia="方正书宋_GBK"/>
              </w:rPr>
              <w:t>.00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不动产登记中心投保职业责任保险费用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建立不动产登记风险管理制度，建立登记保险制度，做好风险控制工作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完善我区不动产登记保险制度，有效化和分担登记风险</w:t>
            </w:r>
          </w:p>
          <w:p>
            <w:pPr>
              <w:spacing w:line="300" w:lineRule="exact"/>
              <w:jc w:val="left"/>
              <w:rPr>
                <w:rFonts w:ascii="方正书宋_GBK" w:eastAsia="方正书宋_GBK"/>
              </w:rPr>
            </w:pPr>
            <w:r>
              <w:rPr>
                <w:rFonts w:hint="eastAsia" w:ascii="方正书宋_GBK" w:eastAsia="方正书宋_GBK"/>
              </w:rPr>
              <w:t>3、购买职业责任险费用</w:t>
            </w:r>
            <w:r>
              <w:rPr>
                <w:rFonts w:ascii="方正书宋_GBK" w:eastAsia="方正书宋_GBK"/>
              </w:rPr>
              <w:t>5万元，预计2022年5月份支付完毕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tcPr>
          <w:p>
            <w:pPr>
              <w:rPr>
                <w:rFonts w:ascii="Calibri" w:hAnsi="Calibri" w:eastAsia="宋体" w:cs="Calibri"/>
                <w:color w:val="000000"/>
                <w:sz w:val="22"/>
              </w:rPr>
            </w:pPr>
            <w:r>
              <w:rPr>
                <w:rFonts w:hint="eastAsia" w:ascii="Calibri" w:hAnsi="Calibri" w:eastAsia="宋体" w:cs="Calibri"/>
                <w:color w:val="000000"/>
                <w:sz w:val="22"/>
              </w:rPr>
              <w:t>化解登记风险率</w:t>
            </w:r>
          </w:p>
        </w:tc>
        <w:tc>
          <w:tcPr>
            <w:tcW w:w="2891" w:type="dxa"/>
            <w:shd w:val="clear" w:color="auto" w:fill="auto"/>
          </w:tcPr>
          <w:p>
            <w:pPr>
              <w:rPr>
                <w:rFonts w:ascii="宋体" w:hAnsi="宋体" w:eastAsia="宋体" w:cs="宋体"/>
                <w:color w:val="000000"/>
                <w:sz w:val="22"/>
              </w:rPr>
            </w:pPr>
            <w:r>
              <w:rPr>
                <w:rFonts w:hint="eastAsia"/>
                <w:color w:val="000000"/>
                <w:sz w:val="22"/>
              </w:rPr>
              <w:t>实际化解风险次数占应化解风险次数的比率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tcPr>
          <w:p>
            <w:pPr>
              <w:jc w:val="center"/>
              <w:rPr>
                <w:rFonts w:ascii="Calibri" w:hAnsi="Calibri" w:eastAsia="宋体" w:cs="Calibri"/>
                <w:color w:val="000000"/>
                <w:sz w:val="22"/>
              </w:rPr>
            </w:pPr>
            <w:r>
              <w:rPr>
                <w:rFonts w:ascii="Calibri" w:hAnsi="Calibri" w:cs="Calibri"/>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工作正常运转率</w:t>
            </w:r>
          </w:p>
        </w:tc>
        <w:tc>
          <w:tcPr>
            <w:tcW w:w="2891" w:type="dxa"/>
            <w:shd w:val="clear" w:color="auto" w:fill="auto"/>
          </w:tcPr>
          <w:p>
            <w:pPr>
              <w:rPr>
                <w:rFonts w:ascii="Calibri" w:hAnsi="Calibri" w:eastAsia="宋体" w:cs="Calibri"/>
                <w:color w:val="000000"/>
                <w:sz w:val="22"/>
              </w:rPr>
            </w:pPr>
            <w:r>
              <w:rPr>
                <w:rFonts w:ascii="Calibri" w:hAnsi="Calibri" w:cs="Calibri"/>
                <w:color w:val="000000"/>
                <w:sz w:val="22"/>
              </w:rPr>
              <w:t>实际工作正常运转天数占应运转天数的比率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tcPr>
          <w:p>
            <w:pPr>
              <w:jc w:val="center"/>
              <w:rPr>
                <w:rFonts w:ascii="Calibri" w:hAnsi="Calibri" w:eastAsia="宋体" w:cs="Calibri"/>
                <w:color w:val="000000"/>
                <w:sz w:val="22"/>
              </w:rPr>
            </w:pPr>
            <w:r>
              <w:rPr>
                <w:rFonts w:ascii="Calibri" w:hAnsi="Calibri" w:cs="Calibri"/>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及时支付资金情况</w:t>
            </w:r>
          </w:p>
        </w:tc>
        <w:tc>
          <w:tcPr>
            <w:tcW w:w="2891" w:type="dxa"/>
            <w:shd w:val="clear" w:color="auto" w:fill="auto"/>
          </w:tcPr>
          <w:p>
            <w:pPr>
              <w:rPr>
                <w:rFonts w:ascii="Calibri" w:hAnsi="Calibri" w:eastAsia="宋体" w:cs="Calibri"/>
                <w:color w:val="000000"/>
                <w:sz w:val="22"/>
              </w:rPr>
            </w:pPr>
            <w:r>
              <w:rPr>
                <w:rFonts w:ascii="Calibri" w:hAnsi="Calibri" w:cs="Calibri"/>
                <w:color w:val="000000"/>
                <w:sz w:val="22"/>
              </w:rPr>
              <w:t>按照工作安排资金支付时限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tcPr>
          <w:p>
            <w:pPr>
              <w:jc w:val="center"/>
              <w:rPr>
                <w:rFonts w:ascii="Calibri" w:hAnsi="Calibri" w:eastAsia="宋体" w:cs="Calibri"/>
                <w:color w:val="000000"/>
                <w:sz w:val="22"/>
              </w:rPr>
            </w:pPr>
            <w:r>
              <w:rPr>
                <w:rFonts w:ascii="Calibri" w:hAnsi="Calibri" w:cs="Calibri"/>
                <w:color w:val="000000"/>
                <w:sz w:val="22"/>
              </w:rPr>
              <w:t>保险单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tcPr>
          <w:p>
            <w:pPr>
              <w:rPr>
                <w:rFonts w:ascii="Calibri" w:hAnsi="Calibri" w:eastAsia="宋体" w:cs="Calibri"/>
                <w:color w:val="000000"/>
                <w:sz w:val="22"/>
              </w:rPr>
            </w:pPr>
            <w:r>
              <w:rPr>
                <w:rFonts w:ascii="Calibri" w:hAnsi="Calibri" w:cs="Calibri"/>
                <w:color w:val="000000"/>
                <w:sz w:val="22"/>
              </w:rPr>
              <w:t>项目支出金额不高于预算金额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5万元</w:t>
            </w:r>
          </w:p>
        </w:tc>
        <w:tc>
          <w:tcPr>
            <w:tcW w:w="1701" w:type="dxa"/>
            <w:shd w:val="clear" w:color="auto" w:fill="auto"/>
          </w:tcPr>
          <w:p>
            <w:pPr>
              <w:jc w:val="center"/>
              <w:rPr>
                <w:rFonts w:ascii="Calibri" w:hAnsi="Calibri" w:eastAsia="宋体" w:cs="Calibri"/>
                <w:color w:val="000000"/>
                <w:sz w:val="22"/>
              </w:rPr>
            </w:pPr>
            <w:r>
              <w:rPr>
                <w:rFonts w:ascii="Calibri" w:hAnsi="Calibri" w:cs="Calibri"/>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保障不动产登记工作顺利进行</w:t>
            </w:r>
          </w:p>
        </w:tc>
        <w:tc>
          <w:tcPr>
            <w:tcW w:w="2891" w:type="dxa"/>
            <w:shd w:val="clear" w:color="auto" w:fill="auto"/>
          </w:tcPr>
          <w:p>
            <w:pPr>
              <w:rPr>
                <w:rFonts w:ascii="Calibri" w:hAnsi="Calibri" w:eastAsia="宋体" w:cs="Calibri"/>
                <w:color w:val="000000"/>
                <w:sz w:val="22"/>
              </w:rPr>
            </w:pPr>
            <w:r>
              <w:rPr>
                <w:rFonts w:ascii="Calibri" w:hAnsi="Calibri" w:cs="Calibri"/>
                <w:color w:val="000000"/>
                <w:sz w:val="22"/>
              </w:rPr>
              <w:t>保障不动产登记工作顺利进行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tcPr>
          <w:p>
            <w:pPr>
              <w:jc w:val="center"/>
              <w:rPr>
                <w:rFonts w:ascii="Calibri" w:hAnsi="Calibri" w:eastAsia="宋体" w:cs="Calibri"/>
                <w:color w:val="000000"/>
                <w:sz w:val="22"/>
              </w:rPr>
            </w:pPr>
            <w:r>
              <w:rPr>
                <w:rFonts w:ascii="Calibri" w:hAnsi="Calibri" w:cs="Calibri"/>
                <w:color w:val="000000"/>
                <w:sz w:val="22"/>
              </w:rPr>
              <w:t>根据工作安排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w:t>
      </w:r>
      <w:r>
        <w:rPr>
          <w:rFonts w:hint="eastAsia" w:ascii="方正仿宋_GBK" w:eastAsia="方正仿宋_GBK"/>
          <w:b/>
          <w:sz w:val="28"/>
        </w:rPr>
        <w:t>徐水区</w:t>
      </w:r>
      <w:r>
        <w:rPr>
          <w:rFonts w:ascii="方正仿宋_GBK" w:eastAsia="方正仿宋_GBK"/>
          <w:b/>
          <w:sz w:val="28"/>
        </w:rPr>
        <w:t>2022年度林业有害生物防治经费绩效目标表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2410797"/>
      <w:r>
        <w:rPr>
          <w:rFonts w:ascii="方正仿宋_GBK" w:eastAsia="方正仿宋_GBK"/>
          <w:b/>
          <w:sz w:val="28"/>
        </w:rPr>
        <w:instrText xml:space="preserve">3、2020年度全区林业绿化占地经费绩效目标表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1自规局</w:t>
            </w:r>
            <w:r>
              <w:rPr>
                <w:rFonts w:ascii="方正书宋_GBK" w:eastAsia="方正书宋_GBK"/>
                <w:b/>
              </w:rPr>
              <w:t>（行政）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sz w:val="18"/>
                <w:szCs w:val="18"/>
              </w:rPr>
            </w:pPr>
            <w:r>
              <w:rPr>
                <w:rFonts w:ascii="方正书宋_GBK" w:eastAsia="方正书宋_GBK"/>
                <w:sz w:val="18"/>
                <w:szCs w:val="18"/>
              </w:rPr>
              <w:t>13062522P00456710487K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w:t>
            </w:r>
            <w:r>
              <w:rPr>
                <w:rFonts w:ascii="方正书宋_GBK" w:eastAsia="方正书宋_GBK"/>
              </w:rPr>
              <w:t>2022年度林业有害生物防治经费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w:t>
            </w:r>
            <w:r>
              <w:rPr>
                <w:rFonts w:hint="eastAsia" w:ascii="方正书宋_GBK" w:eastAsia="方正书宋_GBK"/>
              </w:rPr>
              <w:t>林业</w:t>
            </w:r>
            <w:r>
              <w:rPr>
                <w:rFonts w:ascii="方正书宋_GBK" w:eastAsia="方正书宋_GBK"/>
              </w:rPr>
              <w:t>生物防治人工费、飞防费、药品等费用资金需要</w:t>
            </w:r>
            <w:r>
              <w:rPr>
                <w:rFonts w:hint="eastAsia" w:ascii="方正书宋_GBK" w:eastAsia="方正书宋_GBK"/>
              </w:rP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预防和减少林业有害生物对森林资源的损失，保护森林资源</w:t>
            </w:r>
            <w:r>
              <w:rPr>
                <w:rFonts w:ascii="方正书宋_GBK" w:eastAsia="方正书宋_GBK"/>
              </w:rPr>
              <w:t>;坚持预防和除治并重，有效遏制林业有害生物灾害的发生，巩固绿化成果。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完成我区</w:t>
            </w:r>
            <w:r>
              <w:rPr>
                <w:rFonts w:ascii="方正书宋_GBK" w:eastAsia="方正书宋_GBK"/>
              </w:rPr>
              <w:t>2022年林业有害生物防治工作</w:t>
            </w:r>
          </w:p>
          <w:p>
            <w:pPr>
              <w:spacing w:line="300" w:lineRule="exact"/>
              <w:jc w:val="left"/>
              <w:rPr>
                <w:rFonts w:ascii="方正书宋_GBK" w:eastAsia="方正书宋_GBK"/>
              </w:rPr>
            </w:pPr>
            <w:r>
              <w:rPr>
                <w:rFonts w:hint="eastAsia" w:ascii="方正书宋_GBK" w:eastAsia="方正书宋_GBK"/>
              </w:rPr>
              <w:t>3、购买药品、飞防费等费用</w:t>
            </w:r>
            <w:r>
              <w:rPr>
                <w:rFonts w:ascii="方正书宋_GBK" w:eastAsia="方正书宋_GBK"/>
              </w:rPr>
              <w:t>70万元，预计2022年3-12月份资金支付完毕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林业有害生物防治面积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预防发生有害生物灾害区域预计</w:t>
            </w:r>
            <w:r>
              <w:rPr>
                <w:rFonts w:ascii="方正书宋_GBK" w:eastAsia="方正书宋_GBK"/>
              </w:rPr>
              <w:t>5万亩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4.9万亩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有害生物成灾率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实际有害生物灾害面积占项目区域面积的比率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资金拨付及时性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按照工作</w:t>
            </w:r>
            <w:r>
              <w:rPr>
                <w:rFonts w:hint="eastAsia" w:ascii="方正书宋_GBK" w:eastAsia="方正书宋_GBK"/>
                <w:lang w:val="en-US" w:eastAsia="zh-CN"/>
              </w:rPr>
              <w:t>安排</w:t>
            </w:r>
            <w:r>
              <w:rPr>
                <w:rFonts w:hint="eastAsia" w:ascii="方正书宋_GBK" w:eastAsia="方正书宋_GBK"/>
              </w:rPr>
              <w:t>和合同约定资金拨付时限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成本绩效指数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实际完成工作的价值与实际</w:t>
            </w:r>
          </w:p>
          <w:p>
            <w:pPr>
              <w:spacing w:line="300" w:lineRule="exact"/>
              <w:jc w:val="left"/>
              <w:rPr>
                <w:rFonts w:ascii="方正书宋_GBK" w:eastAsia="方正书宋_GBK"/>
              </w:rPr>
            </w:pPr>
            <w:r>
              <w:rPr>
                <w:rFonts w:hint="eastAsia" w:ascii="方正书宋_GBK" w:eastAsia="方正书宋_GBK"/>
              </w:rPr>
              <w:t>成本的比值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w:t>
            </w:r>
            <w:r>
              <w:rPr>
                <w:rFonts w:ascii="方正书宋_GBK" w:eastAsia="方正书宋_GBK"/>
              </w:rPr>
              <w:t>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树木保存率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树木因林业有害生物致死率控制在</w:t>
            </w:r>
            <w:r>
              <w:rPr>
                <w:rFonts w:ascii="方正书宋_GBK" w:eastAsia="方正书宋_GBK"/>
              </w:rPr>
              <w:t>10%以下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w:t>
      </w:r>
      <w:r>
        <w:rPr>
          <w:rFonts w:hint="eastAsia" w:ascii="方正仿宋_GBK" w:eastAsia="方正仿宋_GBK"/>
          <w:b/>
          <w:sz w:val="28"/>
        </w:rPr>
        <w:t>苗圃场人员养老保险和医疗保险项目</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2410798"/>
      <w:r>
        <w:rPr>
          <w:rFonts w:ascii="方正仿宋_GBK" w:eastAsia="方正仿宋_GBK"/>
          <w:b/>
          <w:sz w:val="28"/>
        </w:rPr>
        <w:instrText xml:space="preserve">4、保定市徐水区集体建设用地和农用地基准地价制定项目绩效目标表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1自规局</w:t>
            </w:r>
            <w:r>
              <w:rPr>
                <w:rFonts w:ascii="方正书宋_GBK" w:eastAsia="方正书宋_GBK"/>
                <w:b/>
              </w:rPr>
              <w:t>（行政）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sz w:val="15"/>
                <w:szCs w:val="15"/>
              </w:rPr>
            </w:pPr>
            <w:r>
              <w:rPr>
                <w:rFonts w:ascii="方正书宋_GBK" w:eastAsia="方正书宋_GBK"/>
                <w:sz w:val="15"/>
                <w:szCs w:val="15"/>
              </w:rPr>
              <w:t>13062522P00994E10187W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苗圃场人员养老保险和医疗保险项目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17.468664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17.468664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w:t>
            </w:r>
            <w:r>
              <w:rPr>
                <w:rFonts w:hint="eastAsia" w:ascii="方正书宋_GBK" w:eastAsia="方正书宋_GBK"/>
              </w:rPr>
              <w:t>2022年度</w:t>
            </w:r>
            <w:r>
              <w:rPr>
                <w:rFonts w:ascii="方正书宋_GBK" w:eastAsia="方正书宋_GBK"/>
              </w:rPr>
              <w:t>苗圃场人员养老保险和医疗保险等费用17.468664万元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保障人员医疗、养老保险等方面的经费支出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苗圃场人员医疗、养老补助</w:t>
            </w:r>
            <w:r>
              <w:rPr>
                <w:rFonts w:ascii="方正书宋_GBK" w:eastAsia="方正书宋_GBK"/>
              </w:rPr>
              <w:t>17.468664万元，预计2022年1-12月份资金支付完毕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实缴人数占应缴人数比率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按时缴纳人员养老医疗保险及时率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w:t>
            </w:r>
            <w:r>
              <w:rPr>
                <w:rFonts w:ascii="方正书宋_GBK" w:eastAsia="方正书宋_GBK"/>
              </w:rPr>
              <w:t>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5、2022年利息收入绩效目标表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2410799"/>
      <w:r>
        <w:rPr>
          <w:rFonts w:ascii="方正仿宋_GBK" w:eastAsia="方正仿宋_GBK"/>
          <w:b/>
          <w:sz w:val="28"/>
        </w:rPr>
        <w:instrText xml:space="preserve">5、保定市徐水区农村集体土地所有权补充调查项目绩效目标表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1自规局</w:t>
            </w:r>
            <w:r>
              <w:rPr>
                <w:rFonts w:ascii="方正书宋_GBK" w:eastAsia="方正书宋_GBK"/>
                <w:b/>
              </w:rPr>
              <w:t>（行政）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sz w:val="18"/>
                <w:szCs w:val="18"/>
              </w:rPr>
            </w:pPr>
            <w:r>
              <w:rPr>
                <w:rFonts w:ascii="方正书宋_GBK" w:eastAsia="方正书宋_GBK"/>
                <w:sz w:val="18"/>
                <w:szCs w:val="18"/>
              </w:rPr>
              <w:t>13062522P00459810061C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2022年利息收入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1.75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鉴于</w:t>
            </w:r>
            <w:r>
              <w:rPr>
                <w:rFonts w:ascii="方正书宋_GBK" w:eastAsia="方正书宋_GBK"/>
              </w:rPr>
              <w:t>往年资金利息收入情况，预计</w:t>
            </w:r>
            <w:r>
              <w:rPr>
                <w:rFonts w:hint="eastAsia" w:ascii="方正书宋_GBK" w:eastAsia="方正书宋_GBK"/>
              </w:rPr>
              <w:t>2022年利息收入1.75万元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规范资金管理，合法合规使用资金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预计使用利息收入</w:t>
            </w:r>
            <w:r>
              <w:rPr>
                <w:rFonts w:ascii="方正书宋_GBK" w:eastAsia="方正书宋_GBK"/>
              </w:rPr>
              <w:t>1.75万元，主要用于办公经费，预计2022年12月底支付完毕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完成工作比率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实际完成工作数量占计划工作数量的比率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完成工作情况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完成工作合格率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资金支付情况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按照合同约定资金支付情况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w:t>
            </w:r>
            <w:r>
              <w:rPr>
                <w:rFonts w:hint="eastAsia" w:ascii="方正书宋_GBK" w:eastAsia="方正书宋_GBK"/>
              </w:rPr>
              <w:t>益</w:t>
            </w:r>
            <w:r>
              <w:rPr>
                <w:rFonts w:ascii="方正书宋_GBK" w:eastAsia="方正书宋_GBK"/>
              </w:rPr>
              <w:t>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有利于提高工作效率，保障相关工作顺利开展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w:t>
      </w:r>
      <w:r>
        <w:rPr>
          <w:rFonts w:hint="eastAsia" w:ascii="方正仿宋_GBK" w:eastAsia="方正仿宋_GBK"/>
          <w:b/>
          <w:sz w:val="28"/>
        </w:rPr>
        <w:t>矿山环境治理工作经费</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2410800"/>
      <w:r>
        <w:rPr>
          <w:rFonts w:ascii="方正仿宋_GBK" w:eastAsia="方正仿宋_GBK"/>
          <w:b/>
          <w:sz w:val="28"/>
        </w:rPr>
        <w:instrText xml:space="preserve">6、保定市徐水区漕河下游（107国道至雄安界）生态造林工程绩效目标表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1自规局</w:t>
            </w:r>
            <w:r>
              <w:rPr>
                <w:rFonts w:ascii="方正书宋_GBK" w:eastAsia="方正书宋_GBK"/>
                <w:b/>
              </w:rPr>
              <w:t>（行政）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sz w:val="18"/>
                <w:szCs w:val="18"/>
              </w:rPr>
            </w:pPr>
            <w:r>
              <w:rPr>
                <w:rFonts w:ascii="方正书宋_GBK" w:eastAsia="方正书宋_GBK"/>
                <w:sz w:val="18"/>
                <w:szCs w:val="18"/>
              </w:rPr>
              <w:t>13062522P004598100620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矿山环境治理工作经费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0.97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我区矿山环境恢复治理费用</w:t>
            </w:r>
            <w:r>
              <w:rPr>
                <w:rFonts w:hint="eastAsia" w:ascii="方正书宋_GBK" w:eastAsia="方正书宋_GBK"/>
              </w:rPr>
              <w:t>0.97万元</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改善矿山环境，保护生态环境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完成矿山地质环境治理宣传等工作，减少财产损失</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实际完成率</w:t>
            </w:r>
          </w:p>
        </w:tc>
        <w:tc>
          <w:tcPr>
            <w:tcW w:w="2891"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实际完成工作情况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实际达标率</w:t>
            </w:r>
          </w:p>
        </w:tc>
        <w:tc>
          <w:tcPr>
            <w:tcW w:w="2891"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项目完成的达标数与实际完成数的比率，反映项目质的量目标实现程度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时效指标</w:t>
            </w:r>
          </w:p>
        </w:tc>
        <w:tc>
          <w:tcPr>
            <w:tcW w:w="1276"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是否按时完成</w:t>
            </w:r>
          </w:p>
        </w:tc>
        <w:tc>
          <w:tcPr>
            <w:tcW w:w="2891"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实际完成时间与计划完成时间的比率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成本指标</w:t>
            </w:r>
          </w:p>
        </w:tc>
        <w:tc>
          <w:tcPr>
            <w:tcW w:w="1276"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预算执行率</w:t>
            </w:r>
          </w:p>
        </w:tc>
        <w:tc>
          <w:tcPr>
            <w:tcW w:w="2891"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项目预算执行情况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是否保证治理工作顺利完成</w:t>
            </w:r>
          </w:p>
        </w:tc>
        <w:tc>
          <w:tcPr>
            <w:tcW w:w="2891"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保障治理工作顺利进行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jc w:val="center"/>
        <w:outlineLvl w:val="1"/>
        <w:rPr>
          <w:rFonts w:ascii="Times New Roman" w:hAnsi="宋体" w:eastAsia="宋体"/>
          <w:sz w:val="32"/>
        </w:rPr>
      </w:pPr>
      <w:bookmarkStart w:id="6" w:name="_Toc69809617"/>
      <w:r>
        <w:rPr>
          <w:rFonts w:hint="eastAsia" w:ascii="方正小标宋_GBK" w:eastAsia="方正小标宋_GBK"/>
          <w:sz w:val="32"/>
        </w:rPr>
        <w:t>单位</w:t>
      </w:r>
      <w:r>
        <w:rPr>
          <w:rFonts w:ascii="方正小标宋_GBK" w:eastAsia="方正小标宋_GBK"/>
          <w:sz w:val="32"/>
        </w:rPr>
        <w:t>政府采购预算</w:t>
      </w:r>
      <w:bookmarkEnd w:id="6"/>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910"/>
        <w:gridCol w:w="1417"/>
        <w:gridCol w:w="709"/>
        <w:gridCol w:w="642"/>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保定市自然资源和规划局徐水区分局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91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41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642"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910" w:type="dxa"/>
            <w:vMerge w:val="continue"/>
            <w:shd w:val="clear" w:color="auto" w:fill="auto"/>
            <w:vAlign w:val="center"/>
          </w:tcPr>
          <w:p>
            <w:pPr>
              <w:spacing w:line="300" w:lineRule="exact"/>
              <w:jc w:val="left"/>
              <w:outlineLvl w:val="1"/>
              <w:rPr>
                <w:rFonts w:ascii="Times New Roman" w:eastAsia="方正仿宋_GBK"/>
                <w:sz w:val="28"/>
              </w:rPr>
            </w:pPr>
          </w:p>
        </w:tc>
        <w:tc>
          <w:tcPr>
            <w:tcW w:w="1417"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642"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r>
              <w:rPr>
                <w:rFonts w:ascii="方正书宋_GBK" w:eastAsia="方正书宋_GBK"/>
                <w:b/>
                <w:sz w:val="16"/>
              </w:rPr>
              <w:t>合  计</w:t>
            </w: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上年末我单位固定资产总金额为1705.55万元（详见下表）。我单位本年度无国有资产购置计划，拟购置金额为</w:t>
      </w:r>
      <w:r>
        <w:rPr>
          <w:rFonts w:ascii="仿宋" w:hAnsi="仿宋" w:eastAsia="仿宋"/>
          <w:sz w:val="32"/>
          <w:szCs w:val="32"/>
        </w:rPr>
        <w:t>0万元。</w:t>
      </w:r>
    </w:p>
    <w:tbl>
      <w:tblPr>
        <w:tblStyle w:val="5"/>
        <w:tblW w:w="10084" w:type="dxa"/>
        <w:jc w:val="center"/>
        <w:tblLayout w:type="autofit"/>
        <w:tblCellMar>
          <w:top w:w="0" w:type="dxa"/>
          <w:left w:w="108" w:type="dxa"/>
          <w:bottom w:w="0" w:type="dxa"/>
          <w:right w:w="108" w:type="dxa"/>
        </w:tblCellMar>
      </w:tblPr>
      <w:tblGrid>
        <w:gridCol w:w="4788"/>
        <w:gridCol w:w="105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2021</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1705.55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7299.89</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997.14</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6174.61</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688.69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176.04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1123</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532.37</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42909"/>
    </w:sdtPr>
    <w:sdtContent>
      <w:p>
        <w:pPr>
          <w:pStyle w:val="3"/>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308FD"/>
    <w:rsid w:val="00044FBC"/>
    <w:rsid w:val="00055F1F"/>
    <w:rsid w:val="000577EF"/>
    <w:rsid w:val="00057F18"/>
    <w:rsid w:val="00065D32"/>
    <w:rsid w:val="000A445D"/>
    <w:rsid w:val="000C178B"/>
    <w:rsid w:val="000D7082"/>
    <w:rsid w:val="00116D7A"/>
    <w:rsid w:val="00131DEC"/>
    <w:rsid w:val="00136AB3"/>
    <w:rsid w:val="001462BD"/>
    <w:rsid w:val="00151F34"/>
    <w:rsid w:val="00152380"/>
    <w:rsid w:val="001638BE"/>
    <w:rsid w:val="00164810"/>
    <w:rsid w:val="001727D6"/>
    <w:rsid w:val="00172C7A"/>
    <w:rsid w:val="00181777"/>
    <w:rsid w:val="001B4688"/>
    <w:rsid w:val="001B6235"/>
    <w:rsid w:val="001F1178"/>
    <w:rsid w:val="001F4875"/>
    <w:rsid w:val="00212335"/>
    <w:rsid w:val="002159D4"/>
    <w:rsid w:val="002843ED"/>
    <w:rsid w:val="002918C6"/>
    <w:rsid w:val="00291EF3"/>
    <w:rsid w:val="00296524"/>
    <w:rsid w:val="002E01F6"/>
    <w:rsid w:val="002E609F"/>
    <w:rsid w:val="002F1ACB"/>
    <w:rsid w:val="002F530F"/>
    <w:rsid w:val="00305E97"/>
    <w:rsid w:val="00310532"/>
    <w:rsid w:val="0032782B"/>
    <w:rsid w:val="00340B3D"/>
    <w:rsid w:val="0034253A"/>
    <w:rsid w:val="003616DD"/>
    <w:rsid w:val="003669CF"/>
    <w:rsid w:val="00367A30"/>
    <w:rsid w:val="003A06D2"/>
    <w:rsid w:val="003A4557"/>
    <w:rsid w:val="003A6366"/>
    <w:rsid w:val="003C2317"/>
    <w:rsid w:val="003C442E"/>
    <w:rsid w:val="003D1092"/>
    <w:rsid w:val="003D3749"/>
    <w:rsid w:val="003D37CD"/>
    <w:rsid w:val="003E5531"/>
    <w:rsid w:val="003E555C"/>
    <w:rsid w:val="003E6AF3"/>
    <w:rsid w:val="003F0454"/>
    <w:rsid w:val="0040243C"/>
    <w:rsid w:val="00405A4D"/>
    <w:rsid w:val="00406BD1"/>
    <w:rsid w:val="00426C19"/>
    <w:rsid w:val="004273BA"/>
    <w:rsid w:val="00450FD9"/>
    <w:rsid w:val="00453CE0"/>
    <w:rsid w:val="00470736"/>
    <w:rsid w:val="00470BBB"/>
    <w:rsid w:val="00481F8C"/>
    <w:rsid w:val="0048611E"/>
    <w:rsid w:val="004B556E"/>
    <w:rsid w:val="004B6929"/>
    <w:rsid w:val="004D7996"/>
    <w:rsid w:val="004E2F43"/>
    <w:rsid w:val="004E3572"/>
    <w:rsid w:val="004F3C52"/>
    <w:rsid w:val="00510A1E"/>
    <w:rsid w:val="005158E2"/>
    <w:rsid w:val="00515CFE"/>
    <w:rsid w:val="00520427"/>
    <w:rsid w:val="00524204"/>
    <w:rsid w:val="00550049"/>
    <w:rsid w:val="00553F7E"/>
    <w:rsid w:val="00570142"/>
    <w:rsid w:val="00586C35"/>
    <w:rsid w:val="005B1B6F"/>
    <w:rsid w:val="005B4AA4"/>
    <w:rsid w:val="005B6CCB"/>
    <w:rsid w:val="005C1700"/>
    <w:rsid w:val="005C54AA"/>
    <w:rsid w:val="005C7B89"/>
    <w:rsid w:val="005D375B"/>
    <w:rsid w:val="005F0930"/>
    <w:rsid w:val="0062788A"/>
    <w:rsid w:val="00641F8A"/>
    <w:rsid w:val="0066383B"/>
    <w:rsid w:val="00670DD8"/>
    <w:rsid w:val="006A6FA2"/>
    <w:rsid w:val="006B5117"/>
    <w:rsid w:val="006C62DF"/>
    <w:rsid w:val="006F5104"/>
    <w:rsid w:val="006F6549"/>
    <w:rsid w:val="00714120"/>
    <w:rsid w:val="00735B02"/>
    <w:rsid w:val="007657C8"/>
    <w:rsid w:val="00767A77"/>
    <w:rsid w:val="00771ACB"/>
    <w:rsid w:val="00771E49"/>
    <w:rsid w:val="00782208"/>
    <w:rsid w:val="00791938"/>
    <w:rsid w:val="00795627"/>
    <w:rsid w:val="007A5999"/>
    <w:rsid w:val="007B60A6"/>
    <w:rsid w:val="007C3943"/>
    <w:rsid w:val="007C7FD7"/>
    <w:rsid w:val="007F3746"/>
    <w:rsid w:val="007F4241"/>
    <w:rsid w:val="00833132"/>
    <w:rsid w:val="00836C2F"/>
    <w:rsid w:val="00845C67"/>
    <w:rsid w:val="0086454E"/>
    <w:rsid w:val="00864D75"/>
    <w:rsid w:val="008672EA"/>
    <w:rsid w:val="0088259C"/>
    <w:rsid w:val="00891680"/>
    <w:rsid w:val="008A0099"/>
    <w:rsid w:val="008A0B5F"/>
    <w:rsid w:val="008B5402"/>
    <w:rsid w:val="008C1DE8"/>
    <w:rsid w:val="008D11BC"/>
    <w:rsid w:val="008F581C"/>
    <w:rsid w:val="008F60D7"/>
    <w:rsid w:val="0090527E"/>
    <w:rsid w:val="00905BB7"/>
    <w:rsid w:val="0090620C"/>
    <w:rsid w:val="00912DA4"/>
    <w:rsid w:val="009302B8"/>
    <w:rsid w:val="009305C6"/>
    <w:rsid w:val="009412BA"/>
    <w:rsid w:val="009718B6"/>
    <w:rsid w:val="009752AE"/>
    <w:rsid w:val="009772E2"/>
    <w:rsid w:val="00982F3D"/>
    <w:rsid w:val="00983232"/>
    <w:rsid w:val="009928E0"/>
    <w:rsid w:val="009941FD"/>
    <w:rsid w:val="00997637"/>
    <w:rsid w:val="009A278A"/>
    <w:rsid w:val="009B4E15"/>
    <w:rsid w:val="009B6368"/>
    <w:rsid w:val="009F63C4"/>
    <w:rsid w:val="00A16957"/>
    <w:rsid w:val="00A23E92"/>
    <w:rsid w:val="00A25009"/>
    <w:rsid w:val="00A46907"/>
    <w:rsid w:val="00A6155C"/>
    <w:rsid w:val="00A8079E"/>
    <w:rsid w:val="00A86A5B"/>
    <w:rsid w:val="00A90328"/>
    <w:rsid w:val="00A92D66"/>
    <w:rsid w:val="00A95A73"/>
    <w:rsid w:val="00AA4262"/>
    <w:rsid w:val="00AB5A90"/>
    <w:rsid w:val="00AB7449"/>
    <w:rsid w:val="00AC1A23"/>
    <w:rsid w:val="00AC2197"/>
    <w:rsid w:val="00AC2FBA"/>
    <w:rsid w:val="00AC5918"/>
    <w:rsid w:val="00AC7708"/>
    <w:rsid w:val="00AC795D"/>
    <w:rsid w:val="00AE400E"/>
    <w:rsid w:val="00AE4AA5"/>
    <w:rsid w:val="00AE654D"/>
    <w:rsid w:val="00AE6C45"/>
    <w:rsid w:val="00AE7FA9"/>
    <w:rsid w:val="00B147EB"/>
    <w:rsid w:val="00B22155"/>
    <w:rsid w:val="00B62041"/>
    <w:rsid w:val="00B76AA9"/>
    <w:rsid w:val="00B80FAB"/>
    <w:rsid w:val="00B81C88"/>
    <w:rsid w:val="00B83E36"/>
    <w:rsid w:val="00B91691"/>
    <w:rsid w:val="00BA3E31"/>
    <w:rsid w:val="00BA5C83"/>
    <w:rsid w:val="00BC6A7D"/>
    <w:rsid w:val="00BC6F71"/>
    <w:rsid w:val="00BD4829"/>
    <w:rsid w:val="00BD6002"/>
    <w:rsid w:val="00BD719F"/>
    <w:rsid w:val="00BE3506"/>
    <w:rsid w:val="00BF2FE3"/>
    <w:rsid w:val="00BF5442"/>
    <w:rsid w:val="00C04983"/>
    <w:rsid w:val="00C177A5"/>
    <w:rsid w:val="00C35FEE"/>
    <w:rsid w:val="00C462E1"/>
    <w:rsid w:val="00C46A34"/>
    <w:rsid w:val="00C50535"/>
    <w:rsid w:val="00C6153C"/>
    <w:rsid w:val="00C74388"/>
    <w:rsid w:val="00C906EF"/>
    <w:rsid w:val="00CA3AF8"/>
    <w:rsid w:val="00CB4069"/>
    <w:rsid w:val="00CC7D74"/>
    <w:rsid w:val="00CE3662"/>
    <w:rsid w:val="00CF0E12"/>
    <w:rsid w:val="00CF418A"/>
    <w:rsid w:val="00D02F97"/>
    <w:rsid w:val="00D37704"/>
    <w:rsid w:val="00D45530"/>
    <w:rsid w:val="00D45A0E"/>
    <w:rsid w:val="00D45D23"/>
    <w:rsid w:val="00D723D1"/>
    <w:rsid w:val="00D80C60"/>
    <w:rsid w:val="00D8525F"/>
    <w:rsid w:val="00D92C0F"/>
    <w:rsid w:val="00DA0C4D"/>
    <w:rsid w:val="00DA5DA7"/>
    <w:rsid w:val="00DD368C"/>
    <w:rsid w:val="00DE3935"/>
    <w:rsid w:val="00DE6B32"/>
    <w:rsid w:val="00DF0C77"/>
    <w:rsid w:val="00DF26B8"/>
    <w:rsid w:val="00E02872"/>
    <w:rsid w:val="00E129A4"/>
    <w:rsid w:val="00E12C68"/>
    <w:rsid w:val="00E2325B"/>
    <w:rsid w:val="00E24075"/>
    <w:rsid w:val="00E25C40"/>
    <w:rsid w:val="00E270C9"/>
    <w:rsid w:val="00E35F38"/>
    <w:rsid w:val="00E46F27"/>
    <w:rsid w:val="00E509CC"/>
    <w:rsid w:val="00E56DC0"/>
    <w:rsid w:val="00E5738E"/>
    <w:rsid w:val="00E71A04"/>
    <w:rsid w:val="00E77CF3"/>
    <w:rsid w:val="00E85E20"/>
    <w:rsid w:val="00E90DA6"/>
    <w:rsid w:val="00E96342"/>
    <w:rsid w:val="00EA2FEA"/>
    <w:rsid w:val="00EA56CB"/>
    <w:rsid w:val="00EA61EE"/>
    <w:rsid w:val="00EA7853"/>
    <w:rsid w:val="00F000B1"/>
    <w:rsid w:val="00F012D3"/>
    <w:rsid w:val="00F044C3"/>
    <w:rsid w:val="00F10D04"/>
    <w:rsid w:val="00F169E3"/>
    <w:rsid w:val="00F35D4B"/>
    <w:rsid w:val="00F3746B"/>
    <w:rsid w:val="00F524D6"/>
    <w:rsid w:val="00F572CB"/>
    <w:rsid w:val="00F621AF"/>
    <w:rsid w:val="00F8024E"/>
    <w:rsid w:val="00F82447"/>
    <w:rsid w:val="00F868E5"/>
    <w:rsid w:val="00FB2F32"/>
    <w:rsid w:val="00FC3191"/>
    <w:rsid w:val="00FE0F1F"/>
    <w:rsid w:val="00FF61F3"/>
    <w:rsid w:val="0A214432"/>
    <w:rsid w:val="147341CF"/>
    <w:rsid w:val="2155062A"/>
    <w:rsid w:val="27733670"/>
    <w:rsid w:val="416A32FD"/>
    <w:rsid w:val="5DE4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2E83E-5AF7-42C0-882C-A10F4851642D}">
  <ds:schemaRefs/>
</ds:datastoreItem>
</file>

<file path=docProps/app.xml><?xml version="1.0" encoding="utf-8"?>
<Properties xmlns="http://schemas.openxmlformats.org/officeDocument/2006/extended-properties" xmlns:vt="http://schemas.openxmlformats.org/officeDocument/2006/docPropsVTypes">
  <Template>Normal</Template>
  <Pages>16</Pages>
  <Words>1060</Words>
  <Characters>6043</Characters>
  <Lines>50</Lines>
  <Paragraphs>14</Paragraphs>
  <TotalTime>1561</TotalTime>
  <ScaleCrop>false</ScaleCrop>
  <LinksUpToDate>false</LinksUpToDate>
  <CharactersWithSpaces>7089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奋斗的人生</cp:lastModifiedBy>
  <cp:lastPrinted>2022-03-03T14:09:00Z</cp:lastPrinted>
  <dcterms:modified xsi:type="dcterms:W3CDTF">2024-06-30T01:49:25Z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