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东釜山乡2019年总决算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一、“三公”经费情况说明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（一）因公出国（境）费支出</w:t>
      </w:r>
      <w:r>
        <w:rPr>
          <w:rFonts w:ascii="楷体_GB2312" w:eastAsia="楷体_GB2312" w:cs="DengXian-Bold"/>
          <w:b/>
          <w:bCs/>
          <w:sz w:val="32"/>
          <w:szCs w:val="32"/>
        </w:rPr>
        <w:t>0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年度因公出国（境）团组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个、共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人。因公出国（境）费支出较年初预算增加0万元，增长0%。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（二）公务用车购置及运行维护费支出</w:t>
      </w:r>
      <w:r>
        <w:rPr>
          <w:rFonts w:ascii="楷体_GB2312" w:eastAsia="楷体_GB2312" w:cs="DengXian-Bold"/>
          <w:b/>
          <w:bCs/>
          <w:sz w:val="32"/>
          <w:szCs w:val="32"/>
        </w:rPr>
        <w:t>12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年度公务用车购置及运行维护费较年初预算减少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万元，降低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%。</w:t>
      </w:r>
      <w:r>
        <w:rPr>
          <w:rFonts w:hint="eastAsia" w:ascii="仿宋_GB2312" w:eastAsia="仿宋_GB2312" w:cs="DengXian-Bold"/>
          <w:b/>
          <w:bCs/>
          <w:sz w:val="32"/>
          <w:szCs w:val="32"/>
        </w:rPr>
        <w:t>其中：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</w:t>
      </w:r>
      <w:r>
        <w:rPr>
          <w:rFonts w:ascii="仿宋_GB2312" w:eastAsia="仿宋_GB2312" w:cs="DengXian-Regular"/>
          <w:b/>
          <w:sz w:val="32"/>
          <w:szCs w:val="32"/>
        </w:rPr>
        <w:t>用车购置费：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发生公务用车购置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</w:t>
      </w:r>
      <w:r>
        <w:rPr>
          <w:rFonts w:ascii="仿宋_GB2312" w:eastAsia="仿宋_GB2312" w:cs="DengXian-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支出，公务用车购置费支出与年初预算持平。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公务用车运行维护费：</w:t>
      </w:r>
      <w:r>
        <w:rPr>
          <w:rFonts w:hint="eastAsia" w:ascii="仿宋_GB2312" w:eastAsia="仿宋_GB2312" w:cs="DengXian-Regular"/>
          <w:sz w:val="32"/>
          <w:szCs w:val="32"/>
        </w:rPr>
        <w:t>本部门201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年度单位公务用车保有量</w:t>
      </w:r>
      <w:r>
        <w:rPr>
          <w:rFonts w:ascii="仿宋_GB2312" w:eastAsia="仿宋_GB2312" w:cs="DengXian-Regular"/>
          <w:sz w:val="32"/>
          <w:szCs w:val="32"/>
        </w:rPr>
        <w:t>3</w:t>
      </w:r>
      <w:r>
        <w:rPr>
          <w:rFonts w:hint="eastAsia" w:ascii="仿宋_GB2312" w:eastAsia="仿宋_GB2312" w:cs="DengXian-Regular"/>
          <w:sz w:val="32"/>
          <w:szCs w:val="32"/>
        </w:rPr>
        <w:t>辆。公车运行维护费支出较年初预算减少0万元，降低0%。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（三）公务接待费支出</w:t>
      </w:r>
      <w:r>
        <w:rPr>
          <w:rFonts w:ascii="楷体_GB2312" w:eastAsia="楷体_GB2312" w:cs="DengXian-Bold"/>
          <w:b/>
          <w:bCs/>
          <w:sz w:val="32"/>
          <w:szCs w:val="32"/>
        </w:rPr>
        <w:t>0.15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年度公务接待共</w:t>
      </w:r>
      <w:r>
        <w:rPr>
          <w:rFonts w:ascii="仿宋_GB2312" w:eastAsia="仿宋_GB2312" w:cs="DengXian-Regular"/>
          <w:sz w:val="32"/>
          <w:szCs w:val="32"/>
        </w:rPr>
        <w:t>4</w:t>
      </w:r>
      <w:r>
        <w:rPr>
          <w:rFonts w:hint="eastAsia" w:ascii="仿宋_GB2312" w:eastAsia="仿宋_GB2312" w:cs="DengXian-Regular"/>
          <w:sz w:val="32"/>
          <w:szCs w:val="32"/>
        </w:rPr>
        <w:t>批次、</w:t>
      </w:r>
      <w:r>
        <w:rPr>
          <w:rFonts w:ascii="仿宋_GB2312" w:eastAsia="仿宋_GB2312" w:cs="DengXian-Regular"/>
          <w:sz w:val="32"/>
          <w:szCs w:val="32"/>
        </w:rPr>
        <w:t>21</w:t>
      </w:r>
      <w:r>
        <w:rPr>
          <w:rFonts w:hint="eastAsia" w:ascii="仿宋_GB2312" w:eastAsia="仿宋_GB2312" w:cs="DengXian-Regular"/>
          <w:sz w:val="32"/>
          <w:szCs w:val="32"/>
        </w:rPr>
        <w:t>人次。公务接待费支出较年初预算减少2.85万元，降低95%,主要是认真贯彻落实中央“八项规定”精神和厉行节约要求，从严控制“三公”经费开支，全年实际支出比预算有所节约。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二、举借债务情况说明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年，严格按照上级下达的地方政府债务限额，在本级人民代表大会或其常务委员会批准的债务限额内，未发生新的债务，并逐步偿还地方政府性债务。我乡举借债务情况如下：截止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年底，我乡地方政府债务余额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三、转移支付情况说明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年，认真贯彻党的十九届四中全会和中央、省、市经济工作会议精神，以《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</w:t>
      </w:r>
      <w:r>
        <w:rPr>
          <w:rFonts w:hint="eastAsia"/>
          <w:sz w:val="30"/>
          <w:szCs w:val="30"/>
          <w:lang w:val="en-US" w:eastAsia="zh-CN"/>
        </w:rPr>
        <w:t>国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预算法</w:t>
      </w:r>
      <w:r>
        <w:rPr>
          <w:rFonts w:hint="eastAsia"/>
          <w:sz w:val="30"/>
          <w:szCs w:val="30"/>
        </w:rPr>
        <w:t>》为依据，坚持保工资、保运转、保民生，坚持依法理财，推进绩效预算管理改革，确保全年预算平稳运行。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性转移支付</w:t>
      </w:r>
      <w:r>
        <w:rPr>
          <w:rFonts w:hint="eastAsia"/>
          <w:sz w:val="30"/>
          <w:szCs w:val="30"/>
        </w:rPr>
        <w:t>收入决算</w:t>
      </w:r>
      <w:r>
        <w:rPr>
          <w:sz w:val="30"/>
          <w:szCs w:val="30"/>
        </w:rPr>
        <w:t>1231.4</w:t>
      </w:r>
      <w:r>
        <w:rPr>
          <w:rFonts w:hint="eastAsia"/>
          <w:sz w:val="30"/>
          <w:szCs w:val="30"/>
        </w:rPr>
        <w:t>万元，具体包括体制补助收入</w:t>
      </w:r>
      <w:r>
        <w:rPr>
          <w:sz w:val="30"/>
          <w:szCs w:val="30"/>
        </w:rPr>
        <w:t>693.1</w:t>
      </w:r>
      <w:r>
        <w:rPr>
          <w:rFonts w:hint="eastAsia"/>
          <w:sz w:val="30"/>
          <w:szCs w:val="30"/>
        </w:rPr>
        <w:t>万元，均衡性转移支付收入</w:t>
      </w:r>
      <w:r>
        <w:rPr>
          <w:sz w:val="30"/>
          <w:szCs w:val="30"/>
        </w:rPr>
        <w:t>22.9</w:t>
      </w:r>
      <w:r>
        <w:rPr>
          <w:rFonts w:hint="eastAsia"/>
          <w:sz w:val="30"/>
          <w:szCs w:val="30"/>
        </w:rPr>
        <w:t>万元，县级基本财力保障机制奖补资金收入</w:t>
      </w:r>
      <w:r>
        <w:rPr>
          <w:sz w:val="30"/>
          <w:szCs w:val="30"/>
        </w:rPr>
        <w:t>15</w:t>
      </w:r>
      <w:r>
        <w:rPr>
          <w:rFonts w:hint="eastAsia"/>
          <w:sz w:val="30"/>
          <w:szCs w:val="30"/>
        </w:rPr>
        <w:t>万元，农村综合改革转移支付收入</w:t>
      </w:r>
      <w:r>
        <w:rPr>
          <w:sz w:val="30"/>
          <w:szCs w:val="30"/>
        </w:rPr>
        <w:t>172</w:t>
      </w:r>
      <w:r>
        <w:rPr>
          <w:rFonts w:hint="eastAsia"/>
          <w:sz w:val="30"/>
          <w:szCs w:val="30"/>
        </w:rPr>
        <w:t>万元，其他</w:t>
      </w:r>
      <w:r>
        <w:rPr>
          <w:sz w:val="30"/>
          <w:szCs w:val="30"/>
        </w:rPr>
        <w:t>一般性转移支付收入</w:t>
      </w:r>
      <w:r>
        <w:rPr>
          <w:rFonts w:hint="eastAsia"/>
          <w:sz w:val="30"/>
          <w:szCs w:val="30"/>
        </w:rPr>
        <w:t>328.2万元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专项转移支付收入</w:t>
      </w:r>
      <w:r>
        <w:rPr>
          <w:sz w:val="30"/>
          <w:szCs w:val="30"/>
        </w:rPr>
        <w:t>1254.85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四、本级政府采购情况说明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年度政府实际采购支出合计</w:t>
      </w:r>
      <w:r>
        <w:rPr>
          <w:rFonts w:ascii="仿宋_GB2312" w:eastAsia="仿宋_GB2312" w:cs="DengXian-Regular"/>
          <w:sz w:val="32"/>
          <w:szCs w:val="32"/>
        </w:rPr>
        <w:t>145.3</w:t>
      </w:r>
      <w:r>
        <w:rPr>
          <w:rFonts w:hint="eastAsia" w:ascii="仿宋_GB2312" w:eastAsia="仿宋_GB2312" w:cs="DengXian-Regular"/>
          <w:sz w:val="32"/>
          <w:szCs w:val="32"/>
        </w:rPr>
        <w:t>万元，从采购类型来看，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政府采购货物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19.8 万元、政府采购工程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119.66万元、政府采购服务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5.84万元。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采购授予中小企业合同金额145.3万元，占政府采购支出总额的100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其中授予小微企业合同金额75.6万元，占政府采购支出总额的52.03%。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五、绩效预算工作开展情况说明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按照区财政厅预算绩效管理要求，东釜山乡对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2019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年初确定的部门一般公共预算支出项目全面开展了绩效自评。东釜山乡部门决算项目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项，共涉及预算资金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576.82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万元，绩效自评覆盖率达到100%。较好的完成了各项绩效指标，年底通过绩效评价。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152796"/>
    <w:rsid w:val="0017624B"/>
    <w:rsid w:val="00197293"/>
    <w:rsid w:val="002B766C"/>
    <w:rsid w:val="00361C83"/>
    <w:rsid w:val="00372612"/>
    <w:rsid w:val="00381EF0"/>
    <w:rsid w:val="003D191A"/>
    <w:rsid w:val="00410675"/>
    <w:rsid w:val="00447904"/>
    <w:rsid w:val="00481BDB"/>
    <w:rsid w:val="004E1824"/>
    <w:rsid w:val="006503EE"/>
    <w:rsid w:val="006C5D81"/>
    <w:rsid w:val="006C6B40"/>
    <w:rsid w:val="00723DE0"/>
    <w:rsid w:val="007347DD"/>
    <w:rsid w:val="00737742"/>
    <w:rsid w:val="00762BAB"/>
    <w:rsid w:val="007B31D3"/>
    <w:rsid w:val="007E23A5"/>
    <w:rsid w:val="00836BAA"/>
    <w:rsid w:val="008B0612"/>
    <w:rsid w:val="00905E87"/>
    <w:rsid w:val="00914A6F"/>
    <w:rsid w:val="00916E2F"/>
    <w:rsid w:val="00925B8D"/>
    <w:rsid w:val="00952597"/>
    <w:rsid w:val="009A1001"/>
    <w:rsid w:val="009C63BB"/>
    <w:rsid w:val="00A45209"/>
    <w:rsid w:val="00A56CF5"/>
    <w:rsid w:val="00A740C3"/>
    <w:rsid w:val="00A7719A"/>
    <w:rsid w:val="00A844D5"/>
    <w:rsid w:val="00AB725C"/>
    <w:rsid w:val="00AE253D"/>
    <w:rsid w:val="00AE54E8"/>
    <w:rsid w:val="00B300F5"/>
    <w:rsid w:val="00BF3B89"/>
    <w:rsid w:val="00C434E8"/>
    <w:rsid w:val="00C66477"/>
    <w:rsid w:val="00CB0006"/>
    <w:rsid w:val="00D546B8"/>
    <w:rsid w:val="00D703E4"/>
    <w:rsid w:val="00DA65AA"/>
    <w:rsid w:val="00DD54AE"/>
    <w:rsid w:val="00E7738D"/>
    <w:rsid w:val="00E9592E"/>
    <w:rsid w:val="00F11DE7"/>
    <w:rsid w:val="00F33683"/>
    <w:rsid w:val="00FF1DCE"/>
    <w:rsid w:val="438723C1"/>
    <w:rsid w:val="45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907</Characters>
  <Lines>7</Lines>
  <Paragraphs>2</Paragraphs>
  <TotalTime>162</TotalTime>
  <ScaleCrop>false</ScaleCrop>
  <LinksUpToDate>false</LinksUpToDate>
  <CharactersWithSpaces>1063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p'c</cp:lastModifiedBy>
  <cp:lastPrinted>2017-08-31T09:32:00Z</cp:lastPrinted>
  <dcterms:modified xsi:type="dcterms:W3CDTF">2024-06-29T09:36:31Z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5FBA555FA7DF422AAA20EEE7B66E370E</vt:lpwstr>
  </property>
</Properties>
</file>