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釜山乡2016年部门</w:t>
      </w:r>
      <w:r>
        <w:rPr>
          <w:rFonts w:ascii="黑体" w:hAnsi="黑体" w:eastAsia="黑体"/>
          <w:sz w:val="44"/>
          <w:szCs w:val="44"/>
        </w:rPr>
        <w:t>预算</w:t>
      </w:r>
      <w:r>
        <w:rPr>
          <w:rFonts w:hint="eastAsia" w:ascii="黑体" w:hAnsi="黑体" w:eastAsia="黑体"/>
          <w:sz w:val="44"/>
          <w:szCs w:val="44"/>
        </w:rPr>
        <w:t>安排情况说明</w:t>
      </w:r>
    </w:p>
    <w:p>
      <w:pPr>
        <w:jc w:val="center"/>
        <w:rPr>
          <w:rFonts w:ascii="黑体" w:hAnsi="黑体" w:eastAsia="黑体"/>
          <w:sz w:val="13"/>
          <w:szCs w:val="13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按照</w:t>
      </w:r>
      <w:r>
        <w:rPr>
          <w:rFonts w:hint="eastAsia" w:ascii="仿宋" w:hAnsi="仿宋" w:eastAsia="仿宋" w:cs="Calibri"/>
          <w:kern w:val="0"/>
          <w:sz w:val="32"/>
          <w:szCs w:val="32"/>
        </w:rPr>
        <w:t>《</w:t>
      </w:r>
      <w:r>
        <w:rPr>
          <w:rFonts w:hint="eastAsia" w:ascii="仿宋" w:hAnsi="仿宋" w:eastAsia="仿宋" w:cs="Calibri"/>
          <w:kern w:val="0"/>
          <w:sz w:val="32"/>
          <w:szCs w:val="32"/>
          <w:lang w:eastAsia="zh-CN"/>
        </w:rPr>
        <w:t>中华人民共和国预算法</w:t>
      </w:r>
      <w:r>
        <w:rPr>
          <w:rFonts w:hint="eastAsia" w:ascii="仿宋" w:hAnsi="仿宋" w:eastAsia="仿宋" w:cs="Calibri"/>
          <w:kern w:val="0"/>
          <w:sz w:val="32"/>
          <w:szCs w:val="32"/>
        </w:rPr>
        <w:t>》、《关于深化预算管理制度改革的决定》（国发[2014]45号）、《财政部关于深入推进地方预决算公开工作的通知》（财预[2014]36号）</w:t>
      </w:r>
      <w:r>
        <w:rPr>
          <w:rFonts w:ascii="仿宋" w:hAnsi="仿宋" w:eastAsia="仿宋"/>
          <w:sz w:val="32"/>
          <w:szCs w:val="32"/>
        </w:rPr>
        <w:t>相关规定，</w:t>
      </w:r>
      <w:r>
        <w:rPr>
          <w:rFonts w:hint="eastAsia" w:ascii="仿宋" w:hAnsi="仿宋" w:eastAsia="仿宋"/>
          <w:sz w:val="32"/>
          <w:szCs w:val="32"/>
        </w:rPr>
        <w:t>结合</w:t>
      </w:r>
      <w:r>
        <w:rPr>
          <w:rFonts w:ascii="仿宋" w:hAnsi="仿宋" w:eastAsia="仿宋"/>
          <w:sz w:val="32"/>
          <w:szCs w:val="32"/>
        </w:rPr>
        <w:t>目前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乡部门预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算的编制实行综合预算制度</w:t>
      </w:r>
      <w:r>
        <w:rPr>
          <w:rFonts w:hint="eastAsia" w:ascii="仿宋" w:hAnsi="仿宋" w:eastAsia="仿宋"/>
          <w:sz w:val="32"/>
          <w:szCs w:val="32"/>
        </w:rPr>
        <w:t>要求</w:t>
      </w:r>
      <w:r>
        <w:rPr>
          <w:rFonts w:ascii="仿宋" w:hAnsi="仿宋" w:eastAsia="仿宋"/>
          <w:sz w:val="32"/>
          <w:szCs w:val="32"/>
        </w:rPr>
        <w:t>，即全部收入和支出都反映在预算中，</w:t>
      </w:r>
      <w:r>
        <w:rPr>
          <w:rFonts w:hint="eastAsia" w:ascii="仿宋" w:hAnsi="仿宋" w:eastAsia="仿宋"/>
          <w:sz w:val="32"/>
          <w:szCs w:val="32"/>
        </w:rPr>
        <w:t>釜山乡</w:t>
      </w:r>
      <w:r>
        <w:rPr>
          <w:rFonts w:ascii="仿宋" w:hAnsi="仿宋" w:eastAsia="仿宋"/>
          <w:sz w:val="32"/>
          <w:szCs w:val="32"/>
        </w:rPr>
        <w:t>的收支全部包含在部门预算中。</w:t>
      </w:r>
      <w:r>
        <w:rPr>
          <w:rFonts w:hint="eastAsia" w:ascii="仿宋" w:hAnsi="仿宋" w:eastAsia="仿宋"/>
          <w:sz w:val="32"/>
          <w:szCs w:val="32"/>
        </w:rPr>
        <w:t>并</w:t>
      </w:r>
      <w:r>
        <w:rPr>
          <w:rFonts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</w:rPr>
        <w:t>2016年3月9日</w:t>
      </w:r>
      <w:r>
        <w:rPr>
          <w:rFonts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shd w:val="clear" w:color="auto" w:fill="FFFFFF" w:themeFill="background1"/>
        </w:rPr>
        <w:t>釜山乡</w:t>
      </w:r>
      <w:r>
        <w:rPr>
          <w:rFonts w:ascii="仿宋" w:hAnsi="仿宋" w:eastAsia="仿宋"/>
          <w:sz w:val="32"/>
          <w:szCs w:val="32"/>
        </w:rPr>
        <w:t>政府网站进行公开。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具体情况如下：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</w:t>
      </w:r>
      <w:r>
        <w:rPr>
          <w:rFonts w:ascii="仿宋" w:hAnsi="仿宋" w:eastAsia="仿宋"/>
          <w:b/>
          <w:sz w:val="32"/>
          <w:szCs w:val="32"/>
        </w:rPr>
        <w:t>、部门基本情况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</w:rPr>
        <w:t>乡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年部门预算编制</w:t>
      </w:r>
      <w:r>
        <w:rPr>
          <w:rFonts w:hint="eastAsia" w:ascii="仿宋" w:hAnsi="仿宋" w:eastAsia="仿宋"/>
          <w:sz w:val="32"/>
          <w:szCs w:val="32"/>
        </w:rPr>
        <w:t>机构分</w:t>
      </w: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</w:rPr>
        <w:t>两个</w:t>
      </w:r>
      <w:r>
        <w:rPr>
          <w:rFonts w:ascii="仿宋" w:hAnsi="仿宋" w:eastAsia="仿宋"/>
          <w:sz w:val="32"/>
          <w:szCs w:val="32"/>
        </w:rPr>
        <w:t>办公室及三个服务中心。</w:t>
      </w:r>
      <w:r>
        <w:rPr>
          <w:rFonts w:hint="eastAsia" w:ascii="仿宋" w:hAnsi="仿宋" w:eastAsia="仿宋"/>
          <w:sz w:val="32"/>
          <w:szCs w:val="32"/>
        </w:rPr>
        <w:t>两办</w:t>
      </w: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党政办</w:t>
      </w:r>
      <w:r>
        <w:rPr>
          <w:rFonts w:hint="eastAsia" w:ascii="仿宋" w:hAnsi="仿宋" w:eastAsia="仿宋"/>
          <w:sz w:val="32"/>
          <w:szCs w:val="32"/>
        </w:rPr>
        <w:t>公</w:t>
      </w:r>
      <w:r>
        <w:rPr>
          <w:rFonts w:ascii="仿宋" w:hAnsi="仿宋" w:eastAsia="仿宋"/>
          <w:sz w:val="32"/>
          <w:szCs w:val="32"/>
        </w:rPr>
        <w:t>室</w:t>
      </w:r>
      <w:r>
        <w:rPr>
          <w:rFonts w:hint="eastAsia" w:ascii="仿宋" w:hAnsi="仿宋" w:eastAsia="仿宋"/>
          <w:sz w:val="32"/>
          <w:szCs w:val="32"/>
        </w:rPr>
        <w:t>及</w:t>
      </w:r>
      <w:r>
        <w:rPr>
          <w:rFonts w:ascii="仿宋" w:hAnsi="仿宋" w:eastAsia="仿宋"/>
          <w:sz w:val="32"/>
          <w:szCs w:val="32"/>
        </w:rPr>
        <w:t>经济发展办公室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资金来源为财政拨款；</w:t>
      </w:r>
      <w:r>
        <w:rPr>
          <w:rFonts w:hint="eastAsia" w:ascii="仿宋" w:hAnsi="仿宋" w:eastAsia="仿宋"/>
          <w:sz w:val="32"/>
          <w:szCs w:val="32"/>
        </w:rPr>
        <w:t>三个</w:t>
      </w:r>
      <w:r>
        <w:rPr>
          <w:rFonts w:ascii="仿宋" w:hAnsi="仿宋" w:eastAsia="仿宋"/>
          <w:sz w:val="32"/>
          <w:szCs w:val="32"/>
        </w:rPr>
        <w:t>服务中心为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计划生育服务中心、农业服务中心、文化服务中心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资金来源为财政性资金基本保</w:t>
      </w:r>
      <w:r>
        <w:rPr>
          <w:rFonts w:hint="eastAsia" w:ascii="仿宋" w:hAnsi="仿宋" w:eastAsia="仿宋"/>
          <w:sz w:val="32"/>
          <w:szCs w:val="32"/>
        </w:rPr>
        <w:t>障</w:t>
      </w:r>
      <w:r>
        <w:rPr>
          <w:rFonts w:ascii="仿宋" w:hAnsi="仿宋" w:eastAsia="仿宋"/>
          <w:sz w:val="32"/>
          <w:szCs w:val="32"/>
        </w:rPr>
        <w:t>经费。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部门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ascii="仿宋" w:hAnsi="仿宋" w:eastAsia="仿宋"/>
          <w:sz w:val="32"/>
          <w:szCs w:val="32"/>
        </w:rPr>
        <w:t>员基本情况如下：在职人员编制</w:t>
      </w:r>
      <w:r>
        <w:rPr>
          <w:rFonts w:hint="eastAsia" w:ascii="仿宋" w:hAnsi="仿宋" w:eastAsia="仿宋"/>
          <w:sz w:val="32"/>
          <w:szCs w:val="32"/>
        </w:rPr>
        <w:t>33</w:t>
      </w:r>
      <w:r>
        <w:rPr>
          <w:rFonts w:ascii="仿宋" w:hAnsi="仿宋" w:eastAsia="仿宋"/>
          <w:sz w:val="32"/>
          <w:szCs w:val="32"/>
        </w:rPr>
        <w:t>人，其中：行政编制</w:t>
      </w:r>
      <w:r>
        <w:rPr>
          <w:rFonts w:hint="eastAsia" w:ascii="仿宋" w:hAnsi="仿宋" w:eastAsia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人，事业编制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人。在职实有</w:t>
      </w:r>
      <w:r>
        <w:rPr>
          <w:rFonts w:hint="eastAsia" w:ascii="仿宋" w:hAnsi="仿宋" w:eastAsia="仿宋"/>
          <w:sz w:val="32"/>
          <w:szCs w:val="32"/>
        </w:rPr>
        <w:t>34</w:t>
      </w:r>
      <w:r>
        <w:rPr>
          <w:rFonts w:ascii="仿宋" w:hAnsi="仿宋" w:eastAsia="仿宋"/>
          <w:sz w:val="32"/>
          <w:szCs w:val="32"/>
        </w:rPr>
        <w:t>人，其中：财政全供养</w:t>
      </w:r>
      <w:r>
        <w:rPr>
          <w:rFonts w:hint="eastAsia" w:ascii="仿宋" w:hAnsi="仿宋" w:eastAsia="仿宋"/>
          <w:sz w:val="32"/>
          <w:szCs w:val="32"/>
        </w:rPr>
        <w:t>46</w:t>
      </w:r>
      <w:r>
        <w:rPr>
          <w:rFonts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，离</w:t>
      </w:r>
      <w:r>
        <w:rPr>
          <w:rFonts w:ascii="仿宋" w:hAnsi="仿宋" w:eastAsia="仿宋"/>
          <w:sz w:val="32"/>
          <w:szCs w:val="32"/>
        </w:rPr>
        <w:t>退休人员1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车辆编制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辆，实有车辆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辆。</w:t>
      </w:r>
    </w:p>
    <w:p>
      <w:pPr>
        <w:ind w:left="105" w:leftChars="50" w:firstLine="482" w:firstLineChars="15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二、201</w:t>
      </w:r>
      <w:r>
        <w:rPr>
          <w:rFonts w:hint="eastAsia" w:ascii="仿宋" w:hAnsi="仿宋" w:eastAsia="仿宋"/>
          <w:b/>
          <w:sz w:val="32"/>
          <w:szCs w:val="32"/>
        </w:rPr>
        <w:t>6</w:t>
      </w:r>
      <w:r>
        <w:rPr>
          <w:rFonts w:ascii="仿宋" w:hAnsi="仿宋" w:eastAsia="仿宋"/>
          <w:b/>
          <w:sz w:val="32"/>
          <w:szCs w:val="32"/>
        </w:rPr>
        <w:t>年部门预算收支情况</w:t>
      </w: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年部门收入预算总额为</w:t>
      </w:r>
      <w:r>
        <w:rPr>
          <w:rFonts w:hint="eastAsia" w:ascii="仿宋" w:hAnsi="仿宋" w:eastAsia="仿宋"/>
          <w:sz w:val="32"/>
          <w:szCs w:val="32"/>
        </w:rPr>
        <w:t>433.4</w:t>
      </w:r>
      <w:r>
        <w:rPr>
          <w:rFonts w:ascii="仿宋" w:hAnsi="仿宋" w:eastAsia="仿宋"/>
          <w:sz w:val="32"/>
          <w:szCs w:val="32"/>
        </w:rPr>
        <w:t>万元，其中：</w:t>
      </w:r>
      <w:r>
        <w:rPr>
          <w:rFonts w:hint="eastAsia" w:ascii="仿宋" w:hAnsi="仿宋" w:eastAsia="仿宋"/>
          <w:sz w:val="32"/>
          <w:szCs w:val="32"/>
        </w:rPr>
        <w:t>一般预算</w:t>
      </w:r>
      <w:r>
        <w:rPr>
          <w:rFonts w:ascii="仿宋" w:hAnsi="仿宋" w:eastAsia="仿宋"/>
          <w:sz w:val="32"/>
          <w:szCs w:val="32"/>
        </w:rPr>
        <w:t>拨款</w:t>
      </w:r>
      <w:r>
        <w:rPr>
          <w:rFonts w:hint="eastAsia" w:ascii="仿宋" w:hAnsi="仿宋" w:eastAsia="仿宋"/>
          <w:sz w:val="32"/>
          <w:szCs w:val="32"/>
        </w:rPr>
        <w:t>433.4</w:t>
      </w:r>
      <w:r>
        <w:rPr>
          <w:rFonts w:ascii="仿宋" w:hAnsi="仿宋" w:eastAsia="仿宋"/>
          <w:sz w:val="32"/>
          <w:szCs w:val="32"/>
        </w:rPr>
        <w:t>万元。</w:t>
      </w: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年部门支出预算总额为</w:t>
      </w:r>
      <w:r>
        <w:rPr>
          <w:rFonts w:hint="eastAsia" w:ascii="仿宋" w:hAnsi="仿宋" w:eastAsia="仿宋"/>
          <w:sz w:val="32"/>
          <w:szCs w:val="32"/>
        </w:rPr>
        <w:t>433.4</w:t>
      </w:r>
      <w:r>
        <w:rPr>
          <w:rFonts w:ascii="仿宋" w:hAnsi="仿宋" w:eastAsia="仿宋"/>
          <w:sz w:val="32"/>
          <w:szCs w:val="32"/>
        </w:rPr>
        <w:t>万元，其中：</w:t>
      </w:r>
      <w:r>
        <w:rPr>
          <w:rFonts w:hint="eastAsia" w:ascii="仿宋" w:hAnsi="仿宋" w:eastAsia="仿宋"/>
          <w:sz w:val="32"/>
          <w:szCs w:val="32"/>
        </w:rPr>
        <w:t>人员</w:t>
      </w:r>
      <w:r>
        <w:rPr>
          <w:rFonts w:ascii="仿宋" w:hAnsi="仿宋" w:eastAsia="仿宋"/>
          <w:sz w:val="32"/>
          <w:szCs w:val="32"/>
        </w:rPr>
        <w:t>经费支出</w:t>
      </w:r>
      <w:r>
        <w:rPr>
          <w:rFonts w:hint="eastAsia" w:ascii="仿宋" w:hAnsi="仿宋" w:eastAsia="仿宋"/>
          <w:sz w:val="32"/>
          <w:szCs w:val="32"/>
        </w:rPr>
        <w:t>286.43万</w:t>
      </w:r>
      <w:r>
        <w:rPr>
          <w:rFonts w:ascii="仿宋" w:hAnsi="仿宋" w:eastAsia="仿宋"/>
          <w:sz w:val="32"/>
          <w:szCs w:val="32"/>
        </w:rPr>
        <w:t>元，</w:t>
      </w:r>
      <w:r>
        <w:rPr>
          <w:rFonts w:hint="eastAsia" w:ascii="仿宋" w:hAnsi="仿宋" w:eastAsia="仿宋"/>
          <w:sz w:val="32"/>
          <w:szCs w:val="32"/>
        </w:rPr>
        <w:t>日常</w:t>
      </w:r>
      <w:r>
        <w:rPr>
          <w:rFonts w:ascii="仿宋" w:hAnsi="仿宋" w:eastAsia="仿宋"/>
          <w:sz w:val="32"/>
          <w:szCs w:val="32"/>
        </w:rPr>
        <w:t>公用经费支出</w:t>
      </w:r>
      <w:r>
        <w:rPr>
          <w:rFonts w:hint="eastAsia" w:ascii="仿宋" w:hAnsi="仿宋" w:eastAsia="仿宋"/>
          <w:sz w:val="32"/>
          <w:szCs w:val="32"/>
        </w:rPr>
        <w:t>32.77万</w:t>
      </w:r>
      <w:r>
        <w:rPr>
          <w:rFonts w:ascii="仿宋" w:hAnsi="仿宋" w:eastAsia="仿宋"/>
          <w:sz w:val="32"/>
          <w:szCs w:val="32"/>
        </w:rPr>
        <w:t>元，，项目支出</w:t>
      </w:r>
      <w:r>
        <w:rPr>
          <w:rFonts w:hint="eastAsia" w:ascii="仿宋" w:hAnsi="仿宋" w:eastAsia="仿宋"/>
          <w:sz w:val="32"/>
          <w:szCs w:val="32"/>
        </w:rPr>
        <w:t>114.2</w:t>
      </w:r>
      <w:r>
        <w:rPr>
          <w:rFonts w:ascii="仿宋" w:hAnsi="仿宋" w:eastAsia="仿宋"/>
          <w:sz w:val="32"/>
          <w:szCs w:val="32"/>
        </w:rPr>
        <w:t>万元</w:t>
      </w:r>
    </w:p>
    <w:p>
      <w:pPr>
        <w:ind w:left="105" w:leftChars="50" w:firstLine="482" w:firstLineChars="15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 xml:space="preserve">三、部门预算支出情况 </w:t>
      </w:r>
    </w:p>
    <w:p>
      <w:pPr>
        <w:ind w:left="105" w:leftChars="50" w:firstLine="480" w:firstLineChars="1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年部门支出预算总额为</w:t>
      </w:r>
      <w:r>
        <w:rPr>
          <w:rFonts w:hint="eastAsia" w:ascii="仿宋" w:hAnsi="仿宋" w:eastAsia="仿宋"/>
          <w:sz w:val="32"/>
          <w:szCs w:val="32"/>
        </w:rPr>
        <w:t>433.4</w:t>
      </w:r>
      <w:r>
        <w:rPr>
          <w:rFonts w:ascii="仿宋" w:hAnsi="仿宋" w:eastAsia="仿宋"/>
          <w:sz w:val="32"/>
          <w:szCs w:val="32"/>
        </w:rPr>
        <w:t>万元，其中：</w:t>
      </w:r>
      <w:r>
        <w:rPr>
          <w:rFonts w:hint="eastAsia" w:ascii="仿宋" w:hAnsi="仿宋" w:eastAsia="仿宋"/>
          <w:sz w:val="32"/>
          <w:szCs w:val="32"/>
        </w:rPr>
        <w:t>一般预算</w:t>
      </w:r>
      <w:r>
        <w:rPr>
          <w:rFonts w:ascii="仿宋" w:hAnsi="仿宋" w:eastAsia="仿宋"/>
          <w:sz w:val="32"/>
          <w:szCs w:val="32"/>
        </w:rPr>
        <w:t>拨款支出</w:t>
      </w:r>
      <w:r>
        <w:rPr>
          <w:rFonts w:hint="eastAsia" w:ascii="仿宋" w:hAnsi="仿宋" w:eastAsia="仿宋"/>
          <w:sz w:val="32"/>
          <w:szCs w:val="32"/>
        </w:rPr>
        <w:t>433.4</w:t>
      </w:r>
      <w:r>
        <w:rPr>
          <w:rFonts w:ascii="仿宋" w:hAnsi="仿宋" w:eastAsia="仿宋"/>
          <w:sz w:val="32"/>
          <w:szCs w:val="32"/>
        </w:rPr>
        <w:t>万元，占比为100%（其中：基本支出</w:t>
      </w:r>
      <w:r>
        <w:rPr>
          <w:rFonts w:hint="eastAsia" w:ascii="仿宋" w:hAnsi="仿宋" w:eastAsia="仿宋"/>
          <w:sz w:val="32"/>
          <w:szCs w:val="32"/>
        </w:rPr>
        <w:t>319.2</w:t>
      </w:r>
      <w:r>
        <w:rPr>
          <w:rFonts w:ascii="仿宋" w:hAnsi="仿宋" w:eastAsia="仿宋"/>
          <w:sz w:val="32"/>
          <w:szCs w:val="32"/>
        </w:rPr>
        <w:t>万元，占比为</w:t>
      </w:r>
      <w:r>
        <w:rPr>
          <w:rFonts w:hint="eastAsia" w:ascii="仿宋" w:hAnsi="仿宋" w:eastAsia="仿宋"/>
          <w:sz w:val="32"/>
          <w:szCs w:val="32"/>
        </w:rPr>
        <w:t>74</w:t>
      </w:r>
      <w:r>
        <w:rPr>
          <w:rFonts w:ascii="仿宋" w:hAnsi="仿宋" w:eastAsia="仿宋"/>
          <w:sz w:val="32"/>
          <w:szCs w:val="32"/>
        </w:rPr>
        <w:t>%；项目支出</w:t>
      </w:r>
      <w:r>
        <w:rPr>
          <w:rFonts w:hint="eastAsia" w:ascii="仿宋" w:hAnsi="仿宋" w:eastAsia="仿宋"/>
          <w:sz w:val="32"/>
          <w:szCs w:val="32"/>
        </w:rPr>
        <w:t>114.2</w:t>
      </w:r>
      <w:r>
        <w:rPr>
          <w:rFonts w:ascii="仿宋" w:hAnsi="仿宋" w:eastAsia="仿宋"/>
          <w:sz w:val="32"/>
          <w:szCs w:val="32"/>
        </w:rPr>
        <w:t>万元，占比为</w:t>
      </w:r>
      <w:r>
        <w:rPr>
          <w:rFonts w:hint="eastAsia" w:ascii="仿宋" w:hAnsi="仿宋" w:eastAsia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% ）。</w:t>
      </w:r>
    </w:p>
    <w:p>
      <w:pPr>
        <w:ind w:left="105" w:leftChars="50"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主要用于以下几方面：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基本支出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年部门基本支出</w:t>
      </w:r>
      <w:r>
        <w:rPr>
          <w:rFonts w:hint="eastAsia" w:ascii="仿宋" w:hAnsi="仿宋" w:eastAsia="仿宋"/>
          <w:sz w:val="32"/>
          <w:szCs w:val="32"/>
        </w:rPr>
        <w:t>319.2</w:t>
      </w:r>
      <w:r>
        <w:rPr>
          <w:rFonts w:ascii="仿宋" w:hAnsi="仿宋" w:eastAsia="仿宋"/>
          <w:sz w:val="32"/>
          <w:szCs w:val="32"/>
        </w:rPr>
        <w:t>万元，主要包括人员经费</w:t>
      </w:r>
      <w:r>
        <w:rPr>
          <w:rFonts w:hint="eastAsia" w:ascii="仿宋" w:hAnsi="仿宋" w:eastAsia="仿宋"/>
          <w:sz w:val="32"/>
          <w:szCs w:val="32"/>
        </w:rPr>
        <w:t>286.43</w:t>
      </w:r>
      <w:r>
        <w:rPr>
          <w:rFonts w:ascii="仿宋" w:hAnsi="仿宋" w:eastAsia="仿宋"/>
          <w:sz w:val="32"/>
          <w:szCs w:val="32"/>
        </w:rPr>
        <w:t>万元和</w:t>
      </w:r>
      <w:r>
        <w:rPr>
          <w:rFonts w:hint="eastAsia" w:ascii="仿宋" w:hAnsi="仿宋" w:eastAsia="仿宋"/>
          <w:sz w:val="32"/>
          <w:szCs w:val="32"/>
        </w:rPr>
        <w:t>日常</w:t>
      </w:r>
      <w:r>
        <w:rPr>
          <w:rFonts w:ascii="仿宋" w:hAnsi="仿宋" w:eastAsia="仿宋"/>
          <w:sz w:val="32"/>
          <w:szCs w:val="32"/>
        </w:rPr>
        <w:t>公用经费</w:t>
      </w:r>
      <w:r>
        <w:rPr>
          <w:rFonts w:hint="eastAsia" w:ascii="仿宋" w:hAnsi="仿宋" w:eastAsia="仿宋"/>
          <w:sz w:val="32"/>
          <w:szCs w:val="32"/>
        </w:rPr>
        <w:t>32.77</w:t>
      </w:r>
      <w:r>
        <w:rPr>
          <w:rFonts w:ascii="仿宋" w:hAnsi="仿宋" w:eastAsia="仿宋"/>
          <w:sz w:val="32"/>
          <w:szCs w:val="32"/>
        </w:rPr>
        <w:t>万元，其中：人员经费主要用于</w:t>
      </w:r>
      <w:r>
        <w:rPr>
          <w:rFonts w:hint="eastAsia" w:ascii="仿宋" w:hAnsi="仿宋" w:eastAsia="仿宋"/>
          <w:sz w:val="32"/>
          <w:szCs w:val="32"/>
        </w:rPr>
        <w:t>两个</w:t>
      </w:r>
      <w:r>
        <w:rPr>
          <w:rFonts w:ascii="仿宋" w:hAnsi="仿宋" w:eastAsia="仿宋"/>
          <w:sz w:val="32"/>
          <w:szCs w:val="32"/>
        </w:rPr>
        <w:t>办公室和三个服务</w:t>
      </w: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ascii="仿宋" w:hAnsi="仿宋" w:eastAsia="仿宋"/>
          <w:sz w:val="32"/>
          <w:szCs w:val="32"/>
        </w:rPr>
        <w:t>心人员工资；</w:t>
      </w:r>
      <w:r>
        <w:rPr>
          <w:rFonts w:hint="eastAsia" w:ascii="仿宋" w:hAnsi="仿宋" w:eastAsia="仿宋"/>
          <w:sz w:val="32"/>
          <w:szCs w:val="32"/>
        </w:rPr>
        <w:t>日常</w:t>
      </w:r>
      <w:r>
        <w:rPr>
          <w:rFonts w:ascii="仿宋" w:hAnsi="仿宋" w:eastAsia="仿宋"/>
          <w:sz w:val="32"/>
          <w:szCs w:val="32"/>
        </w:rPr>
        <w:t>公用经费主要用于保障</w:t>
      </w: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ascii="仿宋" w:hAnsi="仿宋" w:eastAsia="仿宋"/>
          <w:sz w:val="32"/>
          <w:szCs w:val="32"/>
        </w:rPr>
        <w:t>单位日常运转开支，包括办公费、水费、电费、差旅费、会议费、培训费、邮电费、公务用车运行维护费等其他费用。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803" w:firstLineChars="25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（二）项目支出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年部门项目支出</w:t>
      </w:r>
      <w:r>
        <w:rPr>
          <w:rFonts w:hint="eastAsia" w:ascii="仿宋" w:hAnsi="仿宋" w:eastAsia="仿宋"/>
          <w:sz w:val="32"/>
          <w:szCs w:val="32"/>
        </w:rPr>
        <w:t>114.2</w:t>
      </w:r>
      <w:r>
        <w:rPr>
          <w:rFonts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主要是一般公共服务支出</w:t>
      </w:r>
      <w:r>
        <w:rPr>
          <w:rFonts w:hint="eastAsia" w:ascii="仿宋" w:hAnsi="仿宋" w:eastAsia="仿宋"/>
          <w:sz w:val="32"/>
          <w:szCs w:val="32"/>
        </w:rPr>
        <w:t>114.2</w:t>
      </w:r>
      <w:r>
        <w:rPr>
          <w:rFonts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</w:rPr>
        <w:t>主要</w:t>
      </w:r>
      <w:r>
        <w:rPr>
          <w:rFonts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</w:rPr>
        <w:t>专项业务</w:t>
      </w:r>
      <w:r>
        <w:rPr>
          <w:rFonts w:ascii="仿宋" w:hAnsi="仿宋" w:eastAsia="仿宋"/>
          <w:sz w:val="32"/>
          <w:szCs w:val="32"/>
        </w:rPr>
        <w:t>费；</w:t>
      </w:r>
      <w:r>
        <w:rPr>
          <w:rFonts w:hint="eastAsia" w:ascii="仿宋" w:hAnsi="仿宋" w:eastAsia="仿宋"/>
          <w:sz w:val="32"/>
          <w:szCs w:val="32"/>
        </w:rPr>
        <w:t>专项业务</w:t>
      </w:r>
      <w:r>
        <w:rPr>
          <w:rFonts w:ascii="仿宋" w:hAnsi="仿宋" w:eastAsia="仿宋"/>
          <w:sz w:val="32"/>
          <w:szCs w:val="32"/>
        </w:rPr>
        <w:t>费主要</w:t>
      </w:r>
      <w:r>
        <w:rPr>
          <w:rFonts w:hint="eastAsia" w:ascii="仿宋" w:hAnsi="仿宋" w:eastAsia="仿宋"/>
          <w:sz w:val="32"/>
          <w:szCs w:val="32"/>
        </w:rPr>
        <w:t>包括</w:t>
      </w:r>
      <w:r>
        <w:rPr>
          <w:rFonts w:ascii="仿宋" w:hAnsi="仿宋" w:eastAsia="仿宋"/>
          <w:sz w:val="32"/>
          <w:szCs w:val="32"/>
        </w:rPr>
        <w:t>纪检经费</w:t>
      </w:r>
      <w:r>
        <w:rPr>
          <w:rFonts w:hint="eastAsia" w:ascii="仿宋" w:hAnsi="仿宋" w:eastAsia="仿宋"/>
          <w:sz w:val="32"/>
          <w:szCs w:val="32"/>
        </w:rPr>
        <w:t>4.4万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；维稳经费6.2万元；荒山绿化20万元；防汛经费8万元；16年村级转移支付32.7万元；房屋修缮经费12万元；禁烧经费8万元；农村环境综合整治经费15万元；预备费7.9万元。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</w:t>
      </w:r>
      <w:r>
        <w:rPr>
          <w:rFonts w:ascii="仿宋" w:hAnsi="仿宋" w:eastAsia="仿宋"/>
          <w:b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“</w:t>
      </w:r>
      <w:r>
        <w:rPr>
          <w:rFonts w:ascii="仿宋" w:hAnsi="仿宋" w:eastAsia="仿宋"/>
          <w:b/>
          <w:sz w:val="32"/>
          <w:szCs w:val="32"/>
        </w:rPr>
        <w:t>三公</w:t>
      </w:r>
      <w:r>
        <w:rPr>
          <w:rFonts w:hint="eastAsia" w:ascii="仿宋" w:hAnsi="仿宋" w:eastAsia="仿宋"/>
          <w:b/>
          <w:sz w:val="32"/>
          <w:szCs w:val="32"/>
        </w:rPr>
        <w:t>”</w:t>
      </w:r>
      <w:r>
        <w:rPr>
          <w:rFonts w:ascii="仿宋" w:hAnsi="仿宋" w:eastAsia="仿宋"/>
          <w:b/>
          <w:sz w:val="32"/>
          <w:szCs w:val="32"/>
        </w:rPr>
        <w:t>经费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按照县纪律检查委员会、县财政局、县监察局《关于印发县部门预算及三公经费公开实施方案的通知》（财发［2013］27号）文件要求，制定</w:t>
      </w:r>
      <w:r>
        <w:rPr>
          <w:rFonts w:hint="eastAsia" w:ascii="仿宋" w:hAnsi="仿宋" w:eastAsia="仿宋"/>
          <w:sz w:val="32"/>
          <w:szCs w:val="32"/>
        </w:rPr>
        <w:t>了</w:t>
      </w:r>
      <w:r>
        <w:rPr>
          <w:rFonts w:ascii="仿宋" w:hAnsi="仿宋" w:eastAsia="仿宋"/>
          <w:sz w:val="32"/>
          <w:szCs w:val="32"/>
        </w:rPr>
        <w:t>“三公”经费</w:t>
      </w:r>
      <w:r>
        <w:rPr>
          <w:rFonts w:hint="eastAsia" w:ascii="仿宋" w:hAnsi="仿宋" w:eastAsia="仿宋"/>
          <w:sz w:val="32"/>
          <w:szCs w:val="32"/>
        </w:rPr>
        <w:t>分配方案</w:t>
      </w:r>
      <w:r>
        <w:rPr>
          <w:rFonts w:ascii="仿宋" w:hAnsi="仿宋" w:eastAsia="仿宋"/>
          <w:sz w:val="32"/>
          <w:szCs w:val="32"/>
        </w:rPr>
        <w:t xml:space="preserve">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一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、公开的</w:t>
      </w:r>
      <w:r>
        <w:rPr>
          <w:rFonts w:hint="eastAsia" w:ascii="仿宋" w:hAnsi="仿宋" w:eastAsia="仿宋"/>
          <w:sz w:val="32"/>
          <w:szCs w:val="32"/>
        </w:rPr>
        <w:t>原因</w:t>
      </w:r>
      <w:r>
        <w:rPr>
          <w:rFonts w:ascii="仿宋" w:hAnsi="仿宋" w:eastAsia="仿宋"/>
          <w:sz w:val="32"/>
          <w:szCs w:val="32"/>
        </w:rPr>
        <w:t xml:space="preserve">：“三公”经费公开是推进政务公开的重要内容，是打造“阳光政府”的具体体现。有助于建设高效廉洁政府，提高政府执行能力和办事效率；有助于促进依法理财、民主理财，加强财政科学化精细化管理。 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二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、公开的原则：（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）合法合规；（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）积极稳妥；（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 xml:space="preserve">）清晰易懂。 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三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 xml:space="preserve">、公开内容：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公经费总计</w:t>
      </w:r>
      <w:r>
        <w:rPr>
          <w:rFonts w:hint="eastAsia" w:ascii="仿宋" w:hAnsi="仿宋" w:eastAsia="仿宋"/>
          <w:sz w:val="32"/>
          <w:szCs w:val="32"/>
        </w:rPr>
        <w:t>11万</w:t>
      </w:r>
      <w:r>
        <w:rPr>
          <w:rFonts w:ascii="仿宋" w:hAnsi="仿宋" w:eastAsia="仿宋"/>
          <w:sz w:val="32"/>
          <w:szCs w:val="32"/>
        </w:rPr>
        <w:t>元，较前</w:t>
      </w:r>
      <w:r>
        <w:rPr>
          <w:rFonts w:hint="eastAsia" w:ascii="仿宋" w:hAnsi="仿宋" w:eastAsia="仿宋"/>
          <w:sz w:val="32"/>
          <w:szCs w:val="32"/>
        </w:rPr>
        <w:t>去</w:t>
      </w:r>
      <w:r>
        <w:rPr>
          <w:rFonts w:ascii="仿宋" w:hAnsi="仿宋" w:eastAsia="仿宋"/>
          <w:sz w:val="32"/>
          <w:szCs w:val="32"/>
        </w:rPr>
        <w:t>年水平下降</w:t>
      </w:r>
      <w:r>
        <w:rPr>
          <w:rFonts w:hint="eastAsia" w:ascii="仿宋" w:hAnsi="仿宋" w:eastAsia="仿宋"/>
          <w:sz w:val="32"/>
          <w:szCs w:val="32"/>
        </w:rPr>
        <w:t>56.5%。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C874C1"/>
    <w:multiLevelType w:val="multilevel"/>
    <w:tmpl w:val="0DC874C1"/>
    <w:lvl w:ilvl="0" w:tentative="0">
      <w:start w:val="1"/>
      <w:numFmt w:val="japaneseCounting"/>
      <w:lvlText w:val="（%1）"/>
      <w:lvlJc w:val="left"/>
      <w:pPr>
        <w:ind w:left="1665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25" w:hanging="420"/>
      </w:pPr>
    </w:lvl>
    <w:lvl w:ilvl="2" w:tentative="0">
      <w:start w:val="1"/>
      <w:numFmt w:val="lowerRoman"/>
      <w:lvlText w:val="%3."/>
      <w:lvlJc w:val="right"/>
      <w:pPr>
        <w:ind w:left="1845" w:hanging="420"/>
      </w:pPr>
    </w:lvl>
    <w:lvl w:ilvl="3" w:tentative="0">
      <w:start w:val="1"/>
      <w:numFmt w:val="decimal"/>
      <w:lvlText w:val="%4."/>
      <w:lvlJc w:val="left"/>
      <w:pPr>
        <w:ind w:left="2265" w:hanging="420"/>
      </w:pPr>
    </w:lvl>
    <w:lvl w:ilvl="4" w:tentative="0">
      <w:start w:val="1"/>
      <w:numFmt w:val="lowerLetter"/>
      <w:lvlText w:val="%5)"/>
      <w:lvlJc w:val="left"/>
      <w:pPr>
        <w:ind w:left="2685" w:hanging="420"/>
      </w:pPr>
    </w:lvl>
    <w:lvl w:ilvl="5" w:tentative="0">
      <w:start w:val="1"/>
      <w:numFmt w:val="lowerRoman"/>
      <w:lvlText w:val="%6."/>
      <w:lvlJc w:val="right"/>
      <w:pPr>
        <w:ind w:left="3105" w:hanging="420"/>
      </w:pPr>
    </w:lvl>
    <w:lvl w:ilvl="6" w:tentative="0">
      <w:start w:val="1"/>
      <w:numFmt w:val="decimal"/>
      <w:lvlText w:val="%7."/>
      <w:lvlJc w:val="left"/>
      <w:pPr>
        <w:ind w:left="3525" w:hanging="420"/>
      </w:pPr>
    </w:lvl>
    <w:lvl w:ilvl="7" w:tentative="0">
      <w:start w:val="1"/>
      <w:numFmt w:val="lowerLetter"/>
      <w:lvlText w:val="%8)"/>
      <w:lvlJc w:val="left"/>
      <w:pPr>
        <w:ind w:left="3945" w:hanging="420"/>
      </w:pPr>
    </w:lvl>
    <w:lvl w:ilvl="8" w:tentative="0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13D"/>
    <w:rsid w:val="00130AAC"/>
    <w:rsid w:val="00257276"/>
    <w:rsid w:val="00260F22"/>
    <w:rsid w:val="002770A0"/>
    <w:rsid w:val="002E36A4"/>
    <w:rsid w:val="00370CE4"/>
    <w:rsid w:val="003A5C11"/>
    <w:rsid w:val="004123BA"/>
    <w:rsid w:val="00435601"/>
    <w:rsid w:val="004D213D"/>
    <w:rsid w:val="006D7A3C"/>
    <w:rsid w:val="007157E6"/>
    <w:rsid w:val="00717FB2"/>
    <w:rsid w:val="0076265A"/>
    <w:rsid w:val="007F5739"/>
    <w:rsid w:val="008458EE"/>
    <w:rsid w:val="00907774"/>
    <w:rsid w:val="009777DF"/>
    <w:rsid w:val="00997452"/>
    <w:rsid w:val="009F54AC"/>
    <w:rsid w:val="00A37670"/>
    <w:rsid w:val="00A56AC6"/>
    <w:rsid w:val="00B5539F"/>
    <w:rsid w:val="00BE6051"/>
    <w:rsid w:val="00ED173A"/>
    <w:rsid w:val="00F0070F"/>
    <w:rsid w:val="00FC4E2E"/>
    <w:rsid w:val="1D32345E"/>
    <w:rsid w:val="76D0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</Words>
  <Characters>1029</Characters>
  <Lines>8</Lines>
  <Paragraphs>2</Paragraphs>
  <TotalTime>151</TotalTime>
  <ScaleCrop>false</ScaleCrop>
  <LinksUpToDate>false</LinksUpToDate>
  <CharactersWithSpaces>1207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2015-04-27T06:41:00Z</dcterms:created>
  <dc:creator>admin</dc:creator>
  <cp:lastModifiedBy>FuShanOffice1</cp:lastModifiedBy>
  <cp:lastPrinted>2015-04-28T06:25:00Z</cp:lastPrinted>
  <dcterms:modified xsi:type="dcterms:W3CDTF">2024-06-29T07:32:36Z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197290E32A3546E1A68AB5F358614041</vt:lpwstr>
  </property>
</Properties>
</file>