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widowControl/>
        <w:jc w:val="left"/>
        <w:spacing w:line="578" w:lineRule="exact"/>
        <w:rPr>
          <w:color w:val="000000"/>
          <w:rFonts w:ascii="仿宋_GB2312" w:cs="宋体" w:hAnsi="宋体"/>
          <w:sz w:val="32"/>
          <w:szCs w:val="32"/>
        </w:rPr>
      </w:pPr>
      <w:bookmarkStart w:id="5" w:name="_GoBack"/>
      <w:bookmarkEnd w:id="5"/>
    </w:p>
    <w:p>
      <w:pPr>
        <w:jc w:val="center"/>
        <w:spacing w:line="360" w:lineRule="auto"/>
        <w:rPr>
          <w:b/>
          <w:rFonts w:ascii="宋体" w:eastAsia="宋体" w:hAnsi="宋体"/>
          <w:sz w:val="44"/>
          <w:szCs w:val="44"/>
        </w:rPr>
      </w:pPr>
      <w:r>
        <w:rPr>
          <w:b/>
          <w:rFonts w:ascii="宋体" w:eastAsia="宋体" w:hAnsi="宋体" w:hint="eastAsia"/>
          <w:sz w:val="44"/>
          <w:szCs w:val="44"/>
        </w:rPr>
        <w:t>保定市徐水区民宗局</w:t>
      </w:r>
    </w:p>
    <w:p>
      <w:pPr>
        <w:jc w:val="center"/>
        <w:spacing w:line="360" w:lineRule="auto"/>
        <w:rPr>
          <w:b/>
          <w:rFonts w:ascii="宋体" w:eastAsia="宋体" w:hAnsi="宋体"/>
          <w:sz w:val="44"/>
          <w:szCs w:val="44"/>
        </w:rPr>
      </w:pPr>
      <w:r>
        <w:rPr>
          <w:b/>
          <w:rFonts w:ascii="宋体" w:eastAsia="宋体" w:hAnsi="宋体"/>
          <w:sz w:val="44"/>
          <w:szCs w:val="44"/>
        </w:rPr>
        <w:t>2022年</w:t>
      </w:r>
      <w:r>
        <w:rPr>
          <w:lang w:eastAsia="zh-CN"/>
          <w:b/>
          <w:rFonts w:ascii="宋体" w:eastAsia="宋体" w:hAnsi="宋体" w:hint="eastAsia"/>
          <w:sz w:val="44"/>
          <w:szCs w:val="44"/>
        </w:rPr>
        <w:t>单位</w:t>
      </w:r>
      <w:r>
        <w:rPr>
          <w:b/>
          <w:rFonts w:ascii="宋体" w:eastAsia="宋体" w:hAnsi="宋体"/>
          <w:sz w:val="44"/>
          <w:szCs w:val="44"/>
        </w:rPr>
        <w:t>预算公开说明</w:t>
      </w:r>
    </w:p>
    <w:p>
      <w:pPr>
        <w:ind w:firstLine="640"/>
        <w:spacing w:line="360" w:lineRule="auto"/>
        <w:tabs>
          <w:tab w:val="left" w:pos="5274"/>
        </w:tabs>
        <w:rPr>
          <w:rFonts w:ascii="仿宋" w:eastAsia="仿宋" w:hAnsi="仿宋"/>
          <w:sz w:val="32"/>
          <w:szCs w:val="32"/>
        </w:rPr>
      </w:pPr>
      <w:r>
        <w:rPr>
          <w:rFonts w:ascii="仿宋" w:eastAsia="仿宋" w:hAnsi="仿宋"/>
          <w:sz w:val="32"/>
          <w:szCs w:val="32"/>
        </w:rPr>
        <w:tab/>
      </w:r>
    </w:p>
    <w:p>
      <w:pPr>
        <w:ind w:firstLine="640"/>
        <w:spacing w:line="360" w:lineRule="auto"/>
        <w:rPr>
          <w:rFonts w:ascii="仿宋" w:eastAsia="仿宋" w:hAnsi="仿宋"/>
          <w:sz w:val="32"/>
          <w:szCs w:val="32"/>
        </w:rPr>
      </w:pPr>
      <w:r>
        <w:rPr>
          <w:rFonts w:ascii="仿宋" w:eastAsia="仿宋" w:hAnsi="仿宋" w:hint="eastAsia"/>
          <w:sz w:val="32"/>
          <w:szCs w:val="32"/>
        </w:rPr>
        <w:t>按照《预算法》、《地方预决算公开操作规程》等文件规定，现将我</w:t>
      </w:r>
      <w:r>
        <w:rPr>
          <w:lang w:eastAsia="zh-CN"/>
          <w:rFonts w:ascii="仿宋" w:eastAsia="仿宋" w:hAnsi="仿宋" w:hint="eastAsia"/>
          <w:sz w:val="32"/>
          <w:szCs w:val="32"/>
        </w:rPr>
        <w:t>单位</w:t>
      </w:r>
      <w:r>
        <w:rPr>
          <w:rFonts w:ascii="仿宋" w:eastAsia="仿宋" w:hAnsi="仿宋" w:hint="eastAsia"/>
          <w:sz w:val="32"/>
          <w:szCs w:val="32"/>
        </w:rPr>
        <w:t>预算信息公开如下：</w:t>
      </w:r>
    </w:p>
    <w:p>
      <w:pPr>
        <w:outlineLvl w:val="0"/>
        <w:jc w:val="center"/>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lang w:eastAsia="zh-CN"/>
          <w:rFonts w:ascii="方正小标宋_GBK" w:eastAsia="方正小标宋_GBK" w:hint="eastAsia"/>
          <w:sz w:val="44"/>
        </w:rPr>
        <w:t>单位</w:t>
      </w:r>
      <w:r>
        <w:rPr>
          <w:rFonts w:ascii="方正小标宋_GBK" w:eastAsia="方正小标宋_GBK"/>
          <w:sz w:val="44"/>
        </w:rPr>
        <w:t>职责及机构设置情况</w:t>
      </w:r>
    </w:p>
    <w:p>
      <w:pPr>
        <w:ind w:firstLine="643"/>
        <w:spacing w:line="360" w:lineRule="auto"/>
        <w:rPr>
          <w:b/>
          <w:rFonts w:ascii="仿宋" w:eastAsia="仿宋" w:hAnsi="仿宋"/>
          <w:sz w:val="32"/>
          <w:szCs w:val="32"/>
        </w:rPr>
      </w:pPr>
      <w:r>
        <w:rPr>
          <w:b/>
          <w:rFonts w:ascii="仿宋" w:eastAsia="仿宋" w:hAnsi="仿宋" w:hint="eastAsia"/>
          <w:sz w:val="32"/>
          <w:szCs w:val="32"/>
        </w:rPr>
        <w:t>一、</w:t>
      </w:r>
      <w:r>
        <w:rPr>
          <w:lang w:eastAsia="zh-CN"/>
          <w:b/>
          <w:rFonts w:ascii="仿宋" w:eastAsia="仿宋" w:hAnsi="仿宋" w:hint="eastAsia"/>
          <w:sz w:val="32"/>
          <w:szCs w:val="32"/>
        </w:rPr>
        <w:t>单位</w:t>
      </w:r>
      <w:r>
        <w:rPr>
          <w:b/>
          <w:rFonts w:ascii="仿宋" w:eastAsia="仿宋" w:hAnsi="仿宋" w:hint="eastAsia"/>
          <w:sz w:val="32"/>
          <w:szCs w:val="32"/>
        </w:rPr>
        <w:t>职责</w:t>
      </w:r>
    </w:p>
    <w:p>
      <w:pPr>
        <w:jc w:val="left"/>
        <w:ind w:firstLine="640"/>
        <w:spacing w:line="500" w:lineRule="exact"/>
        <w:rPr>
          <w:rFonts w:ascii="仿宋" w:cs="Times New Roman" w:eastAsia="仿宋" w:hAnsi="仿宋"/>
          <w:sz w:val="32"/>
          <w:szCs w:val="32"/>
        </w:rPr>
      </w:pPr>
      <w:r>
        <w:rPr>
          <w:rFonts w:ascii="仿宋" w:cs="Times New Roman" w:eastAsia="仿宋" w:hAnsi="仿宋" w:hint="eastAsia"/>
          <w:sz w:val="32"/>
          <w:szCs w:val="32"/>
        </w:rPr>
        <w:t>根据《保定市徐水区民族宗教事务局职能配置、内设机构和人员编制规定》，</w:t>
      </w:r>
      <w:r>
        <w:rPr>
          <w:rFonts w:ascii="仿宋" w:cs="Times New Roman" w:eastAsia="仿宋" w:hAnsi="仿宋"/>
          <w:sz w:val="32"/>
          <w:szCs w:val="32"/>
        </w:rPr>
        <w:t xml:space="preserve"> 保定市徐水区民族宗教事务局的主要职责是：</w:t>
      </w:r>
    </w:p>
    <w:p>
      <w:pPr>
        <w:jc w:val="left"/>
        <w:ind w:firstLine="640"/>
        <w:spacing w:line="500" w:lineRule="exact"/>
        <w:rPr>
          <w:rFonts w:ascii="仿宋" w:cs="Times New Roman" w:eastAsia="仿宋" w:hAnsi="仿宋"/>
          <w:sz w:val="32"/>
          <w:szCs w:val="32"/>
        </w:rPr>
      </w:pPr>
      <w:r>
        <w:rPr>
          <w:rFonts w:ascii="仿宋" w:cs="Times New Roman" w:eastAsia="仿宋" w:hAnsi="仿宋"/>
          <w:sz w:val="32"/>
          <w:szCs w:val="32"/>
        </w:rPr>
        <w:t>（一）民族事务管理:贯彻执行国家关于少数民族工作的方针政策；协调处理涉及民族关系的有关事宜，监督办理少数民族权益保障事宜；做好少数民族资金的争取工作，帮助少数民族村和特困户解决特殊问题。</w:t>
      </w:r>
      <w:r>
        <w:rPr>
          <w:rFonts w:ascii="仿宋" w:cs="Times New Roman" w:eastAsia="仿宋" w:hAnsi="仿宋"/>
          <w:sz w:val="32"/>
          <w:szCs w:val="32"/>
        </w:rPr>
        <w:tab/>
      </w:r>
    </w:p>
    <w:p>
      <w:pPr>
        <w:jc w:val="left"/>
        <w:ind w:firstLine="640"/>
        <w:spacing w:line="500" w:lineRule="exact"/>
        <w:rPr>
          <w:rFonts w:ascii="仿宋" w:cs="Times New Roman" w:eastAsia="仿宋" w:hAnsi="仿宋"/>
          <w:sz w:val="32"/>
          <w:szCs w:val="32"/>
        </w:rPr>
      </w:pPr>
      <w:r>
        <w:rPr>
          <w:rFonts w:ascii="仿宋" w:cs="Times New Roman" w:eastAsia="仿宋" w:hAnsi="仿宋"/>
          <w:sz w:val="32"/>
          <w:szCs w:val="32"/>
        </w:rPr>
        <w:t>（二）宗教事务管理:贯彻执行宣传国家关于宗教工作的方针政策，监督检查宗教活动场所，创建和谐寺观教堂，培训宗教工作干部，对困难宗教教职人员进行补助。</w:t>
      </w:r>
    </w:p>
    <w:p>
      <w:pPr>
        <w:jc w:val="left"/>
        <w:ind w:firstLine="640"/>
        <w:spacing w:line="500" w:lineRule="exact"/>
        <w:rPr>
          <w:rFonts w:ascii="仿宋" w:cs="Times New Roman" w:eastAsia="仿宋" w:hAnsi="仿宋"/>
          <w:sz w:val="32"/>
          <w:szCs w:val="32"/>
        </w:rPr>
      </w:pPr>
      <w:r>
        <w:rPr>
          <w:rFonts w:ascii="仿宋" w:cs="Times New Roman" w:eastAsia="仿宋" w:hAnsi="仿宋"/>
          <w:sz w:val="32"/>
          <w:szCs w:val="32"/>
        </w:rPr>
        <w:t>（三）民宗政务管理：开展民族宗教政策和法制宣传教育工作，协助处理民族宗教方面的维稳问题促进民族宗教团结、稳定，妥善处置宗教突发事件、维护宗教界和谐稳定。</w:t>
      </w:r>
    </w:p>
    <w:p>
      <w:pPr>
        <w:jc w:val="left"/>
        <w:ind w:firstLine="640"/>
        <w:spacing w:line="500" w:lineRule="exact"/>
        <w:rPr>
          <w:rFonts w:ascii="仿宋" w:cs="Times New Roman" w:eastAsia="仿宋" w:hAnsi="仿宋"/>
          <w:sz w:val="32"/>
          <w:szCs w:val="32"/>
        </w:rPr>
      </w:pPr>
      <w:r>
        <w:rPr>
          <w:rFonts w:ascii="仿宋" w:cs="Times New Roman" w:eastAsia="仿宋" w:hAnsi="仿宋"/>
          <w:sz w:val="32"/>
          <w:szCs w:val="32"/>
        </w:rPr>
        <w:t>（四）承办区政府交办的其他事项。</w:t>
      </w:r>
    </w:p>
    <w:p>
      <w:pPr>
        <w:jc w:val="left"/>
        <w:ind w:firstLine="640"/>
        <w:spacing w:line="500" w:lineRule="exact"/>
        <w:rPr>
          <w:rFonts w:ascii="仿宋" w:cs="Times New Roman" w:eastAsia="仿宋" w:hAnsi="仿宋"/>
          <w:sz w:val="32"/>
          <w:szCs w:val="32"/>
        </w:rPr>
      </w:pPr>
      <w:r>
        <w:rPr>
          <w:rFonts w:ascii="仿宋" w:cs="Times New Roman" w:eastAsia="仿宋" w:hAnsi="仿宋"/>
          <w:sz w:val="32"/>
          <w:szCs w:val="32"/>
        </w:rPr>
        <w:t>（五）负责局机关人事、劳资、行政后勤、财务和资产管理工作和民族宗教事务日常工作。</w:t>
      </w:r>
    </w:p>
    <w:p>
      <w:pPr>
        <w:ind w:firstLine="640"/>
        <w:spacing w:line="360" w:lineRule="auto"/>
        <w:rPr>
          <w:rFonts w:ascii="仿宋" w:eastAsia="仿宋" w:hAnsi="仿宋"/>
          <w:sz w:val="32"/>
          <w:szCs w:val="32"/>
        </w:rPr>
      </w:pPr>
    </w:p>
    <w:p>
      <w:pPr>
        <w:ind w:firstLine="643"/>
        <w:spacing w:line="360" w:lineRule="auto"/>
        <w:rPr>
          <w:b/>
          <w:rFonts w:ascii="仿宋" w:eastAsia="仿宋" w:hAnsi="仿宋"/>
          <w:sz w:val="32"/>
          <w:szCs w:val="32"/>
        </w:rPr>
      </w:pPr>
      <w:r>
        <w:rPr>
          <w:b/>
          <w:rFonts w:ascii="仿宋" w:eastAsia="仿宋" w:hAnsi="仿宋" w:hint="eastAsia"/>
          <w:sz w:val="32"/>
          <w:szCs w:val="32"/>
        </w:rPr>
        <w:t>二、机构设置</w:t>
      </w:r>
    </w:p>
    <w:tbl>
      <w:tblPr>
        <w:tblW w:w="10063" w:type="dxa"/>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5"/>
      </w:tblPr>
      <w:tblGrid>
        <w:gridCol w:w="992"/>
        <w:gridCol w:w="2692"/>
        <w:gridCol w:w="1701"/>
        <w:gridCol w:w="1418"/>
        <w:gridCol w:w="3260"/>
      </w:tblGrid>
      <w:tr>
        <w:trPr>
          <w:tblHeader/>
          <w:jc w:val="center"/>
          <w:trHeight w:val="454"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Borders>
              <w:top w:val="single" w:sz="4" w:color="auto" w:space="0"/>
              <w:bottom w:val="single" w:sz="4" w:color="auto" w:space="0"/>
              <w:left w:val="single" w:sz="4" w:color="auto" w:space="0"/>
            </w:tcBorders>
            <w:shd w:fill="auto" w:color="auto" w:val="clear"/>
            <w:vAlign w:val="center"/>
            <w:tcW w:w="992" w:type="dxa"/>
          </w:tcPr>
          <w:p>
            <w:pPr>
              <w:widowControl/>
              <w:jc w:val="center"/>
              <w:rPr>
                <w:kern w:val="0"/>
                <w:rFonts w:ascii="仿宋_GB2312" w:cs="宋体" w:eastAsia="仿宋_GB2312" w:hAnsi="仿宋"/>
                <w:sz w:val="24"/>
                <w:szCs w:val="24"/>
              </w:rPr>
            </w:pPr>
            <w:r>
              <w:rPr>
                <w:kern w:val="0"/>
                <w:rFonts w:ascii="仿宋_GB2312" w:cs="宋体" w:eastAsia="仿宋_GB2312" w:hAnsi="仿宋" w:hint="eastAsia"/>
                <w:sz w:val="24"/>
                <w:szCs w:val="24"/>
              </w:rPr>
              <w:t>序号</w:t>
            </w:r>
          </w:p>
        </w:tc>
        <w:tc>
          <w:tcPr>
            <w:tcBorders>
              <w:bottom w:val="single" w:sz="6" w:color="000000" w:space="0"/>
            </w:tcBorders>
            <w:vAlign w:val="center"/>
            <w:tcW w:w="2692" w:type="dxa"/>
          </w:tcPr>
          <w:p>
            <w:pPr>
              <w:widowControl/>
              <w:jc w:val="center"/>
              <w:rPr>
                <w:kern w:val="0"/>
                <w:rFonts w:ascii="仿宋_GB2312" w:cs="宋体" w:eastAsia="仿宋_GB2312" w:hAnsi="仿宋"/>
                <w:sz w:val="24"/>
                <w:szCs w:val="24"/>
              </w:rPr>
            </w:pPr>
            <w:r>
              <w:rPr>
                <w:kern w:val="0"/>
                <w:rFonts w:ascii="仿宋_GB2312" w:cs="宋体" w:eastAsia="仿宋_GB2312" w:hAnsi="仿宋" w:hint="eastAsia"/>
                <w:sz w:val="24"/>
                <w:szCs w:val="24"/>
              </w:rPr>
              <w:t>单位名称</w:t>
            </w:r>
          </w:p>
        </w:tc>
        <w:tc>
          <w:tcPr>
            <w:tcBorders>
              <w:bottom w:val="single" w:sz="6" w:color="000000" w:space="0"/>
            </w:tcBorders>
            <w:vAlign w:val="center"/>
            <w:tcW w:w="1701" w:type="dxa"/>
          </w:tcPr>
          <w:p>
            <w:pPr>
              <w:widowControl/>
              <w:jc w:val="center"/>
              <w:rPr>
                <w:kern w:val="0"/>
                <w:rFonts w:ascii="仿宋_GB2312" w:cs="宋体" w:eastAsia="仿宋_GB2312" w:hAnsi="仿宋"/>
                <w:sz w:val="24"/>
                <w:szCs w:val="24"/>
              </w:rPr>
            </w:pPr>
            <w:r>
              <w:rPr>
                <w:kern w:val="0"/>
                <w:rFonts w:ascii="仿宋_GB2312" w:cs="宋体" w:eastAsia="仿宋_GB2312" w:hAnsi="仿宋" w:hint="eastAsia"/>
                <w:sz w:val="24"/>
                <w:szCs w:val="24"/>
              </w:rPr>
              <w:t>单位性质</w:t>
            </w:r>
          </w:p>
        </w:tc>
        <w:tc>
          <w:tcPr>
            <w:tcBorders>
              <w:bottom w:val="single" w:sz="6" w:color="000000" w:space="0"/>
            </w:tcBorders>
            <w:vAlign w:val="center"/>
            <w:tcW w:w="1418" w:type="dxa"/>
          </w:tcPr>
          <w:p>
            <w:pPr>
              <w:widowControl/>
              <w:jc w:val="center"/>
              <w:rPr>
                <w:kern w:val="0"/>
                <w:rFonts w:ascii="仿宋_GB2312" w:cs="宋体" w:eastAsia="仿宋_GB2312" w:hAnsi="仿宋"/>
                <w:sz w:val="24"/>
                <w:szCs w:val="24"/>
              </w:rPr>
            </w:pPr>
            <w:r>
              <w:rPr>
                <w:kern w:val="0"/>
                <w:rFonts w:ascii="仿宋_GB2312" w:cs="宋体" w:eastAsia="仿宋_GB2312" w:hAnsi="仿宋" w:hint="eastAsia"/>
                <w:sz w:val="24"/>
                <w:szCs w:val="24"/>
              </w:rPr>
              <w:t>单位规格</w:t>
            </w:r>
          </w:p>
        </w:tc>
        <w:tc>
          <w:tcPr>
            <w:tcBorders>
              <w:bottom w:val="single" w:sz="6" w:color="000000" w:space="0"/>
            </w:tcBorders>
            <w:vAlign w:val="center"/>
            <w:tcW w:w="3260" w:type="dxa"/>
          </w:tcPr>
          <w:p>
            <w:pPr>
              <w:widowControl/>
              <w:jc w:val="center"/>
              <w:rPr>
                <w:kern w:val="0"/>
                <w:rFonts w:ascii="仿宋_GB2312" w:cs="宋体" w:eastAsia="仿宋_GB2312" w:hAnsi="仿宋"/>
                <w:sz w:val="24"/>
                <w:szCs w:val="24"/>
              </w:rPr>
            </w:pPr>
            <w:r>
              <w:rPr>
                <w:kern w:val="0"/>
                <w:rFonts w:ascii="仿宋_GB2312" w:cs="宋体" w:eastAsia="仿宋_GB2312" w:hAnsi="仿宋" w:hint="eastAsia"/>
                <w:sz w:val="24"/>
                <w:szCs w:val="24"/>
              </w:rPr>
              <w:t>经费保障形式</w:t>
            </w:r>
          </w:p>
        </w:tc>
      </w:tr>
      <w:tr>
        <w:trPr>
          <w:jc w:val="center"/>
          <w:trHeight w:val="454"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Borders>
              <w:top w:val="single" w:sz="4" w:color="auto" w:space="0"/>
              <w:bottom w:val="single" w:sz="4" w:color="auto" w:space="0"/>
              <w:left w:val="single" w:sz="4" w:color="auto" w:space="0"/>
            </w:tcBorders>
            <w:shd w:fill="auto" w:color="auto" w:val="clear"/>
            <w:vAlign w:val="center"/>
            <w:tcW w:w="992" w:type="dxa"/>
          </w:tcPr>
          <w:p>
            <w:pPr>
              <w:jc w:val="center"/>
              <w:rPr>
                <w:bCs/>
                <w:rFonts w:ascii="仿宋_GB2312" w:eastAsia="仿宋_GB2312" w:hAnsi="仿宋"/>
                <w:sz w:val="24"/>
                <w:szCs w:val="24"/>
              </w:rPr>
            </w:pPr>
            <w:r>
              <w:rPr>
                <w:bCs/>
                <w:rFonts w:ascii="仿宋_GB2312" w:eastAsia="仿宋_GB2312" w:hAnsi="仿宋" w:hint="eastAsia"/>
                <w:sz w:val="24"/>
                <w:szCs w:val="24"/>
              </w:rPr>
              <w:t>1</w:t>
            </w:r>
          </w:p>
        </w:tc>
        <w:tc>
          <w:tcPr>
            <w:tcBorders>
              <w:bottom w:val="single" w:sz="4" w:color="auto" w:space="0"/>
            </w:tcBorders>
            <w:vAlign w:val="center"/>
            <w:tcW w:w="2692" w:type="dxa"/>
          </w:tcPr>
          <w:p>
            <w:pPr>
              <w:jc w:val="center"/>
              <w:rPr>
                <w:bCs/>
                <w:rFonts w:ascii="仿宋_GB2312" w:eastAsia="仿宋_GB2312" w:hAnsi="仿宋"/>
                <w:sz w:val="24"/>
                <w:szCs w:val="24"/>
              </w:rPr>
            </w:pPr>
            <w:r>
              <w:rPr>
                <w:bCs/>
                <w:rFonts w:ascii="仿宋_GB2312" w:eastAsia="仿宋_GB2312" w:hAnsi="仿宋" w:hint="eastAsia"/>
                <w:sz w:val="24"/>
                <w:szCs w:val="24"/>
              </w:rPr>
              <w:t>保定市徐水区</w:t>
            </w:r>
            <w:r>
              <w:rPr>
                <w:bCs/>
                <w:rFonts w:ascii="仿宋_GB2312" w:eastAsia="仿宋_GB2312" w:hAnsi="仿宋"/>
                <w:sz w:val="24"/>
                <w:szCs w:val="24"/>
              </w:rPr>
              <w:t>民族宗教事务局</w:t>
            </w:r>
          </w:p>
        </w:tc>
        <w:tc>
          <w:tcPr>
            <w:vAlign w:val="center"/>
            <w:tcW w:w="1701" w:type="dxa"/>
          </w:tcPr>
          <w:p>
            <w:pPr>
              <w:jc w:val="center"/>
              <w:rPr>
                <w:bCs/>
                <w:rFonts w:ascii="仿宋_GB2312" w:eastAsia="仿宋_GB2312" w:hAnsi="仿宋"/>
                <w:sz w:val="24"/>
                <w:szCs w:val="24"/>
              </w:rPr>
            </w:pPr>
            <w:r>
              <w:rPr>
                <w:bCs/>
                <w:rFonts w:ascii="仿宋_GB2312" w:eastAsia="仿宋_GB2312" w:hAnsi="仿宋" w:hint="eastAsia"/>
                <w:sz w:val="24"/>
                <w:szCs w:val="24"/>
              </w:rPr>
              <w:t>行政</w:t>
            </w:r>
          </w:p>
        </w:tc>
        <w:tc>
          <w:tcPr>
            <w:vAlign w:val="center"/>
            <w:tcW w:w="1418" w:type="dxa"/>
          </w:tcPr>
          <w:p>
            <w:pPr>
              <w:jc w:val="center"/>
              <w:rPr>
                <w:bCs/>
                <w:rFonts w:ascii="仿宋_GB2312" w:eastAsia="仿宋_GB2312" w:hAnsi="仿宋"/>
                <w:sz w:val="24"/>
                <w:szCs w:val="24"/>
              </w:rPr>
            </w:pPr>
            <w:r>
              <w:rPr>
                <w:bCs/>
                <w:rFonts w:ascii="仿宋_GB2312" w:eastAsia="仿宋_GB2312" w:hAnsi="仿宋" w:hint="eastAsia"/>
                <w:sz w:val="24"/>
                <w:szCs w:val="24"/>
              </w:rPr>
              <w:t>正科级</w:t>
            </w:r>
          </w:p>
        </w:tc>
        <w:tc>
          <w:tcPr>
            <w:vAlign w:val="center"/>
            <w:tcW w:w="3260" w:type="dxa"/>
          </w:tcPr>
          <w:p>
            <w:pPr>
              <w:jc w:val="center"/>
              <w:rPr>
                <w:bCs/>
                <w:rFonts w:ascii="仿宋_GB2312" w:eastAsia="仿宋_GB2312" w:hAnsi="仿宋"/>
                <w:sz w:val="24"/>
                <w:szCs w:val="24"/>
              </w:rPr>
            </w:pPr>
            <w:r>
              <w:rPr>
                <w:bCs/>
                <w:rFonts w:ascii="仿宋_GB2312" w:eastAsia="仿宋_GB2312" w:hAnsi="仿宋" w:hint="eastAsia"/>
                <w:sz w:val="24"/>
                <w:szCs w:val="24"/>
              </w:rPr>
              <w:t>财政拨款</w:t>
            </w:r>
          </w:p>
        </w:tc>
      </w:tr>
    </w:tbl>
    <w:p>
      <w:pPr>
        <w:spacing w:line="360" w:lineRule="auto"/>
        <w:rPr>
          <w:b/>
          <w:rFonts w:ascii="仿宋" w:eastAsia="仿宋" w:hAnsi="仿宋"/>
          <w:sz w:val="32"/>
          <w:szCs w:val="32"/>
        </w:rPr>
      </w:pPr>
    </w:p>
    <w:p>
      <w:pPr>
        <w:outlineLvl w:val="0"/>
        <w:jc w:val="center"/>
        <w:rPr>
          <w:rFonts w:ascii="方正小标宋_GBK" w:eastAsia="方正小标宋_GBK"/>
          <w:sz w:val="44"/>
        </w:rPr>
      </w:pPr>
    </w:p>
    <w:p>
      <w:pPr>
        <w:outlineLvl w:val="0"/>
        <w:jc w:val="center"/>
        <w:rPr>
          <w:rFonts w:ascii="方正小标宋_GBK" w:eastAsia="方正小标宋_GBK"/>
          <w:sz w:val="44"/>
        </w:rPr>
      </w:pPr>
    </w:p>
    <w:p>
      <w:pPr>
        <w:outlineLvl w:val="0"/>
        <w:jc w:val="center"/>
        <w:rPr>
          <w:rFonts w:ascii="方正小标宋_GBK" w:eastAsia="方正小标宋_GBK"/>
          <w:sz w:val="44"/>
        </w:rPr>
      </w:pPr>
      <w:r>
        <w:rPr>
          <w:rFonts w:ascii="方正小标宋_GBK" w:eastAsia="方正小标宋_GBK" w:hint="eastAsia"/>
          <w:sz w:val="44"/>
        </w:rPr>
        <w:t>第二部分：</w:t>
      </w:r>
      <w:r>
        <w:rPr>
          <w:lang w:eastAsia="zh-CN"/>
          <w:rFonts w:ascii="方正小标宋_GBK" w:eastAsia="方正小标宋_GBK" w:hint="eastAsia"/>
          <w:sz w:val="44"/>
        </w:rPr>
        <w:t>单位</w:t>
      </w:r>
      <w:r>
        <w:rPr>
          <w:rFonts w:ascii="方正小标宋_GBK" w:eastAsia="方正小标宋_GBK" w:hint="eastAsia"/>
          <w:sz w:val="44"/>
        </w:rPr>
        <w:t>预算安排的总体情况</w:t>
      </w:r>
      <w:r>
        <w:rPr>
          <w:rFonts w:ascii="方正小标宋_GBK" w:eastAsia="方正小标宋_GBK"/>
          <w:sz w:val="44"/>
        </w:rPr>
        <w:t xml:space="preserve"> </w:t>
      </w:r>
    </w:p>
    <w:p>
      <w:pPr>
        <w:ind w:firstLine="640"/>
        <w:spacing w:line="360" w:lineRule="auto"/>
        <w:rPr>
          <w:rFonts w:ascii="仿宋" w:eastAsia="仿宋" w:hAnsi="仿宋"/>
          <w:sz w:val="32"/>
          <w:szCs w:val="32"/>
        </w:rPr>
      </w:pPr>
      <w:r>
        <w:rPr>
          <w:rFonts w:ascii="仿宋" w:eastAsia="仿宋" w:hAnsi="仿宋" w:hint="eastAsia"/>
          <w:sz w:val="32"/>
          <w:szCs w:val="32"/>
        </w:rPr>
        <w:t>按照预算管理有关规定，目前我区</w:t>
      </w:r>
      <w:r>
        <w:rPr>
          <w:lang w:eastAsia="zh-CN"/>
          <w:rFonts w:ascii="仿宋" w:eastAsia="仿宋" w:hAnsi="仿宋" w:hint="eastAsia"/>
          <w:sz w:val="32"/>
          <w:szCs w:val="32"/>
        </w:rPr>
        <w:t>单位</w:t>
      </w:r>
      <w:r>
        <w:rPr>
          <w:rFonts w:ascii="仿宋" w:eastAsia="仿宋" w:hAnsi="仿宋" w:hint="eastAsia"/>
          <w:sz w:val="32"/>
          <w:szCs w:val="32"/>
        </w:rPr>
        <w:t>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w:t>
      </w:r>
      <w:r>
        <w:rPr>
          <w:lang w:eastAsia="zh-CN"/>
          <w:rFonts w:ascii="仿宋" w:eastAsia="仿宋" w:hAnsi="仿宋" w:hint="eastAsia"/>
          <w:sz w:val="32"/>
          <w:szCs w:val="32"/>
        </w:rPr>
        <w:t>单位</w:t>
      </w:r>
      <w:r>
        <w:rPr>
          <w:rFonts w:ascii="仿宋" w:eastAsia="仿宋" w:hAnsi="仿宋" w:hint="eastAsia"/>
          <w:sz w:val="32"/>
          <w:szCs w:val="32"/>
        </w:rPr>
        <w:t>及所属事业单位的收支包含在</w:t>
      </w:r>
      <w:r>
        <w:rPr>
          <w:lang w:eastAsia="zh-CN"/>
          <w:rFonts w:ascii="仿宋" w:eastAsia="仿宋" w:hAnsi="仿宋" w:hint="eastAsia"/>
          <w:sz w:val="32"/>
          <w:szCs w:val="32"/>
        </w:rPr>
        <w:t>单位</w:t>
      </w:r>
      <w:r>
        <w:rPr>
          <w:rFonts w:ascii="仿宋" w:eastAsia="仿宋" w:hAnsi="仿宋" w:hint="eastAsia"/>
          <w:sz w:val="32"/>
          <w:szCs w:val="32"/>
        </w:rPr>
        <w:t>预算中。</w:t>
      </w:r>
    </w:p>
    <w:p>
      <w:pPr>
        <w:ind w:firstLine="643"/>
        <w:spacing w:line="360" w:lineRule="auto"/>
        <w:rPr>
          <w:b/>
          <w:rFonts w:ascii="仿宋" w:eastAsia="仿宋" w:hAnsi="仿宋"/>
          <w:sz w:val="32"/>
          <w:szCs w:val="32"/>
        </w:rPr>
      </w:pPr>
      <w:r>
        <w:rPr>
          <w:b/>
          <w:rFonts w:ascii="仿宋" w:eastAsia="仿宋" w:hAnsi="仿宋" w:hint="eastAsia"/>
          <w:sz w:val="32"/>
          <w:szCs w:val="32"/>
        </w:rPr>
        <w:t>一、收入说明</w:t>
      </w:r>
    </w:p>
    <w:p>
      <w:pPr>
        <w:ind w:firstLine="640"/>
        <w:spacing w:line="360" w:lineRule="auto"/>
        <w:rPr>
          <w:rFonts w:ascii="仿宋" w:eastAsia="仿宋" w:hAnsi="仿宋"/>
          <w:sz w:val="32"/>
          <w:szCs w:val="32"/>
        </w:rPr>
      </w:pPr>
      <w:r>
        <w:rPr>
          <w:rFonts w:ascii="仿宋" w:eastAsia="仿宋" w:hAnsi="仿宋"/>
          <w:sz w:val="32"/>
          <w:szCs w:val="32"/>
        </w:rPr>
        <w:t>2022年预算收入为191.68万元,其中：一般公共预算收入191.67万元。</w:t>
      </w:r>
    </w:p>
    <w:p>
      <w:pPr>
        <w:ind w:firstLine="643"/>
        <w:spacing w:line="360" w:lineRule="auto"/>
        <w:rPr>
          <w:b/>
          <w:rFonts w:ascii="仿宋" w:eastAsia="仿宋" w:hAnsi="仿宋"/>
          <w:sz w:val="32"/>
          <w:szCs w:val="32"/>
        </w:rPr>
      </w:pPr>
      <w:r>
        <w:rPr>
          <w:b/>
          <w:rFonts w:ascii="仿宋" w:eastAsia="仿宋" w:hAnsi="仿宋" w:hint="eastAsia"/>
          <w:sz w:val="32"/>
          <w:szCs w:val="32"/>
        </w:rPr>
        <w:t>二、支出说明</w:t>
      </w:r>
    </w:p>
    <w:p>
      <w:pPr>
        <w:ind w:firstLine="640"/>
        <w:spacing w:line="360" w:lineRule="auto"/>
        <w:rPr>
          <w:rFonts w:ascii="仿宋" w:eastAsia="仿宋" w:hAnsi="仿宋"/>
          <w:sz w:val="32"/>
          <w:szCs w:val="32"/>
        </w:rPr>
      </w:pPr>
      <w:r>
        <w:rPr>
          <w:rFonts w:ascii="仿宋" w:eastAsia="仿宋" w:hAnsi="仿宋"/>
          <w:sz w:val="32"/>
          <w:szCs w:val="32"/>
        </w:rPr>
        <w:t>2022年</w:t>
      </w:r>
      <w:r>
        <w:rPr>
          <w:lang w:eastAsia="zh-CN"/>
          <w:rFonts w:ascii="仿宋" w:eastAsia="仿宋" w:hAnsi="仿宋" w:hint="eastAsia"/>
          <w:sz w:val="32"/>
          <w:szCs w:val="32"/>
        </w:rPr>
        <w:t>单位</w:t>
      </w:r>
      <w:r>
        <w:rPr>
          <w:rFonts w:ascii="仿宋" w:eastAsia="仿宋" w:hAnsi="仿宋"/>
          <w:sz w:val="32"/>
          <w:szCs w:val="32"/>
        </w:rPr>
        <w:t>支出预算：191.68万元</w:t>
      </w:r>
    </w:p>
    <w:p>
      <w:pPr>
        <w:ind w:firstLine="640"/>
        <w:spacing w:line="360" w:lineRule="auto"/>
        <w:rPr>
          <w:rFonts w:ascii="仿宋" w:eastAsia="仿宋" w:hAnsi="仿宋"/>
          <w:sz w:val="32"/>
          <w:szCs w:val="32"/>
        </w:rPr>
      </w:pPr>
      <w:r>
        <w:rPr>
          <w:rFonts w:ascii="仿宋" w:eastAsia="仿宋" w:hAnsi="仿宋" w:hint="eastAsia"/>
          <w:sz w:val="32"/>
          <w:szCs w:val="32"/>
        </w:rPr>
        <w:t>基本支出1</w:t>
      </w:r>
      <w:r>
        <w:rPr>
          <w:rFonts w:ascii="仿宋" w:eastAsia="仿宋" w:hAnsi="仿宋"/>
          <w:sz w:val="32"/>
          <w:szCs w:val="32"/>
        </w:rPr>
        <w:t>91.67</w:t>
      </w:r>
      <w:r>
        <w:rPr>
          <w:rFonts w:ascii="仿宋" w:eastAsia="仿宋" w:hAnsi="仿宋" w:hint="eastAsia"/>
          <w:sz w:val="32"/>
          <w:szCs w:val="32"/>
        </w:rPr>
        <w:t>万元</w:t>
      </w:r>
    </w:p>
    <w:p>
      <w:pPr>
        <w:ind w:firstLine="640"/>
        <w:spacing w:line="360" w:lineRule="auto"/>
        <w:rPr>
          <w:rFonts w:ascii="仿宋" w:eastAsia="仿宋" w:hAnsi="仿宋"/>
          <w:sz w:val="32"/>
          <w:szCs w:val="32"/>
        </w:rPr>
      </w:pPr>
      <w:r>
        <w:rPr>
          <w:rFonts w:ascii="仿宋" w:eastAsia="仿宋" w:hAnsi="仿宋"/>
          <w:sz w:val="32"/>
          <w:szCs w:val="32"/>
        </w:rPr>
        <w:t xml:space="preserve">    其中：人员经费178.79万元</w:t>
      </w:r>
    </w:p>
    <w:p>
      <w:pPr>
        <w:ind w:firstLine="640"/>
        <w:spacing w:line="360" w:lineRule="auto"/>
        <w:rPr>
          <w:rFonts w:ascii="仿宋" w:eastAsia="仿宋" w:hAnsi="仿宋"/>
          <w:sz w:val="32"/>
          <w:szCs w:val="32"/>
        </w:rPr>
      </w:pPr>
      <w:r>
        <w:rPr>
          <w:rFonts w:ascii="仿宋" w:eastAsia="仿宋" w:hAnsi="仿宋"/>
          <w:sz w:val="32"/>
          <w:szCs w:val="32"/>
        </w:rPr>
        <w:t xml:space="preserve">          日常公用经费12.88万元</w:t>
      </w:r>
    </w:p>
    <w:p>
      <w:pPr>
        <w:ind w:firstLine="640"/>
        <w:spacing w:line="360" w:lineRule="auto"/>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0.01万元</w:t>
      </w:r>
    </w:p>
    <w:p>
      <w:pPr>
        <w:ind w:firstLine="640"/>
        <w:spacing w:line="360" w:lineRule="auto"/>
        <w:rPr>
          <w:rFonts w:ascii="仿宋" w:eastAsia="仿宋" w:hAnsi="仿宋"/>
          <w:sz w:val="32"/>
          <w:szCs w:val="32"/>
        </w:rPr>
      </w:pPr>
      <w:r>
        <w:rPr>
          <w:rFonts w:ascii="仿宋" w:eastAsia="仿宋" w:hAnsi="仿宋"/>
          <w:sz w:val="32"/>
          <w:szCs w:val="32"/>
        </w:rPr>
        <w:t xml:space="preserve">    其中：本级支出0.01万元</w:t>
      </w:r>
    </w:p>
    <w:p>
      <w:pPr>
        <w:ind w:firstLine="643"/>
        <w:spacing w:line="360" w:lineRule="auto"/>
        <w:rPr>
          <w:b/>
          <w:rFonts w:ascii="仿宋" w:eastAsia="仿宋" w:hAnsi="仿宋"/>
          <w:sz w:val="32"/>
          <w:szCs w:val="32"/>
        </w:rPr>
      </w:pPr>
      <w:r>
        <w:rPr>
          <w:b/>
          <w:rFonts w:ascii="仿宋" w:eastAsia="仿宋" w:hAnsi="仿宋" w:hint="eastAsia"/>
          <w:sz w:val="32"/>
          <w:szCs w:val="32"/>
        </w:rPr>
        <w:t>三、比上年增减情况</w:t>
      </w:r>
    </w:p>
    <w:p>
      <w:pPr>
        <w:ind w:firstLine="640"/>
        <w:spacing w:line="360" w:lineRule="auto"/>
        <w:rPr>
          <w:rFonts w:ascii="仿宋" w:eastAsia="仿宋" w:hAnsi="仿宋"/>
          <w:sz w:val="32"/>
          <w:szCs w:val="32"/>
        </w:rPr>
      </w:pPr>
      <w:r>
        <w:rPr>
          <w:rFonts w:ascii="仿宋" w:eastAsia="仿宋" w:hAnsi="仿宋" w:hint="eastAsia"/>
          <w:sz w:val="32"/>
          <w:szCs w:val="32"/>
        </w:rPr>
        <w:t>本年度预算收支安排1</w:t>
      </w:r>
      <w:r>
        <w:rPr>
          <w:rFonts w:ascii="仿宋" w:eastAsia="仿宋" w:hAnsi="仿宋"/>
          <w:sz w:val="32"/>
          <w:szCs w:val="32"/>
        </w:rPr>
        <w:t>91.68</w:t>
      </w:r>
      <w:r>
        <w:rPr>
          <w:rFonts w:ascii="仿宋" w:eastAsia="仿宋" w:hAnsi="仿宋" w:hint="eastAsia"/>
          <w:sz w:val="32"/>
          <w:szCs w:val="32"/>
        </w:rPr>
        <w:t>万元，较上年增加</w:t>
      </w:r>
      <w:r>
        <w:rPr>
          <w:rFonts w:ascii="仿宋" w:eastAsia="仿宋" w:hAnsi="仿宋"/>
          <w:sz w:val="32"/>
          <w:szCs w:val="32"/>
        </w:rPr>
        <w:t>16.44万元。其中:基本支出增加23.47万元，主要原因是</w:t>
      </w:r>
      <w:r>
        <w:rPr>
          <w:rFonts w:ascii="仿宋" w:eastAsia="仿宋" w:hAnsi="仿宋" w:hint="eastAsia"/>
          <w:sz w:val="32"/>
          <w:szCs w:val="32"/>
        </w:rPr>
        <w:t>职工工资</w:t>
      </w:r>
      <w:r>
        <w:rPr>
          <w:rFonts w:ascii="仿宋" w:eastAsia="仿宋" w:hAnsi="仿宋"/>
          <w:sz w:val="32"/>
          <w:szCs w:val="32"/>
        </w:rPr>
        <w:t>增加</w:t>
      </w:r>
      <w:r>
        <w:rPr>
          <w:rFonts w:ascii="仿宋" w:eastAsia="仿宋" w:hAnsi="仿宋" w:hint="eastAsia"/>
          <w:sz w:val="32"/>
          <w:szCs w:val="32"/>
        </w:rPr>
        <w:t>；</w:t>
      </w:r>
      <w:r>
        <w:rPr>
          <w:rFonts w:ascii="仿宋" w:eastAsia="仿宋" w:hAnsi="仿宋"/>
          <w:sz w:val="32"/>
          <w:szCs w:val="32"/>
        </w:rPr>
        <w:t>保险基数调增</w:t>
      </w:r>
      <w:r>
        <w:rPr>
          <w:rFonts w:ascii="仿宋" w:eastAsia="仿宋" w:hAnsi="仿宋" w:hint="eastAsia"/>
          <w:sz w:val="32"/>
          <w:szCs w:val="32"/>
        </w:rPr>
        <w:t>，</w:t>
      </w:r>
      <w:r>
        <w:rPr>
          <w:rFonts w:ascii="仿宋" w:eastAsia="仿宋" w:hAnsi="仿宋"/>
          <w:sz w:val="32"/>
          <w:szCs w:val="32"/>
        </w:rPr>
        <w:t>缴费增加；项目支出减少7.03万元，主要原因是</w:t>
      </w:r>
      <w:r>
        <w:rPr>
          <w:rFonts w:ascii="仿宋" w:eastAsia="仿宋" w:hAnsi="仿宋" w:hint="eastAsia"/>
          <w:sz w:val="32"/>
          <w:szCs w:val="32"/>
        </w:rPr>
        <w:t>根据工作</w:t>
      </w:r>
      <w:r>
        <w:rPr>
          <w:rFonts w:ascii="仿宋" w:eastAsia="仿宋" w:hAnsi="仿宋"/>
          <w:sz w:val="32"/>
          <w:szCs w:val="32"/>
        </w:rPr>
        <w:t>安排。</w:t>
      </w:r>
    </w:p>
    <w:p>
      <w:pPr>
        <w:ind w:firstLine="640"/>
        <w:spacing w:line="360" w:lineRule="auto"/>
        <w:rPr>
          <w:rFonts w:ascii="仿宋" w:eastAsia="仿宋" w:hAnsi="仿宋"/>
          <w:sz w:val="32"/>
          <w:szCs w:val="32"/>
        </w:rPr>
      </w:pPr>
    </w:p>
    <w:p>
      <w:pPr>
        <w:outlineLvl w:val="0"/>
        <w:ind w:firstLine="1320"/>
        <w:rPr>
          <w:rFonts w:ascii="方正小标宋_GBK" w:eastAsia="方正小标宋_GBK"/>
          <w:sz w:val="44"/>
        </w:rPr>
      </w:pPr>
      <w:r>
        <w:rPr>
          <w:rFonts w:ascii="方正小标宋_GBK" w:eastAsia="方正小标宋_GBK" w:hint="eastAsia"/>
          <w:sz w:val="44"/>
        </w:rPr>
        <w:t>第三部分：机关运行经费安排情况</w:t>
      </w:r>
    </w:p>
    <w:p>
      <w:pPr>
        <w:ind w:firstLine="640"/>
        <w:spacing w:line="360" w:lineRule="auto"/>
        <w:rPr>
          <w:b/>
          <w:rFonts w:ascii="仿宋" w:eastAsia="仿宋" w:hAnsi="仿宋"/>
          <w:sz w:val="32"/>
          <w:szCs w:val="32"/>
        </w:rPr>
      </w:pPr>
      <w:r>
        <w:rPr>
          <w:rFonts w:ascii="仿宋" w:eastAsia="仿宋" w:hAnsi="仿宋"/>
          <w:sz w:val="32"/>
          <w:szCs w:val="32"/>
        </w:rPr>
        <w:t>2022年我</w:t>
      </w:r>
      <w:r>
        <w:rPr>
          <w:lang w:eastAsia="zh-CN"/>
          <w:rFonts w:ascii="仿宋" w:eastAsia="仿宋" w:hAnsi="仿宋" w:hint="eastAsia"/>
          <w:sz w:val="32"/>
          <w:szCs w:val="32"/>
        </w:rPr>
        <w:t>单位</w:t>
      </w:r>
      <w:r>
        <w:rPr>
          <w:rFonts w:ascii="仿宋" w:eastAsia="仿宋" w:hAnsi="仿宋"/>
          <w:sz w:val="32"/>
          <w:szCs w:val="32"/>
        </w:rPr>
        <w:t>机关运行经费安排12.88万元，其中办公费</w:t>
      </w:r>
      <w:r>
        <w:rPr>
          <w:rFonts w:ascii="仿宋" w:eastAsia="仿宋" w:hAnsi="仿宋" w:hint="eastAsia"/>
          <w:sz w:val="32"/>
          <w:szCs w:val="32"/>
        </w:rPr>
        <w:t>5.40</w:t>
      </w:r>
      <w:r>
        <w:rPr>
          <w:rFonts w:ascii="仿宋" w:eastAsia="仿宋" w:hAnsi="仿宋"/>
          <w:sz w:val="32"/>
          <w:szCs w:val="32"/>
        </w:rPr>
        <w:t>万元，邮电费1.30万元，</w:t>
      </w:r>
      <w:r>
        <w:rPr>
          <w:rFonts w:ascii="仿宋" w:eastAsia="仿宋" w:hAnsi="仿宋" w:hint="eastAsia"/>
          <w:sz w:val="32"/>
          <w:szCs w:val="32"/>
        </w:rPr>
        <w:t>会议费0.05万元</w:t>
      </w:r>
      <w:r>
        <w:rPr>
          <w:rFonts w:ascii="仿宋" w:eastAsia="仿宋" w:hAnsi="仿宋"/>
          <w:sz w:val="32"/>
          <w:szCs w:val="32"/>
        </w:rPr>
        <w:t>，工会经费、福利费2.</w:t>
      </w:r>
      <w:r>
        <w:rPr>
          <w:rFonts w:ascii="仿宋" w:eastAsia="仿宋" w:hAnsi="仿宋" w:hint="eastAsia"/>
          <w:sz w:val="32"/>
          <w:szCs w:val="32"/>
        </w:rPr>
        <w:t>06</w:t>
      </w:r>
      <w:r>
        <w:rPr>
          <w:rFonts w:ascii="仿宋" w:eastAsia="仿宋" w:hAnsi="仿宋"/>
          <w:sz w:val="32"/>
          <w:szCs w:val="32"/>
        </w:rPr>
        <w:t>万元，公务用车运行维护费2.43万元</w:t>
      </w:r>
      <w:r>
        <w:rPr>
          <w:rFonts w:ascii="仿宋" w:eastAsia="仿宋" w:hAnsi="仿宋" w:hint="eastAsia"/>
          <w:sz w:val="32"/>
          <w:szCs w:val="32"/>
        </w:rPr>
        <w:t>，</w:t>
      </w:r>
      <w:r>
        <w:rPr>
          <w:rFonts w:ascii="仿宋" w:eastAsia="仿宋" w:hAnsi="仿宋"/>
          <w:sz w:val="32"/>
          <w:szCs w:val="32"/>
        </w:rPr>
        <w:t>其他支出</w:t>
      </w:r>
      <w:r>
        <w:rPr>
          <w:rFonts w:ascii="仿宋" w:eastAsia="仿宋" w:hAnsi="仿宋" w:hint="eastAsia"/>
          <w:sz w:val="32"/>
          <w:szCs w:val="32"/>
        </w:rPr>
        <w:t>1.65</w:t>
      </w:r>
      <w:r>
        <w:rPr>
          <w:rFonts w:ascii="仿宋" w:eastAsia="仿宋" w:hAnsi="仿宋"/>
          <w:sz w:val="32"/>
          <w:szCs w:val="32"/>
        </w:rPr>
        <w:t>万元。</w:t>
      </w:r>
    </w:p>
    <w:p>
      <w:pPr>
        <w:outlineLvl w:val="0"/>
        <w:jc w:val="center"/>
        <w:ind w:firstLine="110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ayout w:type="autofit"/>
        <w:tblCellMar>
          <w:top w:w="0" w:type="dxa"/>
          <w:left w:w="108" w:type="dxa"/>
          <w:bottom w:w="0" w:type="dxa"/>
          <w:right w:w="108" w:type="dxa"/>
        </w:tblCellMar>
        <w:tblInd w:w="0" w:type="dxa"/>
        <w:tblStyle w:val="5"/>
      </w:tblPr>
      <w:tblGrid>
        <w:gridCol w:w="9515"/>
      </w:tblGrid>
      <w:tr>
        <w:trPr>
          <w:trHeight w:val="405" w:hRule="atLeast"/>
        </w:trPr>
        <w:tblPrEx>
          <w:tblCellMar>
            <w:top w:w="0" w:type="dxa"/>
            <w:left w:w="108" w:type="dxa"/>
            <w:bottom w:w="0" w:type="dxa"/>
            <w:right w:w="108" w:type="dxa"/>
          </w:tblCellMar>
        </w:tblPrEx>
        <w:tc>
          <w:tcPr>
            <w:noWrap/>
            <w:tcBorders>
              <w:top w:val="nil" w:sz="0" w:color="auto" w:space="0"/>
              <w:bottom w:val="nil" w:sz="0" w:color="auto" w:space="0"/>
              <w:left w:val="nil" w:sz="0" w:color="auto" w:space="0"/>
              <w:right w:val="nil" w:sz="0" w:color="auto" w:space="0"/>
            </w:tcBorders>
            <w:shd w:fill="auto" w:color="auto" w:val="clear"/>
            <w:vAlign w:val="center"/>
            <w:tcW w:w="5000" w:type="pct"/>
          </w:tcPr>
          <w:tbl>
            <w:tblPr>
              <w:tblW w:w="0" w:type="auto"/>
              <w:tblLayout w:type="autofit"/>
              <w:tblCellMar>
                <w:top w:w="0" w:type="dxa"/>
                <w:left w:w="108" w:type="dxa"/>
                <w:bottom w:w="0" w:type="dxa"/>
                <w:right w:w="108" w:type="dxa"/>
              </w:tblCellMar>
              <w:jc w:val="center"/>
              <w:tblStyle w:val="5"/>
            </w:tblPr>
            <w:tblGrid>
              <w:gridCol w:w="2163"/>
              <w:gridCol w:w="1276"/>
              <w:gridCol w:w="1418"/>
              <w:gridCol w:w="836"/>
              <w:gridCol w:w="2397"/>
            </w:tblGrid>
            <w:tr>
              <w:trPr>
                <w:jc w:val="center"/>
                <w:trHeight w:val="405" w:hRule="atLeast"/>
              </w:trPr>
              <w:tblPrEx>
                <w:tblCellMar>
                  <w:top w:w="0" w:type="dxa"/>
                  <w:left w:w="108" w:type="dxa"/>
                  <w:bottom w:w="0" w:type="dxa"/>
                  <w:right w:w="108" w:type="dxa"/>
                </w:tblCellMar>
              </w:tblPrEx>
              <w:tc>
                <w:tcPr>
                  <w:gridSpan w:val="5"/>
                  <w:tcBorders>
                    <w:top w:val="nil" w:sz="0" w:color="auto" w:space="0"/>
                    <w:bottom w:val="nil" w:sz="0" w:color="auto" w:space="0"/>
                    <w:left w:val="nil" w:sz="0" w:color="auto" w:space="0"/>
                    <w:right w:val="nil" w:sz="0" w:color="auto" w:space="0"/>
                  </w:tcBorders>
                  <w:vAlign w:val="center"/>
                  <w:tcW w:w="8090" w:type="dxa"/>
                </w:tcPr>
                <w:p>
                  <w:pPr>
                    <w:spacing w:line="360" w:lineRule="auto"/>
                    <w:rPr>
                      <w:kern w:val="0"/>
                      <w:rFonts w:ascii="黑体" w:cs="宋体" w:eastAsia="黑体" w:hAnsi="黑体"/>
                      <w:sz w:val="32"/>
                      <w:szCs w:val="32"/>
                    </w:rPr>
                  </w:pPr>
                </w:p>
              </w:tc>
            </w:tr>
            <w:tr>
              <w:trPr>
                <w:jc w:val="center"/>
                <w:trHeight w:val="221" w:hRule="atLeast"/>
              </w:trPr>
              <w:tblPrEx>
                <w:tblCellMar>
                  <w:top w:w="0" w:type="dxa"/>
                  <w:left w:w="108" w:type="dxa"/>
                  <w:bottom w:w="0" w:type="dxa"/>
                  <w:right w:w="108" w:type="dxa"/>
                </w:tblCellMar>
              </w:tblPrEx>
              <w:tc>
                <w:tcPr>
                  <w:tcBorders>
                    <w:top w:val="nil" w:sz="0" w:color="auto" w:space="0"/>
                    <w:bottom w:val="nil" w:sz="0" w:color="auto" w:space="0"/>
                    <w:left w:val="nil" w:sz="0" w:color="auto" w:space="0"/>
                    <w:right w:val="nil" w:sz="0" w:color="auto" w:space="0"/>
                  </w:tcBorders>
                  <w:vAlign w:val="center"/>
                  <w:tcW w:w="2163" w:type="dxa"/>
                </w:tcPr>
                <w:p>
                  <w:pPr>
                    <w:widowControl/>
                    <w:jc w:val="left"/>
                    <w:rPr>
                      <w:kern w:val="0"/>
                      <w:rFonts w:ascii="宋体" w:cs="宋体" w:hAnsi="宋体"/>
                      <w:sz w:val="24"/>
                      <w:szCs w:val="24"/>
                    </w:rPr>
                  </w:pPr>
                </w:p>
              </w:tc>
              <w:tc>
                <w:tcPr>
                  <w:tcBorders>
                    <w:top w:val="nil" w:sz="0" w:color="auto" w:space="0"/>
                    <w:bottom w:val="nil" w:sz="0" w:color="auto" w:space="0"/>
                    <w:left w:val="nil" w:sz="0" w:color="auto" w:space="0"/>
                    <w:right w:val="nil" w:sz="0" w:color="auto" w:space="0"/>
                  </w:tcBorders>
                  <w:vAlign w:val="center"/>
                  <w:tcW w:w="1276" w:type="dxa"/>
                </w:tcPr>
                <w:p>
                  <w:pPr>
                    <w:widowControl/>
                    <w:jc w:val="left"/>
                    <w:rPr>
                      <w:kern w:val="0"/>
                      <w:rFonts w:ascii="宋体" w:cs="宋体" w:hAnsi="宋体"/>
                      <w:sz w:val="24"/>
                      <w:szCs w:val="24"/>
                    </w:rPr>
                  </w:pPr>
                </w:p>
              </w:tc>
              <w:tc>
                <w:tcPr>
                  <w:tcBorders>
                    <w:top w:val="nil" w:sz="0" w:color="auto" w:space="0"/>
                    <w:bottom w:val="nil" w:sz="0" w:color="auto" w:space="0"/>
                    <w:left w:val="nil" w:sz="0" w:color="auto" w:space="0"/>
                    <w:right w:val="nil" w:sz="0" w:color="auto" w:space="0"/>
                  </w:tcBorders>
                  <w:vAlign w:val="center"/>
                  <w:tcW w:w="1418" w:type="dxa"/>
                </w:tcPr>
                <w:p>
                  <w:pPr>
                    <w:widowControl/>
                    <w:jc w:val="left"/>
                    <w:rPr>
                      <w:kern w:val="0"/>
                      <w:rFonts w:ascii="宋体" w:cs="宋体" w:hAnsi="宋体"/>
                      <w:sz w:val="24"/>
                      <w:szCs w:val="24"/>
                    </w:rPr>
                  </w:pPr>
                </w:p>
              </w:tc>
              <w:tc>
                <w:tcPr>
                  <w:tcBorders>
                    <w:top w:val="nil" w:sz="0" w:color="auto" w:space="0"/>
                    <w:bottom w:val="nil" w:sz="0" w:color="auto" w:space="0"/>
                    <w:left w:val="nil" w:sz="0" w:color="auto" w:space="0"/>
                    <w:right w:val="nil" w:sz="0" w:color="auto" w:space="0"/>
                  </w:tcBorders>
                  <w:vAlign w:val="center"/>
                  <w:tcW w:w="836" w:type="dxa"/>
                </w:tcPr>
                <w:p>
                  <w:pPr>
                    <w:widowControl/>
                    <w:jc w:val="left"/>
                    <w:rPr>
                      <w:kern w:val="0"/>
                      <w:rFonts w:ascii="宋体" w:cs="宋体" w:hAnsi="宋体"/>
                      <w:sz w:val="24"/>
                      <w:szCs w:val="24"/>
                    </w:rPr>
                  </w:pPr>
                </w:p>
              </w:tc>
              <w:tc>
                <w:tcPr>
                  <w:tcBorders>
                    <w:top w:val="nil" w:sz="0" w:color="auto" w:space="0"/>
                    <w:bottom w:val="nil" w:sz="0" w:color="auto" w:space="0"/>
                    <w:left w:val="nil" w:sz="0" w:color="auto" w:space="0"/>
                    <w:right w:val="nil" w:sz="0" w:color="auto" w:space="0"/>
                  </w:tcBorders>
                  <w:vAlign w:val="center"/>
                  <w:tcW w:w="2397" w:type="dxa"/>
                </w:tcPr>
                <w:p>
                  <w:pPr>
                    <w:widowControl/>
                    <w:jc w:val="right"/>
                    <w:rPr>
                      <w:kern w:val="0"/>
                      <w:rFonts w:ascii="宋体" w:cs="宋体" w:hAnsi="宋体"/>
                      <w:sz w:val="24"/>
                      <w:szCs w:val="24"/>
                    </w:rPr>
                  </w:pPr>
                  <w:r>
                    <w:rPr>
                      <w:kern w:val="0"/>
                      <w:rFonts w:ascii="宋体" w:cs="宋体" w:hAnsi="宋体" w:hint="eastAsia"/>
                      <w:sz w:val="24"/>
                      <w:szCs w:val="24"/>
                    </w:rPr>
                    <w:t>单位：万元</w:t>
                  </w:r>
                </w:p>
              </w:tc>
            </w:tr>
            <w:tr>
              <w:trPr>
                <w:jc w:val="center"/>
                <w:trHeight w:val="285" w:hRule="atLeast"/>
              </w:trPr>
              <w:tblPrEx>
                <w:tblCellMar>
                  <w:top w:w="0" w:type="dxa"/>
                  <w:left w:w="108" w:type="dxa"/>
                  <w:bottom w:w="0" w:type="dxa"/>
                  <w:right w:w="108" w:type="dxa"/>
                </w:tblCellMar>
              </w:tblPrEx>
              <w:tc>
                <w:tcPr>
                  <w:tcBorders>
                    <w:top w:val="single" w:sz="4" w:color="auto" w:space="0"/>
                    <w:bottom w:val="single" w:sz="4" w:color="auto" w:space="0"/>
                    <w:left w:val="single" w:sz="4" w:color="auto" w:space="0"/>
                    <w:right w:val="single" w:sz="4" w:color="auto" w:space="0"/>
                  </w:tcBorders>
                  <w:vAlign w:val="center"/>
                  <w:tcW w:w="2163" w:type="dxa"/>
                </w:tcPr>
                <w:p>
                  <w:pPr>
                    <w:widowControl/>
                    <w:jc w:val="center"/>
                    <w:rPr>
                      <w:kern w:val="0"/>
                      <w:b/>
                      <w:rFonts w:ascii="仿宋_GB2312" w:cs="宋体" w:eastAsia="仿宋_GB2312" w:hAnsi="宋体"/>
                      <w:sz w:val="24"/>
                      <w:szCs w:val="24"/>
                    </w:rPr>
                  </w:pPr>
                  <w:r>
                    <w:rPr>
                      <w:kern w:val="0"/>
                      <w:b/>
                      <w:rFonts w:ascii="仿宋_GB2312" w:cs="宋体" w:eastAsia="仿宋_GB2312" w:hAnsi="宋体" w:hint="eastAsia"/>
                      <w:sz w:val="24"/>
                      <w:szCs w:val="24"/>
                    </w:rPr>
                    <w:t>项目名称</w:t>
                  </w:r>
                </w:p>
              </w:tc>
              <w:tc>
                <w:tcPr>
                  <w:tcBorders>
                    <w:top w:val="single" w:sz="4" w:color="auto" w:space="0"/>
                    <w:bottom w:val="single" w:sz="4" w:color="auto" w:space="0"/>
                    <w:left w:val="nil" w:sz="0" w:color="auto" w:space="0"/>
                    <w:right w:val="single" w:sz="4" w:color="auto" w:space="0"/>
                  </w:tcBorders>
                  <w:vAlign w:val="center"/>
                  <w:tcW w:w="1276" w:type="dxa"/>
                </w:tcPr>
                <w:p>
                  <w:pPr>
                    <w:widowControl/>
                    <w:jc w:val="center"/>
                    <w:rPr>
                      <w:kern w:val="0"/>
                      <w:b/>
                      <w:rFonts w:ascii="仿宋_GB2312" w:cs="宋体" w:eastAsia="仿宋_GB2312" w:hAnsi="宋体"/>
                      <w:sz w:val="24"/>
                      <w:szCs w:val="24"/>
                    </w:rPr>
                  </w:pPr>
                  <w:r>
                    <w:rPr>
                      <w:kern w:val="0"/>
                      <w:b/>
                      <w:rFonts w:ascii="仿宋_GB2312" w:cs="宋体" w:eastAsia="仿宋_GB2312" w:hAnsi="宋体"/>
                      <w:sz w:val="24"/>
                      <w:szCs w:val="24"/>
                    </w:rPr>
                    <w:t>2021</w:t>
                  </w:r>
                  <w:r>
                    <w:rPr>
                      <w:kern w:val="0"/>
                      <w:b/>
                      <w:rFonts w:ascii="仿宋_GB2312" w:cs="宋体" w:eastAsia="仿宋_GB2312" w:hAnsi="宋体" w:hint="eastAsia"/>
                      <w:sz w:val="24"/>
                      <w:szCs w:val="24"/>
                    </w:rPr>
                    <w:t>年度预算</w:t>
                  </w:r>
                </w:p>
              </w:tc>
              <w:tc>
                <w:tcPr>
                  <w:tcBorders>
                    <w:top w:val="single" w:sz="4" w:color="auto" w:space="0"/>
                    <w:bottom w:val="single" w:sz="4" w:color="auto" w:space="0"/>
                    <w:left w:val="nil" w:sz="0" w:color="auto" w:space="0"/>
                    <w:right w:val="single" w:sz="4" w:color="auto" w:space="0"/>
                  </w:tcBorders>
                  <w:vAlign w:val="center"/>
                  <w:tcW w:w="1418" w:type="dxa"/>
                </w:tcPr>
                <w:p>
                  <w:pPr>
                    <w:widowControl/>
                    <w:jc w:val="center"/>
                    <w:rPr>
                      <w:kern w:val="0"/>
                      <w:b/>
                      <w:rFonts w:ascii="仿宋_GB2312" w:cs="宋体" w:eastAsia="仿宋_GB2312" w:hAnsi="宋体"/>
                      <w:sz w:val="24"/>
                      <w:szCs w:val="24"/>
                    </w:rPr>
                  </w:pPr>
                  <w:r>
                    <w:rPr>
                      <w:kern w:val="0"/>
                      <w:b/>
                      <w:rFonts w:ascii="仿宋_GB2312" w:cs="宋体" w:eastAsia="仿宋_GB2312" w:hAnsi="宋体"/>
                      <w:sz w:val="24"/>
                      <w:szCs w:val="24"/>
                    </w:rPr>
                    <w:t>2022</w:t>
                  </w:r>
                  <w:r>
                    <w:rPr>
                      <w:kern w:val="0"/>
                      <w:b/>
                      <w:rFonts w:ascii="仿宋_GB2312" w:cs="宋体" w:eastAsia="仿宋_GB2312" w:hAnsi="宋体" w:hint="eastAsia"/>
                      <w:sz w:val="24"/>
                      <w:szCs w:val="24"/>
                    </w:rPr>
                    <w:t>年度预算</w:t>
                  </w:r>
                </w:p>
              </w:tc>
              <w:tc>
                <w:tcPr>
                  <w:tcBorders>
                    <w:top w:val="single" w:sz="4" w:color="auto" w:space="0"/>
                    <w:bottom w:val="single" w:sz="4" w:color="auto" w:space="0"/>
                    <w:left w:val="nil" w:sz="0" w:color="auto" w:space="0"/>
                    <w:right w:val="single" w:sz="4" w:color="auto" w:space="0"/>
                  </w:tcBorders>
                  <w:vAlign w:val="center"/>
                  <w:tcW w:w="836" w:type="dxa"/>
                </w:tcPr>
                <w:p>
                  <w:pPr>
                    <w:widowControl/>
                    <w:jc w:val="center"/>
                    <w:rPr>
                      <w:kern w:val="0"/>
                      <w:b/>
                      <w:rFonts w:ascii="仿宋_GB2312" w:cs="宋体" w:eastAsia="仿宋_GB2312" w:hAnsi="宋体"/>
                      <w:sz w:val="24"/>
                      <w:szCs w:val="24"/>
                    </w:rPr>
                  </w:pPr>
                  <w:r>
                    <w:rPr>
                      <w:kern w:val="0"/>
                      <w:b/>
                      <w:rFonts w:ascii="仿宋_GB2312" w:cs="宋体" w:eastAsia="仿宋_GB2312" w:hAnsi="宋体" w:hint="eastAsia"/>
                      <w:sz w:val="24"/>
                      <w:szCs w:val="24"/>
                    </w:rPr>
                    <w:t>增减金额</w:t>
                  </w:r>
                </w:p>
              </w:tc>
              <w:tc>
                <w:tcPr>
                  <w:tcBorders>
                    <w:top w:val="single" w:sz="4" w:color="auto" w:space="0"/>
                    <w:bottom w:val="single" w:sz="4" w:color="auto" w:space="0"/>
                    <w:left w:val="nil" w:sz="0" w:color="auto" w:space="0"/>
                    <w:right w:val="single" w:sz="4" w:color="auto" w:space="0"/>
                  </w:tcBorders>
                  <w:vAlign w:val="center"/>
                  <w:tcW w:w="2397" w:type="dxa"/>
                </w:tcPr>
                <w:p>
                  <w:pPr>
                    <w:widowControl/>
                    <w:jc w:val="center"/>
                    <w:rPr>
                      <w:kern w:val="0"/>
                      <w:b/>
                      <w:rFonts w:ascii="仿宋_GB2312" w:cs="宋体" w:eastAsia="仿宋_GB2312" w:hAnsi="宋体"/>
                      <w:sz w:val="24"/>
                      <w:szCs w:val="24"/>
                    </w:rPr>
                  </w:pPr>
                  <w:r>
                    <w:rPr>
                      <w:kern w:val="0"/>
                      <w:b/>
                      <w:rFonts w:ascii="仿宋_GB2312" w:cs="宋体" w:eastAsia="仿宋_GB2312" w:hAnsi="宋体" w:hint="eastAsia"/>
                      <w:sz w:val="24"/>
                      <w:szCs w:val="24"/>
                    </w:rPr>
                    <w:t>变化原因</w:t>
                  </w:r>
                </w:p>
              </w:tc>
            </w:tr>
            <w:tr>
              <w:trPr>
                <w:jc w:val="center"/>
                <w:trHeight w:val="285"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2163"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因公出国经费</w:t>
                  </w:r>
                </w:p>
              </w:tc>
              <w:tc>
                <w:tcPr>
                  <w:tcBorders>
                    <w:top w:val="nil" w:sz="0" w:color="auto" w:space="0"/>
                    <w:bottom w:val="single" w:sz="4" w:color="auto" w:space="0"/>
                    <w:left w:val="nil" w:sz="0" w:color="auto" w:space="0"/>
                    <w:right w:val="single" w:sz="4" w:color="auto" w:space="0"/>
                  </w:tcBorders>
                  <w:vAlign w:val="center"/>
                  <w:tcW w:w="1276" w:type="dxa"/>
                </w:tcPr>
                <w:p>
                  <w:pPr>
                    <w:widowControl/>
                    <w:jc w:val="center"/>
                    <w:rPr>
                      <w:kern w:val="0"/>
                      <w:rFonts w:ascii="仿宋_GB2312" w:cs="宋体" w:eastAsia="仿宋_GB2312" w:hAnsi="宋体"/>
                      <w:sz w:val="24"/>
                      <w:szCs w:val="24"/>
                    </w:rPr>
                  </w:pPr>
                  <w:r>
                    <w:rPr>
                      <w:kern w:val="0"/>
                      <w:rFonts w:ascii="仿宋_GB2312" w:cs="宋体" w:eastAsia="仿宋_GB2312" w:hAnsi="宋体"/>
                      <w:sz w:val="24"/>
                      <w:szCs w:val="24"/>
                    </w:rPr>
                    <w:t>0</w:t>
                  </w:r>
                </w:p>
              </w:tc>
              <w:tc>
                <w:tcPr>
                  <w:tcBorders>
                    <w:top w:val="nil" w:sz="0" w:color="auto" w:space="0"/>
                    <w:bottom w:val="single" w:sz="4" w:color="auto" w:space="0"/>
                    <w:left w:val="nil" w:sz="0" w:color="auto" w:space="0"/>
                    <w:right w:val="single" w:sz="4" w:color="auto" w:space="0"/>
                  </w:tcBorders>
                  <w:vAlign w:val="center"/>
                  <w:tcW w:w="1418"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0</w:t>
                  </w:r>
                </w:p>
              </w:tc>
              <w:tc>
                <w:tcPr>
                  <w:tcBorders>
                    <w:top w:val="nil" w:sz="0" w:color="auto" w:space="0"/>
                    <w:bottom w:val="single" w:sz="4" w:color="auto" w:space="0"/>
                    <w:left w:val="nil" w:sz="0" w:color="auto" w:space="0"/>
                    <w:right w:val="single" w:sz="4" w:color="auto" w:space="0"/>
                  </w:tcBorders>
                  <w:vAlign w:val="center"/>
                  <w:tcW w:w="836"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0</w:t>
                  </w:r>
                </w:p>
              </w:tc>
              <w:tc>
                <w:tcPr>
                  <w:tcBorders>
                    <w:top w:val="nil" w:sz="0" w:color="auto" w:space="0"/>
                    <w:bottom w:val="single" w:sz="4" w:color="auto" w:space="0"/>
                    <w:left w:val="nil" w:sz="0" w:color="auto" w:space="0"/>
                    <w:right w:val="single" w:sz="4" w:color="auto" w:space="0"/>
                  </w:tcBorders>
                  <w:vAlign w:val="center"/>
                  <w:tcW w:w="2397" w:type="dxa"/>
                </w:tcPr>
                <w:p>
                  <w:pPr>
                    <w:widowControl/>
                    <w:jc w:val="left"/>
                    <w:rPr>
                      <w:kern w:val="0"/>
                      <w:rFonts w:ascii="仿宋_GB2312" w:cs="宋体" w:eastAsia="仿宋_GB2312" w:hAnsi="宋体"/>
                      <w:sz w:val="24"/>
                      <w:szCs w:val="24"/>
                    </w:rPr>
                  </w:pPr>
                  <w:r>
                    <w:rPr>
                      <w:kern w:val="0"/>
                      <w:rFonts w:ascii="仿宋_GB2312" w:cs="宋体" w:eastAsia="仿宋_GB2312" w:hAnsi="宋体" w:hint="eastAsia"/>
                      <w:sz w:val="24"/>
                      <w:szCs w:val="24"/>
                    </w:rPr>
                    <w:t>无变化</w:t>
                  </w:r>
                </w:p>
              </w:tc>
            </w:tr>
            <w:tr>
              <w:trPr>
                <w:jc w:val="center"/>
                <w:trHeight w:val="285"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2163"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公务用车购置经费</w:t>
                  </w:r>
                </w:p>
              </w:tc>
              <w:tc>
                <w:tcPr>
                  <w:tcBorders>
                    <w:top w:val="nil" w:sz="0" w:color="auto" w:space="0"/>
                    <w:bottom w:val="single" w:sz="4" w:color="auto" w:space="0"/>
                    <w:left w:val="nil" w:sz="0" w:color="auto" w:space="0"/>
                    <w:right w:val="single" w:sz="4" w:color="auto" w:space="0"/>
                  </w:tcBorders>
                  <w:vAlign w:val="center"/>
                  <w:tcW w:w="1276"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0</w:t>
                  </w:r>
                </w:p>
              </w:tc>
              <w:tc>
                <w:tcPr>
                  <w:tcBorders>
                    <w:top w:val="nil" w:sz="0" w:color="auto" w:space="0"/>
                    <w:bottom w:val="single" w:sz="4" w:color="auto" w:space="0"/>
                    <w:left w:val="nil" w:sz="0" w:color="auto" w:space="0"/>
                    <w:right w:val="single" w:sz="4" w:color="auto" w:space="0"/>
                  </w:tcBorders>
                  <w:vAlign w:val="center"/>
                  <w:tcW w:w="1418"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0</w:t>
                  </w:r>
                </w:p>
              </w:tc>
              <w:tc>
                <w:tcPr>
                  <w:tcBorders>
                    <w:top w:val="nil" w:sz="0" w:color="auto" w:space="0"/>
                    <w:bottom w:val="single" w:sz="4" w:color="auto" w:space="0"/>
                    <w:left w:val="nil" w:sz="0" w:color="auto" w:space="0"/>
                    <w:right w:val="single" w:sz="4" w:color="auto" w:space="0"/>
                  </w:tcBorders>
                  <w:vAlign w:val="center"/>
                  <w:tcW w:w="836"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0</w:t>
                  </w:r>
                </w:p>
              </w:tc>
              <w:tc>
                <w:tcPr>
                  <w:tcBorders>
                    <w:top w:val="nil" w:sz="0" w:color="auto" w:space="0"/>
                    <w:bottom w:val="single" w:sz="4" w:color="auto" w:space="0"/>
                    <w:left w:val="nil" w:sz="0" w:color="auto" w:space="0"/>
                    <w:right w:val="single" w:sz="4" w:color="auto" w:space="0"/>
                  </w:tcBorders>
                  <w:vAlign w:val="center"/>
                  <w:tcW w:w="2397" w:type="dxa"/>
                </w:tcPr>
                <w:p>
                  <w:pPr>
                    <w:widowControl/>
                    <w:jc w:val="left"/>
                    <w:rPr>
                      <w:kern w:val="0"/>
                      <w:rFonts w:ascii="仿宋_GB2312" w:cs="宋体" w:eastAsia="仿宋_GB2312" w:hAnsi="宋体"/>
                      <w:sz w:val="24"/>
                      <w:szCs w:val="24"/>
                    </w:rPr>
                  </w:pPr>
                  <w:r>
                    <w:rPr>
                      <w:kern w:val="0"/>
                      <w:rFonts w:ascii="仿宋_GB2312" w:cs="宋体" w:eastAsia="仿宋_GB2312" w:hAnsi="宋体" w:hint="eastAsia"/>
                      <w:sz w:val="24"/>
                      <w:szCs w:val="24"/>
                    </w:rPr>
                    <w:t>无变化</w:t>
                  </w:r>
                </w:p>
              </w:tc>
            </w:tr>
            <w:tr>
              <w:trPr>
                <w:jc w:val="center"/>
                <w:trHeight w:val="570"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2163"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公务用车运行经费</w:t>
                  </w:r>
                </w:p>
              </w:tc>
              <w:tc>
                <w:tcPr>
                  <w:tcBorders>
                    <w:top w:val="nil" w:sz="0" w:color="auto" w:space="0"/>
                    <w:bottom w:val="single" w:sz="4" w:color="auto" w:space="0"/>
                    <w:left w:val="nil" w:sz="0" w:color="auto" w:space="0"/>
                    <w:right w:val="single" w:sz="4" w:color="auto" w:space="0"/>
                  </w:tcBorders>
                  <w:vAlign w:val="center"/>
                  <w:tcW w:w="1276"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3</w:t>
                  </w:r>
                </w:p>
              </w:tc>
              <w:tc>
                <w:tcPr>
                  <w:tcBorders>
                    <w:top w:val="nil" w:sz="0" w:color="auto" w:space="0"/>
                    <w:bottom w:val="single" w:sz="4" w:color="auto" w:space="0"/>
                    <w:left w:val="nil" w:sz="0" w:color="auto" w:space="0"/>
                    <w:right w:val="single" w:sz="4" w:color="auto" w:space="0"/>
                  </w:tcBorders>
                  <w:vAlign w:val="center"/>
                  <w:tcW w:w="1418"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2.43</w:t>
                  </w:r>
                </w:p>
              </w:tc>
              <w:tc>
                <w:tcPr>
                  <w:tcBorders>
                    <w:top w:val="nil" w:sz="0" w:color="auto" w:space="0"/>
                    <w:bottom w:val="single" w:sz="4" w:color="auto" w:space="0"/>
                    <w:left w:val="nil" w:sz="0" w:color="auto" w:space="0"/>
                    <w:right w:val="single" w:sz="4" w:color="auto" w:space="0"/>
                  </w:tcBorders>
                  <w:vAlign w:val="center"/>
                  <w:tcW w:w="836"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0.57</w:t>
                  </w:r>
                </w:p>
              </w:tc>
              <w:tc>
                <w:tcPr>
                  <w:tcBorders>
                    <w:top w:val="nil" w:sz="0" w:color="auto" w:space="0"/>
                    <w:bottom w:val="single" w:sz="4" w:color="auto" w:space="0"/>
                    <w:left w:val="nil" w:sz="0" w:color="auto" w:space="0"/>
                    <w:right w:val="single" w:sz="4" w:color="auto" w:space="0"/>
                  </w:tcBorders>
                  <w:vAlign w:val="center"/>
                  <w:tcW w:w="2397" w:type="dxa"/>
                </w:tcPr>
                <w:p>
                  <w:pPr>
                    <w:widowControl/>
                    <w:jc w:val="left"/>
                    <w:rPr>
                      <w:kern w:val="0"/>
                      <w:rFonts w:ascii="仿宋_GB2312" w:cs="宋体" w:eastAsia="仿宋_GB2312" w:hAnsi="宋体"/>
                      <w:sz w:val="24"/>
                      <w:szCs w:val="24"/>
                    </w:rPr>
                  </w:pPr>
                  <w:r>
                    <w:rPr>
                      <w:kern w:val="0"/>
                      <w:rFonts w:ascii="仿宋_GB2312" w:cs="宋体" w:eastAsia="仿宋_GB2312" w:hAnsi="宋体" w:hint="eastAsia"/>
                      <w:sz w:val="24"/>
                      <w:szCs w:val="24"/>
                    </w:rPr>
                    <w:t>按照</w:t>
                  </w:r>
                  <w:r>
                    <w:rPr>
                      <w:kern w:val="0"/>
                      <w:rFonts w:ascii="仿宋_GB2312" w:cs="宋体" w:eastAsia="仿宋_GB2312" w:hAnsi="宋体"/>
                      <w:sz w:val="24"/>
                      <w:szCs w:val="24"/>
                    </w:rPr>
                    <w:t>上级政策要求，</w:t>
                  </w:r>
                  <w:r>
                    <w:rPr>
                      <w:kern w:val="0"/>
                      <w:rFonts w:ascii="仿宋_GB2312" w:cs="宋体" w:eastAsia="仿宋_GB2312" w:hAnsi="宋体" w:hint="eastAsia"/>
                      <w:sz w:val="24"/>
                      <w:szCs w:val="24"/>
                    </w:rPr>
                    <w:t>压减</w:t>
                  </w:r>
                  <w:r>
                    <w:rPr>
                      <w:kern w:val="0"/>
                      <w:lang w:eastAsia="zh-CN"/>
                      <w:rFonts w:ascii="仿宋_GB2312" w:cs="宋体" w:eastAsia="仿宋_GB2312" w:hAnsi="宋体" w:hint="eastAsia"/>
                      <w:sz w:val="24"/>
                      <w:szCs w:val="24"/>
                    </w:rPr>
                    <w:t>单位</w:t>
                  </w:r>
                  <w:r>
                    <w:rPr>
                      <w:kern w:val="0"/>
                      <w:rFonts w:ascii="仿宋_GB2312" w:cs="宋体" w:eastAsia="仿宋_GB2312" w:hAnsi="宋体"/>
                      <w:sz w:val="24"/>
                      <w:szCs w:val="24"/>
                    </w:rPr>
                    <w:t>开支</w:t>
                  </w:r>
                  <w:r>
                    <w:rPr>
                      <w:kern w:val="0"/>
                      <w:rFonts w:ascii="仿宋_GB2312" w:cs="宋体" w:eastAsia="仿宋_GB2312" w:hAnsi="宋体" w:hint="eastAsia"/>
                      <w:sz w:val="24"/>
                      <w:szCs w:val="24"/>
                    </w:rPr>
                    <w:t>，</w:t>
                  </w:r>
                  <w:r>
                    <w:rPr>
                      <w:kern w:val="0"/>
                      <w:rFonts w:ascii="仿宋_GB2312" w:cs="宋体" w:eastAsia="仿宋_GB2312" w:hAnsi="宋体"/>
                      <w:sz w:val="24"/>
                      <w:szCs w:val="24"/>
                    </w:rPr>
                    <w:t>厉行节约</w:t>
                  </w:r>
                </w:p>
              </w:tc>
            </w:tr>
            <w:tr>
              <w:trPr>
                <w:jc w:val="center"/>
                <w:trHeight w:val="855"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2163"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公务接待费支出</w:t>
                  </w:r>
                </w:p>
              </w:tc>
              <w:tc>
                <w:tcPr>
                  <w:tcBorders>
                    <w:top w:val="nil" w:sz="0" w:color="auto" w:space="0"/>
                    <w:bottom w:val="single" w:sz="4" w:color="auto" w:space="0"/>
                    <w:left w:val="nil" w:sz="0" w:color="auto" w:space="0"/>
                    <w:right w:val="single" w:sz="4" w:color="auto" w:space="0"/>
                  </w:tcBorders>
                  <w:vAlign w:val="center"/>
                  <w:tcW w:w="1276"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0</w:t>
                  </w:r>
                </w:p>
              </w:tc>
              <w:tc>
                <w:tcPr>
                  <w:tcBorders>
                    <w:top w:val="nil" w:sz="0" w:color="auto" w:space="0"/>
                    <w:bottom w:val="single" w:sz="4" w:color="auto" w:space="0"/>
                    <w:left w:val="nil" w:sz="0" w:color="auto" w:space="0"/>
                    <w:right w:val="single" w:sz="4" w:color="auto" w:space="0"/>
                  </w:tcBorders>
                  <w:vAlign w:val="center"/>
                  <w:tcW w:w="1418"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0</w:t>
                  </w:r>
                </w:p>
              </w:tc>
              <w:tc>
                <w:tcPr>
                  <w:tcBorders>
                    <w:top w:val="nil" w:sz="0" w:color="auto" w:space="0"/>
                    <w:bottom w:val="single" w:sz="4" w:color="auto" w:space="0"/>
                    <w:left w:val="nil" w:sz="0" w:color="auto" w:space="0"/>
                    <w:right w:val="single" w:sz="4" w:color="auto" w:space="0"/>
                  </w:tcBorders>
                  <w:vAlign w:val="center"/>
                  <w:tcW w:w="836"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0</w:t>
                  </w:r>
                </w:p>
              </w:tc>
              <w:tc>
                <w:tcPr>
                  <w:tcBorders>
                    <w:top w:val="nil" w:sz="0" w:color="auto" w:space="0"/>
                    <w:bottom w:val="single" w:sz="4" w:color="auto" w:space="0"/>
                    <w:left w:val="nil" w:sz="0" w:color="auto" w:space="0"/>
                    <w:right w:val="single" w:sz="4" w:color="auto" w:space="0"/>
                  </w:tcBorders>
                  <w:vAlign w:val="center"/>
                  <w:tcW w:w="2397" w:type="dxa"/>
                </w:tcPr>
                <w:p>
                  <w:pPr>
                    <w:widowControl/>
                    <w:jc w:val="left"/>
                    <w:rPr>
                      <w:kern w:val="0"/>
                      <w:rFonts w:ascii="仿宋_GB2312" w:cs="宋体" w:eastAsia="仿宋_GB2312" w:hAnsi="宋体"/>
                      <w:sz w:val="24"/>
                      <w:szCs w:val="24"/>
                    </w:rPr>
                  </w:pPr>
                  <w:r>
                    <w:rPr>
                      <w:kern w:val="0"/>
                      <w:rFonts w:ascii="仿宋_GB2312" w:cs="宋体" w:eastAsia="仿宋_GB2312" w:hAnsi="宋体" w:hint="eastAsia"/>
                      <w:sz w:val="24"/>
                      <w:szCs w:val="24"/>
                    </w:rPr>
                    <w:t>无变化</w:t>
                  </w:r>
                </w:p>
              </w:tc>
            </w:tr>
            <w:tr>
              <w:trPr>
                <w:jc w:val="center"/>
                <w:trHeight w:val="1140"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2163" w:type="dxa"/>
                </w:tcPr>
                <w:p>
                  <w:pPr>
                    <w:widowControl/>
                    <w:jc w:val="center"/>
                    <w:rPr>
                      <w:kern w:val="0"/>
                      <w:rFonts w:ascii="仿宋_GB2312" w:cs="宋体" w:eastAsia="仿宋_GB2312" w:hAnsi="宋体"/>
                      <w:sz w:val="24"/>
                      <w:szCs w:val="24"/>
                    </w:rPr>
                  </w:pPr>
                  <w:r>
                    <w:rPr>
                      <w:kern w:val="0"/>
                      <w:rFonts w:ascii="仿宋_GB2312" w:cs="宋体" w:eastAsia="仿宋_GB2312" w:hAnsi="宋体" w:hint="eastAsia"/>
                      <w:sz w:val="24"/>
                      <w:szCs w:val="24"/>
                    </w:rPr>
                    <w:t>合计</w:t>
                  </w:r>
                </w:p>
              </w:tc>
              <w:tc>
                <w:tcPr>
                  <w:tcBorders>
                    <w:top w:val="nil" w:sz="0" w:color="auto" w:space="0"/>
                    <w:bottom w:val="single" w:sz="4" w:color="auto" w:space="0"/>
                    <w:left w:val="nil" w:sz="0" w:color="auto" w:space="0"/>
                    <w:right w:val="single" w:sz="4" w:color="auto" w:space="0"/>
                  </w:tcBorders>
                  <w:vAlign w:val="center"/>
                  <w:tcW w:w="1276" w:type="dxa"/>
                </w:tcPr>
                <w:p>
                  <w:pPr>
                    <w:widowControl/>
                    <w:jc w:val="center"/>
                    <w:rPr>
                      <w:kern w:val="0"/>
                      <w:color w:val="FF0000"/>
                      <w:rFonts w:ascii="仿宋_GB2312" w:cs="宋体" w:eastAsia="仿宋_GB2312" w:hAnsi="宋体"/>
                      <w:sz w:val="24"/>
                      <w:szCs w:val="24"/>
                    </w:rPr>
                  </w:pPr>
                  <w:r>
                    <w:rPr>
                      <w:kern w:val="0"/>
                      <w:color w:val="FF0000"/>
                      <w:rFonts w:ascii="仿宋_GB2312" w:cs="宋体" w:eastAsia="仿宋_GB2312" w:hAnsi="宋体" w:hint="eastAsia"/>
                      <w:sz w:val="24"/>
                      <w:szCs w:val="24"/>
                    </w:rPr>
                    <w:t>3</w:t>
                  </w:r>
                </w:p>
              </w:tc>
              <w:tc>
                <w:tcPr>
                  <w:tcBorders>
                    <w:top w:val="nil" w:sz="0" w:color="auto" w:space="0"/>
                    <w:bottom w:val="single" w:sz="4" w:color="auto" w:space="0"/>
                    <w:left w:val="nil" w:sz="0" w:color="auto" w:space="0"/>
                    <w:right w:val="single" w:sz="4" w:color="auto" w:space="0"/>
                  </w:tcBorders>
                  <w:vAlign w:val="center"/>
                  <w:tcW w:w="1418" w:type="dxa"/>
                </w:tcPr>
                <w:p>
                  <w:pPr>
                    <w:widowControl/>
                    <w:jc w:val="center"/>
                    <w:rPr>
                      <w:kern w:val="0"/>
                      <w:color w:val="FF0000"/>
                      <w:rFonts w:ascii="仿宋_GB2312" w:cs="宋体" w:eastAsia="仿宋_GB2312" w:hAnsi="宋体"/>
                      <w:sz w:val="24"/>
                      <w:szCs w:val="24"/>
                    </w:rPr>
                  </w:pPr>
                  <w:r>
                    <w:rPr>
                      <w:kern w:val="0"/>
                      <w:color w:val="FF0000"/>
                      <w:rFonts w:ascii="仿宋_GB2312" w:cs="宋体" w:eastAsia="仿宋_GB2312" w:hAnsi="宋体" w:hint="eastAsia"/>
                      <w:sz w:val="24"/>
                      <w:szCs w:val="24"/>
                    </w:rPr>
                    <w:t>2.43</w:t>
                  </w:r>
                </w:p>
              </w:tc>
              <w:tc>
                <w:tcPr>
                  <w:tcBorders>
                    <w:top w:val="nil" w:sz="0" w:color="auto" w:space="0"/>
                    <w:bottom w:val="single" w:sz="4" w:color="auto" w:space="0"/>
                    <w:left w:val="nil" w:sz="0" w:color="auto" w:space="0"/>
                    <w:right w:val="single" w:sz="4" w:color="auto" w:space="0"/>
                  </w:tcBorders>
                  <w:vAlign w:val="center"/>
                  <w:tcW w:w="836" w:type="dxa"/>
                </w:tcPr>
                <w:p>
                  <w:pPr>
                    <w:widowControl/>
                    <w:jc w:val="center"/>
                    <w:rPr>
                      <w:kern w:val="0"/>
                      <w:color w:val="FF0000"/>
                      <w:rFonts w:ascii="仿宋_GB2312" w:cs="宋体" w:eastAsia="仿宋_GB2312" w:hAnsi="宋体"/>
                      <w:sz w:val="24"/>
                      <w:szCs w:val="24"/>
                    </w:rPr>
                  </w:pPr>
                  <w:r>
                    <w:rPr>
                      <w:kern w:val="0"/>
                      <w:color w:val="FF0000"/>
                      <w:rFonts w:ascii="仿宋_GB2312" w:cs="宋体" w:eastAsia="仿宋_GB2312" w:hAnsi="宋体" w:hint="eastAsia"/>
                      <w:sz w:val="24"/>
                      <w:szCs w:val="24"/>
                    </w:rPr>
                    <w:t>0.57</w:t>
                  </w:r>
                </w:p>
              </w:tc>
              <w:tc>
                <w:tcPr>
                  <w:tcBorders>
                    <w:top w:val="nil" w:sz="0" w:color="auto" w:space="0"/>
                    <w:bottom w:val="single" w:sz="4" w:color="auto" w:space="0"/>
                    <w:left w:val="nil" w:sz="0" w:color="auto" w:space="0"/>
                    <w:right w:val="single" w:sz="4" w:color="auto" w:space="0"/>
                  </w:tcBorders>
                  <w:vAlign w:val="center"/>
                  <w:tcW w:w="2397" w:type="dxa"/>
                </w:tcPr>
                <w:p>
                  <w:pPr>
                    <w:widowControl/>
                    <w:jc w:val="left"/>
                    <w:rPr>
                      <w:kern w:val="0"/>
                      <w:rFonts w:ascii="仿宋_GB2312" w:cs="宋体" w:eastAsia="仿宋_GB2312" w:hAnsi="宋体"/>
                      <w:sz w:val="24"/>
                      <w:szCs w:val="24"/>
                    </w:rPr>
                  </w:pPr>
                  <w:r>
                    <w:rPr>
                      <w:kern w:val="0"/>
                      <w:rFonts w:ascii="仿宋_GB2312" w:cs="宋体" w:eastAsia="仿宋_GB2312" w:hAnsi="宋体" w:hint="eastAsia"/>
                      <w:sz w:val="24"/>
                      <w:szCs w:val="24"/>
                    </w:rPr>
                    <w:t>按照</w:t>
                  </w:r>
                  <w:r>
                    <w:rPr>
                      <w:kern w:val="0"/>
                      <w:rFonts w:ascii="仿宋_GB2312" w:cs="宋体" w:eastAsia="仿宋_GB2312" w:hAnsi="宋体"/>
                      <w:sz w:val="24"/>
                      <w:szCs w:val="24"/>
                    </w:rPr>
                    <w:t>上级政策要求，</w:t>
                  </w:r>
                  <w:r>
                    <w:rPr>
                      <w:kern w:val="0"/>
                      <w:rFonts w:ascii="仿宋_GB2312" w:cs="宋体" w:eastAsia="仿宋_GB2312" w:hAnsi="宋体" w:hint="eastAsia"/>
                      <w:sz w:val="24"/>
                      <w:szCs w:val="24"/>
                    </w:rPr>
                    <w:t>压减</w:t>
                  </w:r>
                  <w:r>
                    <w:rPr>
                      <w:kern w:val="0"/>
                      <w:lang w:eastAsia="zh-CN"/>
                      <w:rFonts w:ascii="仿宋_GB2312" w:cs="宋体" w:eastAsia="仿宋_GB2312" w:hAnsi="宋体" w:hint="eastAsia"/>
                      <w:sz w:val="24"/>
                      <w:szCs w:val="24"/>
                    </w:rPr>
                    <w:t>单位</w:t>
                  </w:r>
                  <w:r>
                    <w:rPr>
                      <w:kern w:val="0"/>
                      <w:rFonts w:ascii="仿宋_GB2312" w:cs="宋体" w:eastAsia="仿宋_GB2312" w:hAnsi="宋体"/>
                      <w:sz w:val="24"/>
                      <w:szCs w:val="24"/>
                    </w:rPr>
                    <w:t>开支</w:t>
                  </w:r>
                  <w:r>
                    <w:rPr>
                      <w:kern w:val="0"/>
                      <w:rFonts w:ascii="仿宋_GB2312" w:cs="宋体" w:eastAsia="仿宋_GB2312" w:hAnsi="宋体" w:hint="eastAsia"/>
                      <w:sz w:val="24"/>
                      <w:szCs w:val="24"/>
                    </w:rPr>
                    <w:t>，</w:t>
                  </w:r>
                  <w:r>
                    <w:rPr>
                      <w:kern w:val="0"/>
                      <w:rFonts w:ascii="仿宋_GB2312" w:cs="宋体" w:eastAsia="仿宋_GB2312" w:hAnsi="宋体"/>
                      <w:sz w:val="24"/>
                      <w:szCs w:val="24"/>
                    </w:rPr>
                    <w:t>厉行节约</w:t>
                  </w:r>
                </w:p>
              </w:tc>
            </w:tr>
            <w:tr>
              <w:trPr>
                <w:jc w:val="center"/>
                <w:trHeight w:val="285" w:hRule="atLeast"/>
              </w:trPr>
              <w:tblPrEx>
                <w:tblCellMar>
                  <w:top w:w="0" w:type="dxa"/>
                  <w:left w:w="108" w:type="dxa"/>
                  <w:bottom w:w="0" w:type="dxa"/>
                  <w:right w:w="108" w:type="dxa"/>
                </w:tblCellMar>
              </w:tblPrEx>
              <w:tc>
                <w:tcPr>
                  <w:tcBorders>
                    <w:top w:val="nil" w:sz="0" w:color="auto" w:space="0"/>
                    <w:bottom w:val="nil" w:sz="0" w:color="auto" w:space="0"/>
                    <w:left w:val="nil" w:sz="0" w:color="auto" w:space="0"/>
                    <w:right w:val="nil" w:sz="0" w:color="auto" w:space="0"/>
                  </w:tcBorders>
                  <w:vAlign w:val="center"/>
                  <w:tcW w:w="2163" w:type="dxa"/>
                </w:tcPr>
                <w:p>
                  <w:pPr>
                    <w:widowControl/>
                    <w:jc w:val="left"/>
                    <w:rPr>
                      <w:kern w:val="0"/>
                      <w:rFonts w:ascii="宋体" w:cs="宋体" w:hAnsi="宋体"/>
                      <w:sz w:val="24"/>
                      <w:szCs w:val="24"/>
                    </w:rPr>
                  </w:pPr>
                </w:p>
              </w:tc>
              <w:tc>
                <w:tcPr>
                  <w:tcBorders>
                    <w:top w:val="nil" w:sz="0" w:color="auto" w:space="0"/>
                    <w:bottom w:val="nil" w:sz="0" w:color="auto" w:space="0"/>
                    <w:left w:val="nil" w:sz="0" w:color="auto" w:space="0"/>
                    <w:right w:val="nil" w:sz="0" w:color="auto" w:space="0"/>
                  </w:tcBorders>
                  <w:vAlign w:val="center"/>
                  <w:tcW w:w="1276" w:type="dxa"/>
                </w:tcPr>
                <w:p>
                  <w:pPr>
                    <w:widowControl/>
                    <w:jc w:val="left"/>
                    <w:rPr>
                      <w:kern w:val="0"/>
                      <w:rFonts w:ascii="宋体" w:cs="宋体" w:hAnsi="宋体"/>
                      <w:sz w:val="24"/>
                      <w:szCs w:val="24"/>
                    </w:rPr>
                  </w:pPr>
                </w:p>
              </w:tc>
              <w:tc>
                <w:tcPr>
                  <w:tcBorders>
                    <w:top w:val="nil" w:sz="0" w:color="auto" w:space="0"/>
                    <w:bottom w:val="nil" w:sz="0" w:color="auto" w:space="0"/>
                    <w:left w:val="nil" w:sz="0" w:color="auto" w:space="0"/>
                    <w:right w:val="nil" w:sz="0" w:color="auto" w:space="0"/>
                  </w:tcBorders>
                  <w:vAlign w:val="center"/>
                  <w:tcW w:w="1418" w:type="dxa"/>
                </w:tcPr>
                <w:p>
                  <w:pPr>
                    <w:widowControl/>
                    <w:jc w:val="left"/>
                    <w:rPr>
                      <w:kern w:val="0"/>
                      <w:rFonts w:ascii="宋体" w:cs="宋体" w:hAnsi="宋体"/>
                      <w:sz w:val="24"/>
                      <w:szCs w:val="24"/>
                    </w:rPr>
                  </w:pPr>
                </w:p>
              </w:tc>
              <w:tc>
                <w:tcPr>
                  <w:tcBorders>
                    <w:top w:val="nil" w:sz="0" w:color="auto" w:space="0"/>
                    <w:bottom w:val="nil" w:sz="0" w:color="auto" w:space="0"/>
                    <w:left w:val="nil" w:sz="0" w:color="auto" w:space="0"/>
                    <w:right w:val="nil" w:sz="0" w:color="auto" w:space="0"/>
                  </w:tcBorders>
                  <w:vAlign w:val="center"/>
                  <w:tcW w:w="836" w:type="dxa"/>
                </w:tcPr>
                <w:p>
                  <w:pPr>
                    <w:widowControl/>
                    <w:jc w:val="left"/>
                    <w:rPr>
                      <w:kern w:val="0"/>
                      <w:rFonts w:ascii="宋体" w:cs="宋体" w:hAnsi="宋体"/>
                      <w:sz w:val="24"/>
                      <w:szCs w:val="24"/>
                    </w:rPr>
                  </w:pPr>
                </w:p>
              </w:tc>
              <w:tc>
                <w:tcPr>
                  <w:tcBorders>
                    <w:top w:val="nil" w:sz="0" w:color="auto" w:space="0"/>
                    <w:bottom w:val="nil" w:sz="0" w:color="auto" w:space="0"/>
                    <w:left w:val="nil" w:sz="0" w:color="auto" w:space="0"/>
                    <w:right w:val="nil" w:sz="0" w:color="auto" w:space="0"/>
                  </w:tcBorders>
                  <w:vAlign w:val="center"/>
                  <w:tcW w:w="2397" w:type="dxa"/>
                </w:tcPr>
                <w:p>
                  <w:pPr>
                    <w:widowControl/>
                    <w:jc w:val="left"/>
                    <w:rPr>
                      <w:kern w:val="0"/>
                      <w:rFonts w:ascii="宋体" w:cs="宋体" w:hAnsi="宋体"/>
                      <w:sz w:val="24"/>
                      <w:szCs w:val="24"/>
                    </w:rPr>
                  </w:pPr>
                </w:p>
              </w:tc>
            </w:tr>
          </w:tbl>
          <w:p>
            <w:pPr>
              <w:widowControl/>
              <w:ind w:right="480"/>
              <w:spacing w:line="520" w:lineRule="exact"/>
              <w:rPr>
                <w:kern w:val="0"/>
                <w:rFonts w:ascii="仿宋" w:cs="宋体" w:eastAsia="仿宋" w:hAnsi="仿宋"/>
                <w:sz w:val="24"/>
                <w:szCs w:val="24"/>
              </w:rPr>
            </w:pPr>
          </w:p>
        </w:tc>
      </w:tr>
    </w:tbl>
    <w:p>
      <w:pPr>
        <w:spacing w:line="360" w:lineRule="auto"/>
        <w:rPr>
          <w:rFonts w:ascii="黑体" w:cs="Times New Roman" w:eastAsia="黑体" w:hAnsi="黑体"/>
          <w:sz w:val="32"/>
          <w:szCs w:val="32"/>
        </w:rPr>
      </w:pPr>
    </w:p>
    <w:p>
      <w:pPr>
        <w:spacing w:line="360" w:lineRule="auto"/>
        <w:rPr>
          <w:rFonts w:ascii="黑体" w:cs="Times New Roman" w:eastAsia="黑体" w:hAnsi="黑体"/>
          <w:sz w:val="32"/>
          <w:szCs w:val="32"/>
        </w:rPr>
      </w:pPr>
    </w:p>
    <w:p>
      <w:pPr>
        <w:outlineLvl w:val="0"/>
        <w:jc w:val="center"/>
        <w:rPr>
          <w:rFonts w:ascii="方正小标宋_GBK" w:eastAsia="方正小标宋_GBK"/>
          <w:sz w:val="44"/>
        </w:rPr>
      </w:pPr>
      <w:r>
        <w:rPr>
          <w:rFonts w:ascii="方正小标宋_GBK" w:eastAsia="方正小标宋_GBK" w:hint="eastAsia"/>
          <w:sz w:val="44"/>
        </w:rPr>
        <w:t>第五部分：预算绩效信息</w:t>
      </w:r>
    </w:p>
    <w:p>
      <w:pPr>
        <w:jc w:val="center"/>
        <w:spacing w:line="360" w:lineRule="auto"/>
        <w:rPr>
          <w:rFonts w:ascii="黑体" w:cs="Times New Roman" w:eastAsia="黑体" w:hAnsi="黑体"/>
          <w:sz w:val="32"/>
          <w:szCs w:val="32"/>
        </w:rPr>
      </w:pPr>
    </w:p>
    <w:p>
      <w:pPr>
        <w:outlineLvl w:val="0"/>
        <w:jc w:val="center"/>
        <w:rPr>
          <w:rFonts w:ascii="方正小标宋_GBK" w:eastAsia="方正小标宋_GBK"/>
          <w:sz w:val="44"/>
        </w:rPr>
      </w:pPr>
      <w:r>
        <w:rPr>
          <w:lang w:eastAsia="zh-CN"/>
          <w:rFonts w:ascii="方正小标宋_GBK" w:eastAsia="方正小标宋_GBK" w:hint="eastAsia"/>
          <w:sz w:val="44"/>
        </w:rPr>
        <w:t>单位</w:t>
      </w:r>
      <w:r>
        <w:rPr>
          <w:rFonts w:ascii="方正小标宋_GBK" w:eastAsia="方正小标宋_GBK" w:hint="eastAsia"/>
          <w:sz w:val="44"/>
        </w:rPr>
        <w:t>整体</w:t>
      </w:r>
      <w:r>
        <w:rPr>
          <w:rFonts w:ascii="方正小标宋_GBK" w:eastAsia="方正小标宋_GBK"/>
          <w:sz w:val="44"/>
        </w:rPr>
        <w:t>绩效目标</w:t>
      </w:r>
    </w:p>
    <w:p>
      <w:pPr>
        <w:jc w:val="center"/>
      </w:pPr>
    </w:p>
    <w:p>
      <w:pPr>
        <w:outlineLvl w:val="1"/>
        <w:ind w:firstLine="560"/>
        <w:spacing w:before="10" w:after="10"/>
        <w:rPr>
          <w:rFonts w:ascii="仿宋" w:eastAsia="仿宋" w:hAnsi="仿宋"/>
          <w:sz w:val="32"/>
          <w:szCs w:val="32"/>
        </w:rPr>
      </w:pPr>
      <w:bookmarkStart w:id="0" w:name="_Toc_2_2_0000000001"/>
      <w:r>
        <w:rPr>
          <w:color w:val="000000"/>
          <w:rFonts w:ascii="仿宋" w:cs="方正黑体_GBK" w:eastAsia="仿宋" w:hAnsi="仿宋"/>
          <w:sz w:val="32"/>
          <w:szCs w:val="32"/>
        </w:rPr>
        <w:t>一、总体绩效目标</w:t>
      </w:r>
      <w:bookmarkEnd w:id="0"/>
    </w:p>
    <w:p>
      <w:pPr>
        <w:pStyle w:val="10"/>
        <w:rPr>
          <w:rFonts w:ascii="仿宋" w:eastAsia="仿宋" w:hAnsi="仿宋"/>
          <w:sz w:val="32"/>
          <w:szCs w:val="32"/>
        </w:rPr>
      </w:pPr>
      <w:r>
        <w:rPr>
          <w:rFonts w:ascii="仿宋" w:eastAsia="仿宋" w:hAnsi="仿宋"/>
          <w:sz w:val="32"/>
          <w:szCs w:val="32"/>
        </w:rPr>
        <w:t>以习近平新时代中国特色社会主义思想为指导，深入贯彻党的十九届四中全会和省委九届九次全会精神，认真落实上级和区委、区政府重大安排部署，贯彻执行国家关于少数民族、宗教工作的方针政策，协调处理涉及民族关系的有关事宜，监督办理少数民族权益保障事宜；监督检查宗教活动场所，创建和谐寺观教堂，培训宗教工作干部，对困难宗教教职人员进行补助；协助处理民族宗教方面的维稳问题，促进民族宗教团结、稳定。</w:t>
      </w:r>
    </w:p>
    <w:p>
      <w:pPr>
        <w:outlineLvl w:val="1"/>
        <w:ind w:firstLine="560"/>
        <w:spacing w:before="10" w:after="10"/>
        <w:rPr>
          <w:rFonts w:ascii="仿宋" w:eastAsia="仿宋" w:hAnsi="仿宋"/>
          <w:sz w:val="32"/>
          <w:szCs w:val="32"/>
        </w:rPr>
      </w:pPr>
      <w:bookmarkStart w:id="1" w:name="_Toc_2_2_0000000002"/>
      <w:r>
        <w:rPr>
          <w:color w:val="000000"/>
          <w:rFonts w:ascii="仿宋" w:cs="方正黑体_GBK" w:eastAsia="仿宋" w:hAnsi="仿宋"/>
          <w:sz w:val="32"/>
          <w:szCs w:val="32"/>
        </w:rPr>
        <w:t>二、分项绩效目标</w:t>
      </w:r>
      <w:bookmarkEnd w:id="1"/>
    </w:p>
    <w:p>
      <w:pPr>
        <w:pStyle w:val="11"/>
        <w:rPr>
          <w:rFonts w:ascii="仿宋" w:eastAsia="仿宋" w:hAnsi="仿宋"/>
          <w:sz w:val="32"/>
          <w:szCs w:val="32"/>
        </w:rPr>
      </w:pPr>
      <w:r>
        <w:rPr>
          <w:rFonts w:ascii="仿宋" w:eastAsia="仿宋" w:hAnsi="仿宋"/>
          <w:sz w:val="32"/>
          <w:szCs w:val="32"/>
        </w:rPr>
        <w:t>（一）全面持久把民族宗教工作引向深入</w:t>
      </w:r>
    </w:p>
    <w:p>
      <w:pPr>
        <w:pStyle w:val="11"/>
        <w:rPr>
          <w:rFonts w:ascii="仿宋" w:eastAsia="仿宋" w:hAnsi="仿宋"/>
          <w:sz w:val="32"/>
          <w:szCs w:val="32"/>
        </w:rPr>
      </w:pPr>
      <w:r>
        <w:rPr>
          <w:rFonts w:ascii="仿宋" w:eastAsia="仿宋" w:hAnsi="仿宋"/>
          <w:sz w:val="32"/>
          <w:szCs w:val="32"/>
        </w:rPr>
        <w:t>绩效目标：贯彻执行国家关于少数民族、宗教工作的方针政策，重大节日“开斋节”对少数民族村和7个清真寺进行慰问，发放慰问金和慰问品；监督检查宗教活动场所，对困难宗教教职人员进行补助；开展培训教育工作，教育、培训各大宗教教职人员和各大宗教爱国爱教人士，促进社会和谐稳定。</w:t>
      </w:r>
    </w:p>
    <w:p>
      <w:pPr>
        <w:pStyle w:val="11"/>
        <w:rPr>
          <w:rFonts w:ascii="仿宋" w:eastAsia="仿宋" w:hAnsi="仿宋"/>
          <w:sz w:val="32"/>
          <w:szCs w:val="32"/>
        </w:rPr>
      </w:pPr>
      <w:r>
        <w:rPr>
          <w:rFonts w:ascii="仿宋" w:eastAsia="仿宋" w:hAnsi="仿宋"/>
          <w:sz w:val="32"/>
          <w:szCs w:val="32"/>
        </w:rPr>
        <w:t>绩效指标：民族宗教法律政策宣传普及率达到85%以上；重大节日“开斋节”对少数民族村和7个清真寺进行慰问，发放慰问金和慰问品覆盖率达到80%以上；全年对全区宗教活动场所监督检查达到6次以上；对困难宗教教职人员补助覆盖率达到80%以上；对宗教教职人员和各大宗教爱国爱教人士培训人数达到50人以上。</w:t>
      </w:r>
    </w:p>
    <w:p>
      <w:pPr>
        <w:pStyle w:val="11"/>
        <w:rPr>
          <w:rFonts w:ascii="仿宋" w:eastAsia="仿宋" w:hAnsi="仿宋"/>
          <w:sz w:val="32"/>
          <w:szCs w:val="32"/>
        </w:rPr>
      </w:pPr>
      <w:r>
        <w:rPr>
          <w:rFonts w:ascii="仿宋" w:eastAsia="仿宋" w:hAnsi="仿宋"/>
          <w:sz w:val="32"/>
          <w:szCs w:val="32"/>
        </w:rPr>
        <w:t>（二）进一步加强民族宗教领域和谐稳定</w:t>
      </w:r>
    </w:p>
    <w:p>
      <w:pPr>
        <w:pStyle w:val="11"/>
        <w:rPr>
          <w:rFonts w:ascii="仿宋" w:eastAsia="仿宋" w:hAnsi="仿宋"/>
          <w:sz w:val="32"/>
          <w:szCs w:val="32"/>
        </w:rPr>
      </w:pPr>
      <w:r>
        <w:rPr>
          <w:rFonts w:ascii="仿宋" w:eastAsia="仿宋" w:hAnsi="仿宋"/>
          <w:sz w:val="32"/>
          <w:szCs w:val="32"/>
        </w:rPr>
        <w:t>绩效目标：开展综合事务管理工作，不断提高民族、宗教法律政策宣传力度；协助处理民族、宗教方面的维稳问题；进行清真食品检查；处理其他不可预见的民族、宗教问题。</w:t>
      </w:r>
    </w:p>
    <w:p>
      <w:pPr>
        <w:pStyle w:val="11"/>
        <w:rPr>
          <w:rFonts w:ascii="仿宋" w:eastAsia="仿宋" w:hAnsi="仿宋"/>
          <w:sz w:val="32"/>
          <w:szCs w:val="32"/>
        </w:rPr>
      </w:pPr>
      <w:r>
        <w:rPr>
          <w:rFonts w:ascii="仿宋" w:eastAsia="仿宋" w:hAnsi="仿宋"/>
          <w:sz w:val="32"/>
          <w:szCs w:val="32"/>
        </w:rPr>
        <w:t>绩效指标：民族宗教法律政策宣传普及率达到85%以上；民族宗教维稳率达到90%以上；对全区进行清真食品检查，清真食品认证服务满意度达到80%以上。</w:t>
      </w:r>
    </w:p>
    <w:p>
      <w:pPr>
        <w:pStyle w:val="11"/>
        <w:rPr>
          <w:rFonts w:ascii="仿宋" w:eastAsia="仿宋" w:hAnsi="仿宋"/>
          <w:sz w:val="32"/>
          <w:szCs w:val="32"/>
        </w:rPr>
      </w:pPr>
      <w:r>
        <w:rPr>
          <w:rFonts w:ascii="仿宋" w:eastAsia="仿宋" w:hAnsi="仿宋"/>
          <w:sz w:val="32"/>
          <w:szCs w:val="32"/>
        </w:rPr>
        <w:t>(三）促进少数民族地区发展</w:t>
      </w:r>
    </w:p>
    <w:p>
      <w:pPr>
        <w:pStyle w:val="11"/>
        <w:rPr>
          <w:rFonts w:ascii="仿宋" w:eastAsia="仿宋" w:hAnsi="仿宋"/>
          <w:sz w:val="32"/>
          <w:szCs w:val="32"/>
        </w:rPr>
      </w:pPr>
      <w:r>
        <w:rPr>
          <w:rFonts w:ascii="仿宋" w:eastAsia="仿宋" w:hAnsi="仿宋"/>
          <w:sz w:val="32"/>
          <w:szCs w:val="32"/>
        </w:rPr>
        <w:t>绩效目标：建立健全项目库。上级拨款按要求落实，全面用于少数民族地区发展，党委会就资金的分配及时召开会议。</w:t>
      </w:r>
    </w:p>
    <w:p>
      <w:pPr>
        <w:pStyle w:val="11"/>
        <w:rPr>
          <w:rFonts w:ascii="仿宋" w:eastAsia="仿宋" w:hAnsi="仿宋"/>
          <w:sz w:val="32"/>
          <w:szCs w:val="32"/>
        </w:rPr>
      </w:pPr>
      <w:r>
        <w:rPr>
          <w:rFonts w:ascii="仿宋" w:eastAsia="仿宋" w:hAnsi="仿宋"/>
          <w:sz w:val="32"/>
          <w:szCs w:val="32"/>
        </w:rPr>
        <w:t>绩效指标：项目库资金使用率年底达到100%。</w:t>
      </w:r>
    </w:p>
    <w:p>
      <w:pPr>
        <w:outlineLvl w:val="1"/>
        <w:ind w:firstLine="560"/>
        <w:spacing w:before="10" w:after="10"/>
        <w:rPr>
          <w:rFonts w:ascii="仿宋" w:eastAsia="仿宋" w:hAnsi="仿宋"/>
          <w:sz w:val="32"/>
          <w:szCs w:val="32"/>
        </w:rPr>
      </w:pPr>
      <w:bookmarkStart w:id="2" w:name="_Toc_2_2_0000000003"/>
      <w:r>
        <w:rPr>
          <w:color w:val="000000"/>
          <w:rFonts w:ascii="仿宋" w:cs="方正黑体_GBK" w:eastAsia="仿宋" w:hAnsi="仿宋"/>
          <w:sz w:val="32"/>
          <w:szCs w:val="32"/>
        </w:rPr>
        <w:t>三、工作保障措施</w:t>
      </w:r>
      <w:bookmarkEnd w:id="2"/>
    </w:p>
    <w:p>
      <w:pPr>
        <w:pStyle w:val="12"/>
        <w:rPr>
          <w:rFonts w:ascii="仿宋" w:eastAsia="仿宋" w:hAnsi="仿宋"/>
          <w:sz w:val="32"/>
          <w:szCs w:val="32"/>
        </w:rPr>
      </w:pPr>
      <w:r>
        <w:rPr>
          <w:rFonts w:ascii="仿宋" w:eastAsia="仿宋" w:hAnsi="仿宋"/>
          <w:sz w:val="32"/>
          <w:szCs w:val="32"/>
        </w:rPr>
        <w:t>1、完善制度建设。建立健全本单位预算绩效管理制度体系，不断完善工作机制和工作流程，将事前评估、目标管理、运行监控、绩效评价、结果应用等各项措施，有效融入预算管理的全过程、各环节。围绕年度总体绩效目标和分类绩效目标，明确责任主体和实施进度要求，确保如期完成。</w:t>
      </w:r>
    </w:p>
    <w:p>
      <w:pPr>
        <w:pStyle w:val="12"/>
        <w:rPr>
          <w:rFonts w:ascii="仿宋" w:eastAsia="仿宋" w:hAnsi="仿宋"/>
          <w:sz w:val="32"/>
          <w:szCs w:val="32"/>
        </w:rPr>
      </w:pPr>
      <w:r>
        <w:rPr>
          <w:rFonts w:ascii="仿宋" w:eastAsia="仿宋" w:hAnsi="仿宋"/>
          <w:sz w:val="32"/>
          <w:szCs w:val="32"/>
        </w:rPr>
        <w:t>2、狠抓任务落实。本单位明确预算绩效管理职责，科学制定项目和内容的中期、终期绩效目标和评价指标，开展预算绩效中期评估、终期评价，落实整改措施等。</w:t>
      </w:r>
    </w:p>
    <w:p>
      <w:pPr>
        <w:pStyle w:val="12"/>
        <w:rPr>
          <w:rFonts w:ascii="仿宋" w:eastAsia="仿宋" w:hAnsi="仿宋"/>
          <w:sz w:val="32"/>
          <w:szCs w:val="32"/>
        </w:rPr>
      </w:pPr>
      <w:r>
        <w:rPr>
          <w:rFonts w:ascii="仿宋" w:eastAsia="仿宋" w:hAnsi="仿宋"/>
          <w:sz w:val="32"/>
          <w:szCs w:val="32"/>
        </w:rPr>
        <w:t>3、加强支出管理。强化财政预算的执行，及时启动项目和支付资金，加快履行政府采购程序，优化</w:t>
      </w:r>
      <w:r>
        <w:rPr>
          <w:lang w:eastAsia="zh-CN"/>
          <w:rFonts w:ascii="仿宋" w:eastAsia="仿宋" w:hAnsi="仿宋" w:hint="eastAsia"/>
          <w:sz w:val="32"/>
          <w:szCs w:val="32"/>
        </w:rPr>
        <w:t>单位</w:t>
      </w:r>
      <w:r>
        <w:rPr>
          <w:rFonts w:ascii="仿宋" w:eastAsia="仿宋" w:hAnsi="仿宋"/>
          <w:sz w:val="32"/>
          <w:szCs w:val="32"/>
        </w:rPr>
        <w:t>预算支出结构，创新财政资金支出思路，按照要求的支出方式，做到按照时间节点完成支出任务,确保支出任务达标。规范财政资金使用和管理，强化内部控制制度建设，更好地发挥财政资金的使用效益。</w:t>
      </w:r>
    </w:p>
    <w:p>
      <w:pPr>
        <w:pStyle w:val="12"/>
        <w:rPr>
          <w:rFonts w:ascii="仿宋" w:eastAsia="仿宋" w:hAnsi="仿宋"/>
          <w:sz w:val="32"/>
          <w:szCs w:val="32"/>
        </w:rPr>
      </w:pPr>
      <w:r>
        <w:rPr>
          <w:rFonts w:ascii="仿宋" w:eastAsia="仿宋" w:hAnsi="仿宋"/>
          <w:sz w:val="32"/>
          <w:szCs w:val="32"/>
        </w:rPr>
        <w:t>4、规范财务资产管理。完善财务管理制度，严格审批程序，加强固定资产登记、使用和报废处置管理，做到支出合理，物尽其用，做到账账、账卡、账实相符。</w:t>
      </w:r>
    </w:p>
    <w:p>
      <w:pPr>
        <w:pStyle w:val="12"/>
        <w:rPr>
          <w:rFonts w:ascii="仿宋" w:eastAsia="仿宋" w:hAnsi="仿宋"/>
          <w:sz w:val="32"/>
          <w:szCs w:val="32"/>
        </w:rPr>
      </w:pPr>
      <w:r>
        <w:rPr>
          <w:rFonts w:ascii="仿宋" w:eastAsia="仿宋" w:hAnsi="仿宋"/>
          <w:sz w:val="32"/>
          <w:szCs w:val="32"/>
        </w:rPr>
        <w:t>5、加强单位内部监督。加强单位内部制度建设，对绩效运行情况重大支出决策、资产处置及其他重要经济业务事项的决策和执行进行监督，对会计资料进行内部审计并配合做好审计监督等工作，切实提高财政资金使用效益。同时完善预算绩效编制管理、预算执行管理、财政风险防控管理等系统，着力提升技术引领、支撑和保障作用。</w:t>
      </w:r>
    </w:p>
    <w:p>
      <w:pPr>
        <w:pStyle w:val="12"/>
        <w:rPr>
          <w:rFonts w:ascii="仿宋" w:eastAsia="仿宋" w:hAnsi="仿宋"/>
          <w:sz w:val="32"/>
          <w:szCs w:val="32"/>
        </w:rPr>
      </w:pPr>
      <w:r>
        <w:rPr>
          <w:rFonts w:ascii="仿宋" w:eastAsia="仿宋" w:hAnsi="仿宋"/>
          <w:sz w:val="32"/>
          <w:szCs w:val="32"/>
        </w:rPr>
        <w:t>6、加强宣传培训调研等。加强单位人员培训，提高本单位人员业务素质；加强调研，提出优化财政资金配置、提高资金使用效益的意见；加大宣传力度，强化预算绩效管理意识，促进预算绩效管理水平进一步提升。</w:t>
      </w:r>
    </w:p>
    <w:p>
      <w:pPr>
        <w:ind w:firstLine="640"/>
        <w:spacing w:line="360" w:lineRule="auto"/>
        <w:rPr>
          <w:rFonts w:ascii="仿宋" w:eastAsia="仿宋" w:hAnsi="仿宋"/>
          <w:sz w:val="32"/>
          <w:szCs w:val="32"/>
        </w:rPr>
      </w:pPr>
    </w:p>
    <w:p>
      <w:pPr>
        <w:outlineLvl w:val="0"/>
        <w:jc w:val="center"/>
        <w:rPr>
          <w:rFonts w:ascii="方正小标宋_GBK" w:eastAsia="方正小标宋_GBK"/>
          <w:sz w:val="44"/>
        </w:rPr>
      </w:pPr>
    </w:p>
    <w:p>
      <w:pPr>
        <w:outlineLvl w:val="0"/>
        <w:jc w:val="center"/>
        <w:rPr>
          <w:rFonts w:ascii="方正书宋_GBK" w:eastAsia="方正书宋_GBK"/>
        </w:rPr>
      </w:pPr>
      <w:r>
        <w:rPr>
          <w:rFonts w:ascii="方正小标宋_GBK" w:eastAsia="方正小标宋_GBK" w:hint="eastAsia"/>
          <w:sz w:val="44"/>
        </w:rPr>
        <w:t>预算项目绩效目标</w:t>
      </w:r>
      <w:r>
        <w:rPr>
          <w:rFonts w:ascii="方正书宋_GBK" w:eastAsia="方正书宋_GBK"/>
        </w:rPr>
        <w:t xml:space="preserve"> </w:t>
      </w:r>
    </w:p>
    <w:p>
      <w:pPr>
        <w:jc w:val="center"/>
      </w:pPr>
    </w:p>
    <w:p>
      <w:pPr>
        <w:outlineLvl w:val="3"/>
        <w:ind w:firstLine="560"/>
      </w:pPr>
      <w:bookmarkStart w:id="3" w:name="_Toc_4_4_0000000004"/>
      <w:r>
        <w:rPr>
          <w:color w:val="000000"/>
          <w:rFonts w:ascii="方正仿宋_GBK" w:cs="方正仿宋_GBK" w:eastAsia="方正仿宋_GBK" w:hAnsi="方正仿宋_GBK"/>
          <w:sz w:val="28"/>
        </w:rPr>
        <w:t>1.利息收入绩效目标表</w:t>
      </w:r>
      <w:bookmarkEnd w:id="3"/>
    </w:p>
    <w:tbl>
      <w:tblPr>
        <w:tblW w:w="0" w:type="auto"/>
        <w:tblLayout w:type="fixed"/>
        <w:tblCellMar>
          <w:top w:w="0" w:type="dxa"/>
          <w:left w:w="108" w:type="dxa"/>
          <w:bottom w:w="0" w:type="dxa"/>
          <w:right w:w="108" w:type="dxa"/>
        </w:tblCellMar>
        <w:tblBorders>
          <w:top w:val="single" w:sz="6" w:color="000000" w:space="0"/>
          <w:bottom w:val="single" w:sz="6" w:color="FFFFFF" w:space="0"/>
          <w:left w:val="single" w:sz="6" w:color="000000" w:space="0"/>
          <w:right w:val="single" w:sz="6" w:color="000000" w:space="0"/>
          <w:insideH w:val="single" w:sz="6" w:color="000000" w:space="0"/>
          <w:insideV w:val="single" w:sz="6" w:color="000000" w:space="0"/>
        </w:tblBorders>
        <w:jc w:val="center"/>
        <w:tblStyle w:val="5"/>
      </w:tblPr>
      <w:tblGrid>
        <w:gridCol w:w="1276"/>
        <w:gridCol w:w="1276"/>
        <w:gridCol w:w="1332"/>
        <w:gridCol w:w="1587"/>
        <w:gridCol w:w="1304"/>
        <w:gridCol w:w="1276"/>
        <w:gridCol w:w="1843"/>
      </w:tblGrid>
      <w:tr>
        <w:trPr>
          <w:jc w:val="center"/>
          <w:trHeight w:val="397" w:hRule="atLeast"/>
        </w:trP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6"/>
            <w:tcBorders>
              <w:top w:val="single" w:sz="6" w:color="FFFFFF" w:space="0"/>
              <w:left w:val="single" w:sz="6" w:color="FFFFFF" w:space="0"/>
              <w:right w:val="single" w:sz="6" w:color="FFFFFF" w:space="0"/>
            </w:tcBorders>
            <w:vAlign w:val="center"/>
            <w:tcW w:w="8050" w:type="dxa"/>
          </w:tcPr>
          <w:p>
            <w:pPr>
              <w:pStyle w:val="14"/>
            </w:pPr>
            <w:r>
              <w:t>308001保定市徐水区民族宗教事务局本级</w:t>
            </w:r>
          </w:p>
        </w:tc>
        <w:tc>
          <w:tcPr>
            <w:tcBorders>
              <w:top w:val="single" w:sz="6" w:color="FFFFFF" w:space="0"/>
              <w:left w:val="single" w:sz="6" w:color="FFFFFF" w:space="0"/>
              <w:right w:val="single" w:sz="6" w:color="FFFFFF" w:space="0"/>
            </w:tcBorders>
            <w:vAlign w:val="center"/>
            <w:tcW w:w="1843" w:type="dxa"/>
          </w:tcPr>
          <w:p>
            <w:pPr>
              <w:pStyle w:val="13"/>
            </w:pPr>
            <w:r>
              <w:t>单位：万元</w:t>
            </w:r>
          </w:p>
        </w:tc>
      </w:tr>
      <w:tr>
        <w:trPr>
          <w:jc w:val="center"/>
          <w:trHeight w:val="369" w:hRule="atLeast"/>
        </w:trP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276" w:type="dxa"/>
          </w:tcPr>
          <w:p>
            <w:pPr>
              <w:pStyle w:val="16"/>
            </w:pPr>
            <w:r>
              <w:t>项目编码</w:t>
            </w:r>
          </w:p>
        </w:tc>
        <w:tc>
          <w:tcPr>
            <w:gridSpan w:val="2"/>
            <w:vAlign w:val="center"/>
            <w:tcW w:w="2608" w:type="dxa"/>
          </w:tcPr>
          <w:p>
            <w:pPr>
              <w:pStyle w:val="15"/>
            </w:pPr>
            <w:r>
              <w:t>13062522P004598100524</w:t>
            </w:r>
          </w:p>
        </w:tc>
        <w:tc>
          <w:tcPr>
            <w:vAlign w:val="center"/>
            <w:tcW w:w="1587" w:type="dxa"/>
          </w:tcPr>
          <w:p>
            <w:pPr>
              <w:pStyle w:val="16"/>
            </w:pPr>
            <w:r>
              <w:t>项目名称</w:t>
            </w:r>
          </w:p>
        </w:tc>
        <w:tc>
          <w:tcPr>
            <w:gridSpan w:val="3"/>
            <w:vAlign w:val="center"/>
            <w:tcW w:w="4422" w:type="dxa"/>
          </w:tcPr>
          <w:p>
            <w:pPr>
              <w:pStyle w:val="15"/>
            </w:pPr>
            <w:r>
              <w:t>利息收入</w:t>
            </w:r>
          </w:p>
        </w:tc>
      </w:tr>
      <w:tr>
        <w:trPr>
          <w:jc w:val="center"/>
          <w:trHeight w:val="369" w:hRule="atLeast"/>
        </w:trP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1276" w:type="dxa"/>
          </w:tcPr>
          <w:p>
            <w:pPr>
              <w:pStyle w:val="16"/>
            </w:pPr>
            <w:r>
              <w:t>预算规模及资金用途</w:t>
            </w:r>
          </w:p>
        </w:tc>
        <w:tc>
          <w:tcPr>
            <w:vAlign w:val="center"/>
            <w:tcW w:w="1276" w:type="dxa"/>
          </w:tcPr>
          <w:p>
            <w:pPr>
              <w:pStyle w:val="16"/>
            </w:pPr>
            <w:r>
              <w:t>预算数</w:t>
            </w:r>
          </w:p>
        </w:tc>
        <w:tc>
          <w:tcPr>
            <w:vAlign w:val="center"/>
            <w:tcW w:w="1332" w:type="dxa"/>
          </w:tcPr>
          <w:p>
            <w:pPr>
              <w:pStyle w:val="15"/>
            </w:pPr>
            <w:r>
              <w:t>0.01</w:t>
            </w:r>
          </w:p>
        </w:tc>
        <w:tc>
          <w:tcPr>
            <w:vAlign w:val="center"/>
            <w:tcW w:w="1587" w:type="dxa"/>
          </w:tcPr>
          <w:p>
            <w:pPr>
              <w:pStyle w:val="16"/>
            </w:pPr>
            <w:r>
              <w:t>其中：财政    资金</w:t>
            </w:r>
          </w:p>
        </w:tc>
        <w:tc>
          <w:tcPr>
            <w:vAlign w:val="center"/>
            <w:tcW w:w="1304" w:type="dxa"/>
          </w:tcPr>
          <w:p>
            <w:pPr>
              <w:pStyle w:val="15"/>
            </w:pPr>
            <w:r>
              <w:t xml:space="preserve"> </w:t>
            </w:r>
          </w:p>
        </w:tc>
        <w:tc>
          <w:tcPr>
            <w:vAlign w:val="center"/>
            <w:tcW w:w="1276" w:type="dxa"/>
          </w:tcPr>
          <w:p>
            <w:pPr>
              <w:pStyle w:val="16"/>
            </w:pPr>
            <w:r>
              <w:t>其他资金</w:t>
            </w:r>
          </w:p>
        </w:tc>
        <w:tc>
          <w:tcPr>
            <w:vAlign w:val="center"/>
            <w:tcW w:w="1843" w:type="dxa"/>
          </w:tcPr>
          <w:p>
            <w:pPr>
              <w:pStyle w:val="15"/>
            </w:pPr>
            <w:r>
              <w:t>0.01</w:t>
            </w:r>
          </w:p>
        </w:tc>
      </w:tr>
      <w:tr>
        <w:trPr>
          <w:jc w:val="center"/>
          <w:trHeight w:val="369" w:hRule="atLeast"/>
        </w:trPr>
        <w:tc>
          <w:tcPr>
            <w:vMerge/>
          </w:tcPr>
          <w:p/>
        </w:t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6"/>
            <w:vAlign w:val="center"/>
            <w:tcW w:w="8617" w:type="dxa"/>
          </w:tcPr>
          <w:p>
            <w:pPr>
              <w:pStyle w:val="15"/>
            </w:pPr>
            <w:r>
              <w:t>办公费用</w:t>
            </w:r>
          </w:p>
        </w:tc>
      </w:tr>
      <w:tr>
        <w:trPr>
          <w:jc w:val="center"/>
          <w:trHeight w:val="369" w:hRule="atLeast"/>
        </w:trP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1276" w:type="dxa"/>
          </w:tcPr>
          <w:p>
            <w:pPr>
              <w:pStyle w:val="16"/>
            </w:pPr>
            <w:r>
              <w:t>资金支出计划（%）</w:t>
            </w:r>
          </w:p>
        </w:tc>
        <w:tc>
          <w:tcPr>
            <w:gridSpan w:val="2"/>
            <w:vAlign w:val="center"/>
            <w:tcW w:w="2608" w:type="dxa"/>
          </w:tcPr>
          <w:p>
            <w:pPr>
              <w:pStyle w:val="16"/>
            </w:pPr>
            <w:r>
              <w:t>3月底</w:t>
            </w:r>
          </w:p>
        </w:tc>
        <w:tc>
          <w:tcPr>
            <w:vAlign w:val="center"/>
            <w:tcW w:w="1587" w:type="dxa"/>
          </w:tcPr>
          <w:p>
            <w:pPr>
              <w:pStyle w:val="16"/>
            </w:pPr>
            <w:r>
              <w:t>6月底</w:t>
            </w:r>
          </w:p>
        </w:tc>
        <w:tc>
          <w:tcPr>
            <w:vAlign w:val="center"/>
            <w:tcW w:w="1304" w:type="dxa"/>
          </w:tcPr>
          <w:p>
            <w:pPr>
              <w:pStyle w:val="16"/>
            </w:pPr>
            <w:r>
              <w:t>10月底</w:t>
            </w:r>
          </w:p>
        </w:tc>
        <w:tc>
          <w:tcPr>
            <w:gridSpan w:val="2"/>
            <w:vAlign w:val="center"/>
            <w:tcW w:w="3118" w:type="dxa"/>
          </w:tcPr>
          <w:p>
            <w:pPr>
              <w:pStyle w:val="16"/>
            </w:pPr>
            <w:r>
              <w:t>12月底</w:t>
            </w:r>
          </w:p>
        </w:tc>
      </w:tr>
      <w:tr>
        <w:trPr>
          <w:jc w:val="center"/>
          <w:trHeight w:val="369" w:hRule="atLeast"/>
        </w:trPr>
        <w:tc>
          <w:tcPr>
            <w:vMerge/>
          </w:tcPr>
          <w:p/>
        </w:t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2"/>
            <w:vAlign w:val="center"/>
            <w:tcW w:w="2608" w:type="dxa"/>
          </w:tcPr>
          <w:p>
            <w:pPr>
              <w:pStyle w:val="17"/>
            </w:pPr>
            <w:r>
              <w:t>25%</w:t>
            </w:r>
          </w:p>
        </w:tc>
        <w:tc>
          <w:tcPr>
            <w:vAlign w:val="center"/>
            <w:tcW w:w="1587" w:type="dxa"/>
          </w:tcPr>
          <w:p>
            <w:pPr>
              <w:pStyle w:val="17"/>
            </w:pPr>
            <w:r>
              <w:t>50%</w:t>
            </w:r>
          </w:p>
        </w:tc>
        <w:tc>
          <w:tcPr>
            <w:vAlign w:val="center"/>
            <w:tcW w:w="1304" w:type="dxa"/>
          </w:tcPr>
          <w:p>
            <w:pPr>
              <w:pStyle w:val="17"/>
            </w:pPr>
            <w:r>
              <w:t>75%</w:t>
            </w:r>
          </w:p>
        </w:tc>
        <w:tc>
          <w:tcPr>
            <w:gridSpan w:val="2"/>
            <w:vAlign w:val="center"/>
            <w:tcW w:w="3118" w:type="dxa"/>
          </w:tcPr>
          <w:p>
            <w:pPr>
              <w:pStyle w:val="17"/>
            </w:pPr>
            <w:r>
              <w:t>100%</w:t>
            </w:r>
          </w:p>
        </w:tc>
      </w:tr>
      <w:tr>
        <w:trPr>
          <w:jc w:val="center"/>
          <w:trHeight w:val="369" w:hRule="atLeast"/>
        </w:trP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276" w:type="dxa"/>
          </w:tcPr>
          <w:p>
            <w:pPr>
              <w:pStyle w:val="16"/>
            </w:pPr>
            <w:r>
              <w:t>绩效目标</w:t>
            </w:r>
          </w:p>
        </w:tc>
        <w:tc>
          <w:tcPr>
            <w:gridSpan w:val="6"/>
            <w:vAlign w:val="center"/>
            <w:tcW w:w="8617" w:type="dxa"/>
          </w:tcPr>
          <w:p>
            <w:pPr>
              <w:pStyle w:val="15"/>
            </w:pPr>
            <w:r>
              <w:t>1.按实际情况支出</w:t>
            </w:r>
          </w:p>
          <w:p>
            <w:pPr>
              <w:pStyle w:val="15"/>
            </w:pPr>
            <w:r>
              <w:t>2.年底支出100%</w:t>
            </w:r>
          </w:p>
          <w:p>
            <w:pPr>
              <w:pStyle w:val="15"/>
            </w:pPr>
            <w:r>
              <w:t>3.用于办公费用</w:t>
            </w:r>
          </w:p>
        </w:tc>
      </w:tr>
    </w:tbl>
    <w:p>
      <w:pPr>
        <w:jc w:val="center"/>
        <w:spacing w:line="2" w:lineRule="exact"/>
      </w:pPr>
      <w:r>
        <w:rPr>
          <w:color w:val="000000"/>
          <w:rFonts w:ascii="方正书宋_GBK" w:cs="方正书宋_GBK" w:eastAsia="方正书宋_GBK" w:hAnsi="方正书宋_GBK"/>
        </w:rPr>
        <w:t xml:space="preserve"> </w:t>
      </w: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5"/>
      </w:tblPr>
      <w:tblGrid>
        <w:gridCol w:w="1276"/>
        <w:gridCol w:w="1276"/>
        <w:gridCol w:w="1332"/>
        <w:gridCol w:w="2891"/>
        <w:gridCol w:w="1276"/>
        <w:gridCol w:w="1843"/>
      </w:tblGrid>
      <w:tr>
        <w:trPr>
          <w:tblHeader/>
          <w:jc w:val="center"/>
          <w:trHeight w:val="39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276" w:type="dxa"/>
          </w:tcPr>
          <w:p>
            <w:pPr>
              <w:pStyle w:val="16"/>
            </w:pPr>
            <w:r>
              <w:t>一级指标</w:t>
            </w:r>
          </w:p>
        </w:tc>
        <w:tc>
          <w:tcPr>
            <w:vAlign w:val="center"/>
            <w:tcW w:w="1276" w:type="dxa"/>
          </w:tcPr>
          <w:p>
            <w:pPr>
              <w:pStyle w:val="16"/>
            </w:pPr>
            <w:r>
              <w:t>二级指标</w:t>
            </w:r>
          </w:p>
        </w:tc>
        <w:tc>
          <w:tcPr>
            <w:vAlign w:val="center"/>
            <w:tcW w:w="1332" w:type="dxa"/>
          </w:tcPr>
          <w:p>
            <w:pPr>
              <w:pStyle w:val="16"/>
            </w:pPr>
            <w:r>
              <w:t>三级指标</w:t>
            </w:r>
          </w:p>
        </w:tc>
        <w:tc>
          <w:tcPr>
            <w:vAlign w:val="center"/>
            <w:tcW w:w="2891" w:type="dxa"/>
          </w:tcPr>
          <w:p>
            <w:pPr>
              <w:pStyle w:val="16"/>
            </w:pPr>
            <w:r>
              <w:t>绩效指标描述</w:t>
            </w:r>
          </w:p>
        </w:tc>
        <w:tc>
          <w:tcPr>
            <w:vAlign w:val="center"/>
            <w:tcW w:w="1276" w:type="dxa"/>
          </w:tcPr>
          <w:p>
            <w:pPr>
              <w:pStyle w:val="16"/>
            </w:pPr>
            <w:r>
              <w:t>指标值</w:t>
            </w:r>
          </w:p>
        </w:tc>
        <w:tc>
          <w:tcPr>
            <w:vAlign w:val="center"/>
            <w:tcW w:w="1843" w:type="dxa"/>
          </w:tcPr>
          <w:p>
            <w:pPr>
              <w:pStyle w:val="16"/>
            </w:pPr>
            <w:r>
              <w:t>指标值确定依据</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1276" w:type="dxa"/>
          </w:tcPr>
          <w:p>
            <w:pPr>
              <w:pStyle w:val="17"/>
            </w:pPr>
            <w:r>
              <w:t>产出指标</w:t>
            </w:r>
          </w:p>
        </w:tc>
        <w:tc>
          <w:tcPr>
            <w:vAlign w:val="center"/>
            <w:tcW w:w="1276" w:type="dxa"/>
          </w:tcPr>
          <w:p>
            <w:pPr>
              <w:pStyle w:val="15"/>
            </w:pPr>
            <w:r>
              <w:t>数量指标</w:t>
            </w:r>
          </w:p>
        </w:tc>
        <w:tc>
          <w:tcPr>
            <w:vAlign w:val="center"/>
            <w:tcW w:w="1332" w:type="dxa"/>
          </w:tcPr>
          <w:p>
            <w:pPr>
              <w:pStyle w:val="15"/>
            </w:pPr>
            <w:r>
              <w:t>利息金额</w:t>
            </w:r>
          </w:p>
        </w:tc>
        <w:tc>
          <w:tcPr>
            <w:vAlign w:val="center"/>
            <w:tcW w:w="2891" w:type="dxa"/>
          </w:tcPr>
          <w:p>
            <w:pPr>
              <w:pStyle w:val="15"/>
            </w:pPr>
            <w:r>
              <w:t>本年度利息收入金额</w:t>
            </w:r>
          </w:p>
        </w:tc>
        <w:tc>
          <w:tcPr>
            <w:vAlign w:val="center"/>
            <w:tcW w:w="1276" w:type="dxa"/>
          </w:tcPr>
          <w:p>
            <w:pPr>
              <w:pStyle w:val="15"/>
            </w:pPr>
            <w:r>
              <w:t>100元</w:t>
            </w:r>
          </w:p>
        </w:tc>
        <w:tc>
          <w:tcPr>
            <w:vAlign w:val="center"/>
            <w:tcW w:w="1843" w:type="dxa"/>
          </w:tcPr>
          <w:p>
            <w:pPr>
              <w:pStyle w:val="15"/>
            </w:pPr>
            <w:r>
              <w:t>近三年利息收入</w:t>
            </w:r>
          </w:p>
        </w:tc>
      </w:tr>
      <w:tr>
        <w:trPr>
          <w:jc w:val="center"/>
          <w:trHeight w:val="369"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276" w:type="dxa"/>
          </w:tcPr>
          <w:p>
            <w:pPr>
              <w:pStyle w:val="15"/>
            </w:pPr>
            <w:r>
              <w:t>质量指标</w:t>
            </w:r>
          </w:p>
        </w:tc>
        <w:tc>
          <w:tcPr>
            <w:vAlign w:val="center"/>
            <w:tcW w:w="1332" w:type="dxa"/>
          </w:tcPr>
          <w:p>
            <w:pPr>
              <w:pStyle w:val="15"/>
            </w:pPr>
            <w:r>
              <w:t>支出率</w:t>
            </w:r>
          </w:p>
        </w:tc>
        <w:tc>
          <w:tcPr>
            <w:vAlign w:val="center"/>
            <w:tcW w:w="2891" w:type="dxa"/>
          </w:tcPr>
          <w:p>
            <w:pPr>
              <w:pStyle w:val="15"/>
            </w:pPr>
            <w:r>
              <w:t>全部利息收入支出情况</w:t>
            </w:r>
          </w:p>
        </w:tc>
        <w:tc>
          <w:tcPr>
            <w:vAlign w:val="center"/>
            <w:tcW w:w="1276" w:type="dxa"/>
          </w:tcPr>
          <w:p>
            <w:pPr>
              <w:pStyle w:val="15"/>
            </w:pPr>
            <w:r>
              <w:t>100%</w:t>
            </w:r>
          </w:p>
        </w:tc>
        <w:tc>
          <w:tcPr>
            <w:vAlign w:val="center"/>
            <w:tcW w:w="1843" w:type="dxa"/>
          </w:tcPr>
          <w:p>
            <w:pPr>
              <w:pStyle w:val="15"/>
            </w:pPr>
            <w:r>
              <w:t>工作需求</w:t>
            </w:r>
          </w:p>
        </w:tc>
      </w:tr>
      <w:tr>
        <w:trPr>
          <w:jc w:val="center"/>
          <w:trHeight w:val="369"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276" w:type="dxa"/>
          </w:tcPr>
          <w:p>
            <w:pPr>
              <w:pStyle w:val="15"/>
            </w:pPr>
            <w:r>
              <w:t>时效指标</w:t>
            </w:r>
          </w:p>
        </w:tc>
        <w:tc>
          <w:tcPr>
            <w:vAlign w:val="center"/>
            <w:tcW w:w="1332" w:type="dxa"/>
          </w:tcPr>
          <w:p>
            <w:pPr>
              <w:pStyle w:val="15"/>
            </w:pPr>
            <w:r>
              <w:t>全部支出时间</w:t>
            </w:r>
          </w:p>
        </w:tc>
        <w:tc>
          <w:tcPr>
            <w:vAlign w:val="center"/>
            <w:tcW w:w="2891" w:type="dxa"/>
          </w:tcPr>
          <w:p>
            <w:pPr>
              <w:pStyle w:val="15"/>
            </w:pPr>
            <w:r>
              <w:t>利息收入全部支出时间节点</w:t>
            </w:r>
          </w:p>
        </w:tc>
        <w:tc>
          <w:tcPr>
            <w:vAlign w:val="center"/>
            <w:tcW w:w="1276" w:type="dxa"/>
          </w:tcPr>
          <w:p>
            <w:pPr>
              <w:pStyle w:val="15"/>
            </w:pPr>
            <w:r>
              <w:t>≤12月</w:t>
            </w:r>
          </w:p>
        </w:tc>
        <w:tc>
          <w:tcPr>
            <w:vAlign w:val="center"/>
            <w:tcW w:w="1843" w:type="dxa"/>
          </w:tcPr>
          <w:p>
            <w:pPr>
              <w:pStyle w:val="15"/>
            </w:pPr>
            <w:r>
              <w:t>工作需求</w:t>
            </w:r>
          </w:p>
        </w:tc>
      </w:tr>
      <w:tr>
        <w:trPr>
          <w:jc w:val="center"/>
          <w:trHeight w:val="369"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276" w:type="dxa"/>
          </w:tcPr>
          <w:p>
            <w:pPr>
              <w:pStyle w:val="15"/>
            </w:pPr>
            <w:r>
              <w:t>成本指标</w:t>
            </w:r>
          </w:p>
        </w:tc>
        <w:tc>
          <w:tcPr>
            <w:vAlign w:val="center"/>
            <w:tcW w:w="1332" w:type="dxa"/>
          </w:tcPr>
          <w:p>
            <w:pPr>
              <w:pStyle w:val="15"/>
            </w:pPr>
            <w:r>
              <w:t>项目完成投入资金情况</w:t>
            </w:r>
          </w:p>
        </w:tc>
        <w:tc>
          <w:tcPr>
            <w:vAlign w:val="center"/>
            <w:tcW w:w="2891" w:type="dxa"/>
          </w:tcPr>
          <w:p>
            <w:pPr>
              <w:pStyle w:val="15"/>
            </w:pPr>
            <w:r>
              <w:t>完成利息收入全部支出完成率</w:t>
            </w:r>
          </w:p>
        </w:tc>
        <w:tc>
          <w:tcPr>
            <w:vAlign w:val="center"/>
            <w:tcW w:w="1276" w:type="dxa"/>
          </w:tcPr>
          <w:p>
            <w:pPr>
              <w:pStyle w:val="15"/>
            </w:pPr>
            <w:r>
              <w:t>100%</w:t>
            </w:r>
          </w:p>
        </w:tc>
        <w:tc>
          <w:tcPr>
            <w:vAlign w:val="center"/>
            <w:tcW w:w="1843" w:type="dxa"/>
          </w:tcPr>
          <w:p>
            <w:pPr>
              <w:pStyle w:val="15"/>
            </w:pPr>
            <w:r>
              <w:t>工作需求</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276" w:type="dxa"/>
          </w:tcPr>
          <w:p>
            <w:pPr>
              <w:pStyle w:val="17"/>
            </w:pPr>
            <w:r>
              <w:t>效益指标</w:t>
            </w:r>
          </w:p>
        </w:tc>
        <w:tc>
          <w:tcPr>
            <w:vAlign w:val="center"/>
            <w:tcW w:w="1276" w:type="dxa"/>
          </w:tcPr>
          <w:p>
            <w:pPr>
              <w:pStyle w:val="15"/>
            </w:pPr>
            <w:r>
              <w:t>经济效益指标</w:t>
            </w:r>
          </w:p>
        </w:tc>
        <w:tc>
          <w:tcPr>
            <w:vAlign w:val="center"/>
            <w:tcW w:w="1332" w:type="dxa"/>
          </w:tcPr>
          <w:p>
            <w:pPr>
              <w:pStyle w:val="15"/>
            </w:pPr>
            <w:r>
              <w:t>工作完成率</w:t>
            </w:r>
          </w:p>
        </w:tc>
        <w:tc>
          <w:tcPr>
            <w:vAlign w:val="center"/>
            <w:tcW w:w="2891" w:type="dxa"/>
          </w:tcPr>
          <w:p>
            <w:pPr>
              <w:pStyle w:val="15"/>
            </w:pPr>
            <w:r>
              <w:t>补充经费不足，促进工作完成</w:t>
            </w:r>
          </w:p>
        </w:tc>
        <w:tc>
          <w:tcPr>
            <w:vAlign w:val="center"/>
            <w:tcW w:w="1276" w:type="dxa"/>
          </w:tcPr>
          <w:p>
            <w:pPr>
              <w:pStyle w:val="15"/>
            </w:pPr>
            <w:r>
              <w:t>≥95%</w:t>
            </w:r>
          </w:p>
        </w:tc>
        <w:tc>
          <w:tcPr>
            <w:vAlign w:val="center"/>
            <w:tcW w:w="1843" w:type="dxa"/>
          </w:tcPr>
          <w:p>
            <w:pPr>
              <w:pStyle w:val="15"/>
            </w:pPr>
            <w:r>
              <w:t>工作需求</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276" w:type="dxa"/>
          </w:tcPr>
          <w:p>
            <w:pPr>
              <w:pStyle w:val="17"/>
            </w:pPr>
            <w:r>
              <w:t>满意度指标</w:t>
            </w:r>
          </w:p>
        </w:tc>
        <w:tc>
          <w:tcPr>
            <w:vAlign w:val="center"/>
            <w:tcW w:w="1276" w:type="dxa"/>
          </w:tcPr>
          <w:p>
            <w:pPr>
              <w:pStyle w:val="15"/>
            </w:pPr>
            <w:r>
              <w:t>服务对象满意度指标</w:t>
            </w:r>
          </w:p>
        </w:tc>
        <w:tc>
          <w:tcPr>
            <w:vAlign w:val="center"/>
            <w:tcW w:w="1332" w:type="dxa"/>
          </w:tcPr>
          <w:p>
            <w:pPr>
              <w:pStyle w:val="15"/>
            </w:pPr>
            <w:r>
              <w:t>使用单位成员满意度</w:t>
            </w:r>
          </w:p>
        </w:tc>
        <w:tc>
          <w:tcPr>
            <w:vAlign w:val="center"/>
            <w:tcW w:w="2891" w:type="dxa"/>
          </w:tcPr>
          <w:p>
            <w:pPr>
              <w:pStyle w:val="15"/>
            </w:pPr>
            <w:r>
              <w:t>使用单位成员满意度</w:t>
            </w:r>
          </w:p>
        </w:tc>
        <w:tc>
          <w:tcPr>
            <w:vAlign w:val="center"/>
            <w:tcW w:w="1276" w:type="dxa"/>
          </w:tcPr>
          <w:p>
            <w:pPr>
              <w:pStyle w:val="15"/>
            </w:pPr>
            <w:r>
              <w:t>≥90%</w:t>
            </w:r>
          </w:p>
        </w:tc>
        <w:tc>
          <w:tcPr>
            <w:vAlign w:val="center"/>
            <w:tcW w:w="1843" w:type="dxa"/>
          </w:tcPr>
          <w:p>
            <w:pPr>
              <w:pStyle w:val="15"/>
            </w:pPr>
            <w:r>
              <w:t>工作需求</w:t>
            </w:r>
          </w:p>
        </w:tc>
      </w:tr>
    </w:tbl>
    <w:p/>
    <w:p>
      <w:pPr>
        <w:ind w:firstLine="640"/>
        <w:spacing w:line="360" w:lineRule="auto"/>
        <w:rPr>
          <w:rFonts w:ascii="仿宋" w:eastAsia="仿宋" w:hAnsi="仿宋"/>
          <w:sz w:val="32"/>
          <w:szCs w:val="32"/>
        </w:rPr>
      </w:pPr>
    </w:p>
    <w:p>
      <w:pPr>
        <w:ind w:firstLine="640"/>
        <w:spacing w:line="360" w:lineRule="auto"/>
        <w:sectPr>
          <w:docGrid w:type="lines" w:linePitch="312" w:charSpace="0"/>
          <w:pgSz w:w="11907" w:h="16839"/>
          <w:pgMar w:left="1304" w:right="1304" w:top="1984" w:bottom="1134" w:header="851" w:footer="992" w:gutter="0"/>
          <w:cols w:num="1" w:space="425"/>
        </w:sectPr>
        <w:rPr>
          <w:rFonts w:ascii="仿宋" w:eastAsia="仿宋" w:hAnsi="仿宋"/>
          <w:sz w:val="32"/>
          <w:szCs w:val="32"/>
        </w:rPr>
      </w:pPr>
    </w:p>
    <w:p/>
    <w:p>
      <w:pPr>
        <w:outlineLvl w:val="0"/>
        <w:jc w:val="center"/>
        <w:rPr>
          <w:rFonts w:ascii="方正小标宋_GBK" w:eastAsia="方正小标宋_GBK"/>
          <w:sz w:val="44"/>
        </w:rPr>
      </w:pPr>
      <w:r>
        <w:rPr>
          <w:rFonts w:ascii="方正小标宋_GBK" w:eastAsia="方正小标宋_GBK" w:hint="eastAsia"/>
          <w:sz w:val="44"/>
        </w:rPr>
        <w:t>第六部分：政府采购预算情况</w:t>
      </w:r>
    </w:p>
    <w:p>
      <w:pPr>
        <w:ind w:firstLine="640"/>
        <w:spacing w:line="360" w:lineRule="auto"/>
        <w:rPr>
          <w:rFonts w:ascii="仿宋" w:eastAsia="仿宋" w:hAnsi="仿宋"/>
          <w:sz w:val="32"/>
          <w:szCs w:val="32"/>
        </w:rPr>
      </w:pPr>
      <w:r>
        <w:rPr>
          <w:rFonts w:ascii="仿宋" w:eastAsia="仿宋" w:hAnsi="仿宋"/>
          <w:sz w:val="32"/>
          <w:szCs w:val="32"/>
        </w:rPr>
        <w:t>2022年，我</w:t>
      </w:r>
      <w:r>
        <w:rPr>
          <w:lang w:eastAsia="zh-CN"/>
          <w:rFonts w:ascii="仿宋" w:eastAsia="仿宋" w:hAnsi="仿宋" w:hint="eastAsia"/>
          <w:sz w:val="32"/>
          <w:szCs w:val="32"/>
        </w:rPr>
        <w:t>单位</w:t>
      </w:r>
      <w:r>
        <w:rPr>
          <w:rFonts w:ascii="仿宋" w:eastAsia="仿宋" w:hAnsi="仿宋"/>
          <w:sz w:val="32"/>
          <w:szCs w:val="32"/>
        </w:rPr>
        <w:t>无政府采购预算，空表列示。</w:t>
      </w:r>
    </w:p>
    <w:p>
      <w:pPr>
        <w:ind w:firstLine="640"/>
        <w:spacing w:line="360" w:lineRule="auto"/>
        <w:rPr>
          <w:rFonts w:ascii="仿宋" w:eastAsia="仿宋" w:hAnsi="仿宋"/>
          <w:sz w:val="32"/>
          <w:szCs w:val="32"/>
        </w:rPr>
      </w:pPr>
      <w:r>
        <w:rPr>
          <w:rFonts w:ascii="仿宋" w:eastAsia="仿宋" w:hAnsi="仿宋" w:hint="eastAsia"/>
          <w:sz w:val="32"/>
          <w:szCs w:val="32"/>
        </w:rPr>
        <w:t>附</w:t>
      </w:r>
      <w:r>
        <w:rPr>
          <w:lang w:eastAsia="zh-CN"/>
          <w:rFonts w:ascii="仿宋" w:eastAsia="仿宋" w:hAnsi="仿宋" w:hint="eastAsia"/>
          <w:sz w:val="32"/>
          <w:szCs w:val="32"/>
        </w:rPr>
        <w:t>单位</w:t>
      </w:r>
      <w:r>
        <w:rPr>
          <w:rFonts w:ascii="仿宋" w:eastAsia="仿宋" w:hAnsi="仿宋" w:hint="eastAsia"/>
          <w:sz w:val="32"/>
          <w:szCs w:val="32"/>
        </w:rPr>
        <w:t>政府采购预算表空表。</w:t>
      </w:r>
    </w:p>
    <w:p>
      <w:pPr>
        <w:spacing w:line="360" w:lineRule="auto"/>
        <w:rPr>
          <w:b/>
          <w:rFonts w:ascii="仿宋" w:eastAsia="仿宋" w:hAnsi="仿宋"/>
          <w:sz w:val="32"/>
          <w:szCs w:val="32"/>
        </w:rPr>
      </w:pPr>
    </w:p>
    <w:p>
      <w:pPr>
        <w:outlineLvl w:val="1"/>
        <w:jc w:val="center"/>
        <w:rPr>
          <w:rFonts w:ascii="Times New Roman" w:cs="Times New Roman" w:eastAsia="宋体" w:hAnsi="宋体"/>
          <w:sz w:val="32"/>
        </w:rPr>
      </w:pPr>
      <w:bookmarkStart w:id="4" w:name="_Toc69809617"/>
      <w:r>
        <w:rPr>
          <w:lang w:eastAsia="zh-CN"/>
          <w:rFonts w:ascii="方正小标宋_GBK" w:cs="Times New Roman" w:eastAsia="方正小标宋_GBK" w:hAnsi="等线" w:hint="eastAsia"/>
          <w:sz w:val="32"/>
        </w:rPr>
        <w:t>单位</w:t>
      </w:r>
      <w:r>
        <w:rPr>
          <w:rFonts w:ascii="方正小标宋_GBK" w:cs="Times New Roman" w:eastAsia="方正小标宋_GBK" w:hAnsi="等线"/>
          <w:sz w:val="32"/>
        </w:rPr>
        <w:t>政府采购预算</w:t>
      </w:r>
      <w:bookmarkEnd w:id="4"/>
    </w:p>
    <w:tbl>
      <w:tblPr>
        <w:tblW w:w="15507" w:type="dxa"/>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5"/>
      </w:tblPr>
      <w:tblGrid>
        <w:gridCol w:w="1984"/>
        <w:gridCol w:w="1134"/>
        <w:gridCol w:w="1531"/>
        <w:gridCol w:w="1531"/>
        <w:gridCol w:w="709"/>
        <w:gridCol w:w="907"/>
        <w:gridCol w:w="907"/>
        <w:gridCol w:w="1134"/>
        <w:gridCol w:w="1134"/>
        <w:gridCol w:w="1134"/>
        <w:gridCol w:w="1134"/>
        <w:gridCol w:w="1134"/>
        <w:gridCol w:w="1134"/>
      </w:tblGrid>
      <w:tr>
        <w:trPr>
          <w:cantSplit/>
          <w:tblHeade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7"/>
            <w:tcBorders>
              <w:top w:val="single" w:sz="6" w:color="FFFFFF" w:space="0"/>
              <w:left w:val="single" w:sz="6" w:color="FFFFFF" w:space="0"/>
              <w:right w:val="single" w:sz="6" w:color="FFFFFF" w:space="0"/>
            </w:tcBorders>
            <w:shd w:fill="auto" w:color="auto" w:val="clear"/>
            <w:vAlign w:val="center"/>
            <w:tcW w:w="8703" w:type="dxa"/>
          </w:tcPr>
          <w:p>
            <w:pPr>
              <w:jc w:val="left"/>
              <w:spacing w:line="300" w:lineRule="exact"/>
              <w:rPr>
                <w:rFonts w:ascii="方正小标宋_GBK" w:cs="Times New Roman" w:eastAsia="方正小标宋_GBK" w:hAnsi="等线"/>
                <w:sz w:val="24"/>
              </w:rPr>
            </w:pPr>
            <w:r>
              <w:rPr>
                <w:rFonts w:ascii="方正小标宋_GBK" w:cs="Times New Roman" w:eastAsia="方正小标宋_GBK" w:hAnsi="等线" w:hint="eastAsia"/>
                <w:sz w:val="24"/>
              </w:rPr>
              <w:t>保定市徐水区民族宗教事务</w:t>
            </w:r>
            <w:r>
              <w:rPr>
                <w:rFonts w:ascii="方正小标宋_GBK" w:cs="Times New Roman" w:eastAsia="方正小标宋_GBK" w:hAnsi="等线"/>
                <w:sz w:val="24"/>
              </w:rPr>
              <w:t>局</w:t>
            </w:r>
          </w:p>
        </w:tc>
        <w:tc>
          <w:tcPr>
            <w:gridSpan w:val="6"/>
            <w:tcBorders>
              <w:top w:val="single" w:sz="6" w:color="FFFFFF" w:space="0"/>
              <w:left w:val="single" w:sz="6" w:color="FFFFFF" w:space="0"/>
              <w:right w:val="single" w:sz="6" w:color="FFFFFF" w:space="0"/>
            </w:tcBorders>
            <w:shd w:fill="auto" w:color="auto" w:val="clear"/>
            <w:vAlign w:val="center"/>
            <w:tcW w:w="6804" w:type="dxa"/>
          </w:tcPr>
          <w:p>
            <w:pPr>
              <w:jc w:val="right"/>
              <w:spacing w:line="300" w:lineRule="exact"/>
              <w:rPr>
                <w:rFonts w:ascii="方正书宋_GBK" w:cs="Times New Roman" w:eastAsia="方正书宋_GBK" w:hAnsi="等线"/>
                <w:sz w:val="24"/>
              </w:rPr>
            </w:pPr>
            <w:r>
              <w:rPr>
                <w:rFonts w:ascii="方正书宋_GBK" w:cs="Times New Roman" w:eastAsia="方正书宋_GBK" w:hAnsi="等线"/>
                <w:sz w:val="24"/>
              </w:rPr>
              <w:t>单位：</w:t>
            </w:r>
            <w:r>
              <w:rPr>
                <w:rFonts w:ascii="方正书宋_GBK" w:cs="Times New Roman" w:eastAsia="方正书宋_GBK" w:hAnsi="等线" w:hint="eastAsia"/>
                <w:sz w:val="24"/>
              </w:rPr>
              <w:t>万</w:t>
            </w:r>
            <w:r>
              <w:rPr>
                <w:rFonts w:ascii="方正书宋_GBK" w:cs="Times New Roman" w:eastAsia="方正书宋_GBK" w:hAnsi="等线"/>
                <w:sz w:val="24"/>
              </w:rPr>
              <w:t>元</w:t>
            </w:r>
          </w:p>
        </w:tc>
      </w:tr>
      <w:tr>
        <w:trPr>
          <w:cantSplit/>
          <w:tblHeade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2"/>
            <w:shd w:fill="auto" w:color="auto" w:val="clear"/>
            <w:vAlign w:val="center"/>
            <w:tcW w:w="3118"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政府采购项目来源</w:t>
            </w:r>
          </w:p>
        </w:tc>
        <w:tc>
          <w:tcPr>
            <w:shd w:fill="auto" w:color="auto" w:val="clear"/>
            <w:vAlign w:val="center"/>
            <w:vMerge w:val="restart"/>
            <w:tcW w:w="1531"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采购物品名称</w:t>
            </w:r>
          </w:p>
        </w:tc>
        <w:tc>
          <w:tcPr>
            <w:shd w:fill="auto" w:color="auto" w:val="clear"/>
            <w:vAlign w:val="center"/>
            <w:vMerge w:val="restart"/>
            <w:tcW w:w="1531"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政府采购目录序号</w:t>
            </w:r>
          </w:p>
        </w:tc>
        <w:tc>
          <w:tcPr>
            <w:shd w:fill="auto" w:color="auto" w:val="clear"/>
            <w:vAlign w:val="center"/>
            <w:vMerge w:val="restart"/>
            <w:tcW w:w="709"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计量  单位</w:t>
            </w:r>
          </w:p>
        </w:tc>
        <w:tc>
          <w:tcPr>
            <w:shd w:fill="auto" w:color="auto" w:val="clear"/>
            <w:vAlign w:val="center"/>
            <w:vMerge w:val="restart"/>
            <w:tcW w:w="907"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数量</w:t>
            </w:r>
          </w:p>
        </w:tc>
        <w:tc>
          <w:tcPr>
            <w:shd w:fill="auto" w:color="auto" w:val="clear"/>
            <w:vAlign w:val="center"/>
            <w:vMerge w:val="restart"/>
            <w:tcW w:w="907"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单价</w:t>
            </w:r>
          </w:p>
        </w:tc>
        <w:tc>
          <w:tcPr>
            <w:gridSpan w:val="6"/>
            <w:shd w:fill="auto" w:color="auto" w:val="clear"/>
            <w:vAlign w:val="center"/>
            <w:tcW w:w="6804"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政府采购金额（当年</w:t>
            </w:r>
            <w:r>
              <w:rPr>
                <w:lang w:eastAsia="zh-CN"/>
                <w:b/>
                <w:rFonts w:ascii="方正书宋_GBK" w:cs="Times New Roman" w:eastAsia="方正书宋_GBK" w:hAnsi="等线" w:hint="eastAsia"/>
              </w:rPr>
              <w:t>单位</w:t>
            </w:r>
            <w:r>
              <w:rPr>
                <w:b/>
                <w:rFonts w:ascii="方正书宋_GBK" w:cs="Times New Roman" w:eastAsia="方正书宋_GBK" w:hAnsi="等线"/>
              </w:rPr>
              <w:t>预算安排资金）</w:t>
            </w:r>
          </w:p>
        </w:tc>
      </w:tr>
      <w:tr>
        <w:trPr>
          <w:cantSplit/>
          <w:tblHeade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shd w:fill="auto" w:color="auto" w:val="clear"/>
            <w:vAlign w:val="center"/>
            <w:tcW w:w="1984"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项目名称</w:t>
            </w:r>
          </w:p>
        </w:tc>
        <w:tc>
          <w:tcPr>
            <w:shd w:fill="auto" w:color="auto" w:val="clear"/>
            <w:vAlign w:val="center"/>
            <w:tcW w:w="1134"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预算资金</w:t>
            </w:r>
          </w:p>
        </w:tc>
        <w:tc>
          <w:tcPr>
            <w:vMerge/>
          </w:tcPr>
          <w:p/>
        </w:tc>
        <w:tc>
          <w:tcPr>
            <w:vMerge/>
          </w:tcPr>
          <w:p/>
        </w:tc>
        <w:tc>
          <w:tcPr>
            <w:vMerge/>
          </w:tcPr>
          <w:p/>
        </w:tc>
        <w:tc>
          <w:tcPr>
            <w:vMerge/>
          </w:tcPr>
          <w:p/>
        </w:tc>
        <w:tc>
          <w:tcPr>
            <w:vMerge/>
          </w:tcPr>
          <w:p/>
        </w:tc>
        <w:tc>
          <w:tcPr>
            <w:shd w:fill="auto" w:color="auto" w:val="clear"/>
            <w:vAlign w:val="center"/>
            <w:tcW w:w="1134"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合计</w:t>
            </w:r>
          </w:p>
        </w:tc>
        <w:tc>
          <w:tcPr>
            <w:shd w:fill="auto" w:color="auto" w:val="clear"/>
            <w:vAlign w:val="center"/>
            <w:tcW w:w="1134"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一般公共预算拨款</w:t>
            </w:r>
          </w:p>
        </w:tc>
        <w:tc>
          <w:tcPr>
            <w:shd w:fill="auto" w:color="auto" w:val="clear"/>
            <w:vAlign w:val="center"/>
            <w:tcW w:w="1134"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基金预算拨款</w:t>
            </w:r>
          </w:p>
        </w:tc>
        <w:tc>
          <w:tcPr>
            <w:shd w:fill="auto" w:color="auto" w:val="clear"/>
            <w:vAlign w:val="center"/>
            <w:tcW w:w="1134"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国有资本经营预算拨款</w:t>
            </w:r>
          </w:p>
        </w:tc>
        <w:tc>
          <w:tcPr>
            <w:shd w:fill="auto" w:color="auto" w:val="clear"/>
            <w:vAlign w:val="center"/>
            <w:tcW w:w="1134"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财政专户核拨</w:t>
            </w:r>
          </w:p>
        </w:tc>
        <w:tc>
          <w:tcPr>
            <w:shd w:fill="auto" w:color="auto" w:val="clear"/>
            <w:vAlign w:val="center"/>
            <w:tcW w:w="1134"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单位资金</w:t>
            </w:r>
          </w:p>
        </w:tc>
      </w:tr>
      <w:tr>
        <w:trPr>
          <w:cantSplit/>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shd w:fill="auto" w:color="auto" w:val="clear"/>
            <w:vAlign w:val="center"/>
            <w:tcW w:w="1984" w:type="dxa"/>
          </w:tcPr>
          <w:p>
            <w:pPr>
              <w:jc w:val="center"/>
              <w:spacing w:line="300" w:lineRule="exact"/>
              <w:rPr>
                <w:b/>
                <w:rFonts w:ascii="方正书宋_GBK" w:cs="Times New Roman" w:eastAsia="方正书宋_GBK" w:hAnsi="等线"/>
              </w:rPr>
            </w:pPr>
            <w:r>
              <w:rPr>
                <w:b/>
                <w:rFonts w:ascii="方正书宋_GBK" w:cs="Times New Roman" w:eastAsia="方正书宋_GBK" w:hAnsi="等线"/>
              </w:rPr>
              <w:t>合  计</w:t>
            </w:r>
          </w:p>
        </w:tc>
        <w:tc>
          <w:tcPr>
            <w:shd w:fill="auto" w:color="auto" w:val="clear"/>
            <w:vAlign w:val="center"/>
            <w:tcW w:w="1134" w:type="dxa"/>
          </w:tcPr>
          <w:p>
            <w:pPr>
              <w:jc w:val="right"/>
              <w:spacing w:line="300" w:lineRule="exact"/>
              <w:rPr>
                <w:b/>
                <w:rFonts w:ascii="方正书宋_GBK" w:cs="Times New Roman" w:eastAsia="方正书宋_GBK" w:hAnsi="等线"/>
              </w:rPr>
            </w:pPr>
          </w:p>
        </w:tc>
        <w:tc>
          <w:tcPr>
            <w:shd w:fill="auto" w:color="auto" w:val="clear"/>
            <w:vAlign w:val="center"/>
            <w:tcW w:w="1531" w:type="dxa"/>
          </w:tcPr>
          <w:p>
            <w:pPr>
              <w:jc w:val="left"/>
              <w:spacing w:line="300" w:lineRule="exact"/>
              <w:rPr>
                <w:b/>
                <w:rFonts w:ascii="方正书宋_GBK" w:cs="Times New Roman" w:eastAsia="方正书宋_GBK" w:hAnsi="等线"/>
              </w:rPr>
            </w:pPr>
          </w:p>
        </w:tc>
        <w:tc>
          <w:tcPr>
            <w:shd w:fill="auto" w:color="auto" w:val="clear"/>
            <w:vAlign w:val="center"/>
            <w:tcW w:w="1531" w:type="dxa"/>
          </w:tcPr>
          <w:p>
            <w:pPr>
              <w:jc w:val="left"/>
              <w:spacing w:line="300" w:lineRule="exact"/>
              <w:rPr>
                <w:b/>
                <w:rFonts w:ascii="方正书宋_GBK" w:cs="Times New Roman" w:eastAsia="方正书宋_GBK" w:hAnsi="等线"/>
              </w:rPr>
            </w:pPr>
          </w:p>
        </w:tc>
        <w:tc>
          <w:tcPr>
            <w:shd w:fill="auto" w:color="auto" w:val="clear"/>
            <w:vAlign w:val="center"/>
            <w:tcW w:w="709" w:type="dxa"/>
          </w:tcPr>
          <w:p>
            <w:pPr>
              <w:jc w:val="center"/>
              <w:spacing w:line="300" w:lineRule="exact"/>
              <w:rPr>
                <w:b/>
                <w:rFonts w:ascii="方正书宋_GBK" w:cs="Times New Roman" w:eastAsia="方正书宋_GBK" w:hAnsi="等线"/>
              </w:rPr>
            </w:pPr>
          </w:p>
        </w:tc>
        <w:tc>
          <w:tcPr>
            <w:shd w:fill="auto" w:color="auto" w:val="clear"/>
            <w:vAlign w:val="center"/>
            <w:tcW w:w="907" w:type="dxa"/>
          </w:tcPr>
          <w:p>
            <w:pPr>
              <w:jc w:val="right"/>
              <w:spacing w:line="300" w:lineRule="exact"/>
              <w:rPr>
                <w:b/>
                <w:rFonts w:ascii="方正书宋_GBK" w:cs="Times New Roman" w:eastAsia="方正书宋_GBK" w:hAnsi="等线"/>
              </w:rPr>
            </w:pPr>
          </w:p>
        </w:tc>
        <w:tc>
          <w:tcPr>
            <w:shd w:fill="auto" w:color="auto" w:val="clear"/>
            <w:vAlign w:val="center"/>
            <w:tcW w:w="907" w:type="dxa"/>
          </w:tcPr>
          <w:p>
            <w:pPr>
              <w:jc w:val="right"/>
              <w:spacing w:line="300" w:lineRule="exact"/>
              <w:rPr>
                <w:b/>
                <w:rFonts w:ascii="方正书宋_GBK" w:cs="Times New Roman" w:eastAsia="方正书宋_GBK" w:hAnsi="等线"/>
              </w:rPr>
            </w:pPr>
          </w:p>
        </w:tc>
        <w:tc>
          <w:tcPr>
            <w:shd w:fill="auto" w:color="auto" w:val="clear"/>
            <w:vAlign w:val="center"/>
            <w:tcW w:w="1134" w:type="dxa"/>
          </w:tcPr>
          <w:p>
            <w:pPr>
              <w:jc w:val="right"/>
              <w:spacing w:line="300" w:lineRule="exact"/>
              <w:rPr>
                <w:b/>
                <w:rFonts w:ascii="方正书宋_GBK" w:cs="Times New Roman" w:eastAsia="方正书宋_GBK" w:hAnsi="等线"/>
              </w:rPr>
            </w:pPr>
          </w:p>
        </w:tc>
        <w:tc>
          <w:tcPr>
            <w:shd w:fill="auto" w:color="auto" w:val="clear"/>
            <w:vAlign w:val="center"/>
            <w:tcW w:w="1134" w:type="dxa"/>
          </w:tcPr>
          <w:p>
            <w:pPr>
              <w:jc w:val="right"/>
              <w:spacing w:line="300" w:lineRule="exact"/>
              <w:rPr>
                <w:b/>
                <w:rFonts w:ascii="方正书宋_GBK" w:cs="Times New Roman" w:eastAsia="方正书宋_GBK" w:hAnsi="等线"/>
              </w:rPr>
            </w:pPr>
          </w:p>
        </w:tc>
        <w:tc>
          <w:tcPr>
            <w:shd w:fill="auto" w:color="auto" w:val="clear"/>
            <w:vAlign w:val="center"/>
            <w:tcW w:w="1134" w:type="dxa"/>
          </w:tcPr>
          <w:p>
            <w:pPr>
              <w:jc w:val="right"/>
              <w:spacing w:line="300" w:lineRule="exact"/>
              <w:rPr>
                <w:b/>
                <w:rFonts w:ascii="方正书宋_GBK" w:cs="Times New Roman" w:eastAsia="方正书宋_GBK" w:hAnsi="等线"/>
              </w:rPr>
            </w:pPr>
          </w:p>
        </w:tc>
        <w:tc>
          <w:tcPr>
            <w:shd w:fill="auto" w:color="auto" w:val="clear"/>
            <w:vAlign w:val="center"/>
            <w:tcW w:w="1134" w:type="dxa"/>
          </w:tcPr>
          <w:p>
            <w:pPr>
              <w:jc w:val="right"/>
              <w:spacing w:line="300" w:lineRule="exact"/>
              <w:rPr>
                <w:b/>
                <w:rFonts w:ascii="方正书宋_GBK" w:cs="Times New Roman" w:eastAsia="方正书宋_GBK" w:hAnsi="等线"/>
              </w:rPr>
            </w:pPr>
          </w:p>
        </w:tc>
        <w:tc>
          <w:tcPr>
            <w:shd w:fill="auto" w:color="auto" w:val="clear"/>
            <w:vAlign w:val="center"/>
            <w:tcW w:w="1134" w:type="dxa"/>
          </w:tcPr>
          <w:p>
            <w:pPr>
              <w:jc w:val="right"/>
              <w:spacing w:line="300" w:lineRule="exact"/>
              <w:rPr>
                <w:b/>
                <w:rFonts w:ascii="方正书宋_GBK" w:cs="Times New Roman" w:eastAsia="方正书宋_GBK" w:hAnsi="等线"/>
              </w:rPr>
            </w:pPr>
          </w:p>
        </w:tc>
        <w:tc>
          <w:tcPr>
            <w:shd w:fill="auto" w:color="auto" w:val="clear"/>
            <w:vAlign w:val="center"/>
            <w:tcW w:w="1134" w:type="dxa"/>
          </w:tcPr>
          <w:p>
            <w:pPr>
              <w:jc w:val="right"/>
              <w:spacing w:line="300" w:lineRule="exact"/>
              <w:rPr>
                <w:b/>
                <w:rFonts w:ascii="方正书宋_GBK" w:cs="Times New Roman" w:eastAsia="方正书宋_GBK" w:hAnsi="等线"/>
              </w:rPr>
            </w:pPr>
          </w:p>
        </w:tc>
      </w:tr>
      <w:tr>
        <w:trPr>
          <w:cantSplit/>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shd w:fill="auto" w:color="auto" w:val="clear"/>
            <w:vAlign w:val="center"/>
            <w:tcW w:w="1984" w:type="dxa"/>
          </w:tcPr>
          <w:p>
            <w:pPr>
              <w:jc w:val="left"/>
              <w:spacing w:line="300" w:lineRule="exact"/>
              <w:rPr>
                <w:b/>
                <w:rFonts w:ascii="方正书宋_GBK" w:cs="Times New Roman" w:eastAsia="方正书宋_GBK" w:hAnsi="等线"/>
              </w:rPr>
            </w:pPr>
          </w:p>
        </w:tc>
        <w:tc>
          <w:tcPr>
            <w:shd w:fill="auto" w:color="auto" w:val="clear"/>
            <w:vAlign w:val="center"/>
            <w:tcW w:w="1134" w:type="dxa"/>
          </w:tcPr>
          <w:p>
            <w:pPr>
              <w:jc w:val="right"/>
              <w:spacing w:line="300" w:lineRule="exact"/>
              <w:rPr>
                <w:b/>
                <w:rFonts w:ascii="方正书宋_GBK" w:cs="Times New Roman" w:eastAsia="方正书宋_GBK" w:hAnsi="等线"/>
              </w:rPr>
            </w:pPr>
          </w:p>
        </w:tc>
        <w:tc>
          <w:tcPr>
            <w:shd w:fill="auto" w:color="auto" w:val="clear"/>
            <w:vAlign w:val="center"/>
            <w:tcW w:w="1531" w:type="dxa"/>
          </w:tcPr>
          <w:p>
            <w:pPr>
              <w:jc w:val="left"/>
              <w:spacing w:line="300" w:lineRule="exact"/>
              <w:rPr>
                <w:b/>
                <w:rFonts w:ascii="方正书宋_GBK" w:cs="Times New Roman" w:eastAsia="方正书宋_GBK" w:hAnsi="等线"/>
              </w:rPr>
            </w:pPr>
          </w:p>
        </w:tc>
        <w:tc>
          <w:tcPr>
            <w:shd w:fill="auto" w:color="auto" w:val="clear"/>
            <w:vAlign w:val="center"/>
            <w:tcW w:w="1531" w:type="dxa"/>
          </w:tcPr>
          <w:p>
            <w:pPr>
              <w:jc w:val="left"/>
              <w:spacing w:line="300" w:lineRule="exact"/>
              <w:rPr>
                <w:b/>
                <w:rFonts w:ascii="方正书宋_GBK" w:cs="Times New Roman" w:eastAsia="方正书宋_GBK" w:hAnsi="等线"/>
              </w:rPr>
            </w:pPr>
          </w:p>
        </w:tc>
        <w:tc>
          <w:tcPr>
            <w:shd w:fill="auto" w:color="auto" w:val="clear"/>
            <w:vAlign w:val="center"/>
            <w:tcW w:w="709" w:type="dxa"/>
          </w:tcPr>
          <w:p>
            <w:pPr>
              <w:jc w:val="center"/>
              <w:spacing w:line="300" w:lineRule="exact"/>
              <w:rPr>
                <w:b/>
                <w:rFonts w:ascii="方正书宋_GBK" w:cs="Times New Roman" w:eastAsia="方正书宋_GBK" w:hAnsi="等线"/>
              </w:rPr>
            </w:pPr>
          </w:p>
        </w:tc>
        <w:tc>
          <w:tcPr>
            <w:shd w:fill="auto" w:color="auto" w:val="clear"/>
            <w:vAlign w:val="center"/>
            <w:tcW w:w="907" w:type="dxa"/>
          </w:tcPr>
          <w:p>
            <w:pPr>
              <w:jc w:val="right"/>
              <w:spacing w:line="300" w:lineRule="exact"/>
              <w:rPr>
                <w:b/>
                <w:rFonts w:ascii="方正书宋_GBK" w:cs="Times New Roman" w:eastAsia="方正书宋_GBK" w:hAnsi="等线"/>
              </w:rPr>
            </w:pPr>
          </w:p>
        </w:tc>
        <w:tc>
          <w:tcPr>
            <w:shd w:fill="auto" w:color="auto" w:val="clear"/>
            <w:vAlign w:val="center"/>
            <w:tcW w:w="907" w:type="dxa"/>
          </w:tcPr>
          <w:p>
            <w:pPr>
              <w:jc w:val="right"/>
              <w:spacing w:line="300" w:lineRule="exact"/>
              <w:rPr>
                <w:b/>
                <w:rFonts w:ascii="方正书宋_GBK" w:cs="Times New Roman" w:eastAsia="方正书宋_GBK" w:hAnsi="等线"/>
              </w:rPr>
            </w:pPr>
          </w:p>
        </w:tc>
        <w:tc>
          <w:tcPr>
            <w:shd w:fill="auto" w:color="auto" w:val="clear"/>
            <w:vAlign w:val="center"/>
            <w:tcW w:w="1134" w:type="dxa"/>
          </w:tcPr>
          <w:p>
            <w:pPr>
              <w:jc w:val="right"/>
              <w:spacing w:line="300" w:lineRule="exact"/>
              <w:rPr>
                <w:b/>
                <w:rFonts w:ascii="方正书宋_GBK" w:cs="Times New Roman" w:eastAsia="方正书宋_GBK" w:hAnsi="等线"/>
              </w:rPr>
            </w:pPr>
          </w:p>
        </w:tc>
        <w:tc>
          <w:tcPr>
            <w:shd w:fill="auto" w:color="auto" w:val="clear"/>
            <w:vAlign w:val="center"/>
            <w:tcW w:w="1134" w:type="dxa"/>
          </w:tcPr>
          <w:p>
            <w:pPr>
              <w:jc w:val="right"/>
              <w:spacing w:line="300" w:lineRule="exact"/>
              <w:rPr>
                <w:b/>
                <w:rFonts w:ascii="方正书宋_GBK" w:cs="Times New Roman" w:eastAsia="方正书宋_GBK" w:hAnsi="等线"/>
              </w:rPr>
            </w:pPr>
          </w:p>
        </w:tc>
        <w:tc>
          <w:tcPr>
            <w:shd w:fill="auto" w:color="auto" w:val="clear"/>
            <w:vAlign w:val="center"/>
            <w:tcW w:w="1134" w:type="dxa"/>
          </w:tcPr>
          <w:p>
            <w:pPr>
              <w:jc w:val="right"/>
              <w:spacing w:line="300" w:lineRule="exact"/>
              <w:rPr>
                <w:b/>
                <w:rFonts w:ascii="方正书宋_GBK" w:cs="Times New Roman" w:eastAsia="方正书宋_GBK" w:hAnsi="等线"/>
              </w:rPr>
            </w:pPr>
          </w:p>
        </w:tc>
        <w:tc>
          <w:tcPr>
            <w:shd w:fill="auto" w:color="auto" w:val="clear"/>
            <w:vAlign w:val="center"/>
            <w:tcW w:w="1134" w:type="dxa"/>
          </w:tcPr>
          <w:p>
            <w:pPr>
              <w:jc w:val="right"/>
              <w:spacing w:line="300" w:lineRule="exact"/>
              <w:rPr>
                <w:b/>
                <w:rFonts w:ascii="方正书宋_GBK" w:cs="Times New Roman" w:eastAsia="方正书宋_GBK" w:hAnsi="等线"/>
              </w:rPr>
            </w:pPr>
          </w:p>
        </w:tc>
        <w:tc>
          <w:tcPr>
            <w:shd w:fill="auto" w:color="auto" w:val="clear"/>
            <w:vAlign w:val="center"/>
            <w:tcW w:w="1134" w:type="dxa"/>
          </w:tcPr>
          <w:p>
            <w:pPr>
              <w:jc w:val="right"/>
              <w:spacing w:line="300" w:lineRule="exact"/>
              <w:rPr>
                <w:b/>
                <w:rFonts w:ascii="方正书宋_GBK" w:cs="Times New Roman" w:eastAsia="方正书宋_GBK" w:hAnsi="等线"/>
              </w:rPr>
            </w:pPr>
          </w:p>
        </w:tc>
        <w:tc>
          <w:tcPr>
            <w:shd w:fill="auto" w:color="auto" w:val="clear"/>
            <w:vAlign w:val="center"/>
            <w:tcW w:w="1134" w:type="dxa"/>
          </w:tcPr>
          <w:p>
            <w:pPr>
              <w:jc w:val="right"/>
              <w:spacing w:line="300" w:lineRule="exact"/>
              <w:rPr>
                <w:b/>
                <w:rFonts w:ascii="方正书宋_GBK" w:cs="Times New Roman" w:eastAsia="方正书宋_GBK" w:hAnsi="等线"/>
              </w:rPr>
            </w:pPr>
          </w:p>
        </w:tc>
      </w:tr>
      <w:tr>
        <w:trPr>
          <w:cantSplit/>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shd w:fill="auto" w:color="auto" w:val="clear"/>
            <w:vAlign w:val="center"/>
            <w:tcW w:w="1984" w:type="dxa"/>
          </w:tcPr>
          <w:p>
            <w:pPr>
              <w:jc w:val="lef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c>
          <w:tcPr>
            <w:shd w:fill="auto" w:color="auto" w:val="clear"/>
            <w:vAlign w:val="center"/>
            <w:tcW w:w="1531" w:type="dxa"/>
          </w:tcPr>
          <w:p>
            <w:pPr>
              <w:jc w:val="left"/>
              <w:spacing w:line="300" w:lineRule="exact"/>
              <w:rPr>
                <w:rFonts w:ascii="方正书宋_GBK" w:cs="Times New Roman" w:eastAsia="方正书宋_GBK" w:hAnsi="等线"/>
              </w:rPr>
            </w:pPr>
          </w:p>
        </w:tc>
        <w:tc>
          <w:tcPr>
            <w:shd w:fill="auto" w:color="auto" w:val="clear"/>
            <w:vAlign w:val="center"/>
            <w:tcW w:w="1531" w:type="dxa"/>
          </w:tcPr>
          <w:p>
            <w:pPr>
              <w:jc w:val="left"/>
              <w:spacing w:line="300" w:lineRule="exact"/>
              <w:rPr>
                <w:rFonts w:ascii="方正书宋_GBK" w:cs="Times New Roman" w:eastAsia="方正书宋_GBK" w:hAnsi="等线"/>
              </w:rPr>
            </w:pPr>
          </w:p>
        </w:tc>
        <w:tc>
          <w:tcPr>
            <w:shd w:fill="auto" w:color="auto" w:val="clear"/>
            <w:vAlign w:val="center"/>
            <w:tcW w:w="709" w:type="dxa"/>
          </w:tcPr>
          <w:p>
            <w:pPr>
              <w:jc w:val="center"/>
              <w:spacing w:line="300" w:lineRule="exact"/>
              <w:rPr>
                <w:rFonts w:ascii="方正书宋_GBK" w:cs="Times New Roman" w:eastAsia="方正书宋_GBK" w:hAnsi="等线"/>
              </w:rPr>
            </w:pPr>
          </w:p>
        </w:tc>
        <w:tc>
          <w:tcPr>
            <w:shd w:fill="auto" w:color="auto" w:val="clear"/>
            <w:vAlign w:val="center"/>
            <w:tcW w:w="907" w:type="dxa"/>
          </w:tcPr>
          <w:p>
            <w:pPr>
              <w:jc w:val="right"/>
              <w:spacing w:line="300" w:lineRule="exact"/>
              <w:rPr>
                <w:rFonts w:ascii="方正书宋_GBK" w:cs="Times New Roman" w:eastAsia="方正书宋_GBK" w:hAnsi="等线"/>
              </w:rPr>
            </w:pPr>
          </w:p>
        </w:tc>
        <w:tc>
          <w:tcPr>
            <w:shd w:fill="auto" w:color="auto" w:val="clear"/>
            <w:vAlign w:val="center"/>
            <w:tcW w:w="907" w:type="dxa"/>
          </w:tcPr>
          <w:p>
            <w:pPr>
              <w:jc w:val="righ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r>
      <w:tr>
        <w:trPr>
          <w:cantSplit/>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shd w:fill="auto" w:color="auto" w:val="clear"/>
            <w:vAlign w:val="center"/>
            <w:tcW w:w="1984" w:type="dxa"/>
          </w:tcPr>
          <w:p>
            <w:pPr>
              <w:jc w:val="lef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c>
          <w:tcPr>
            <w:shd w:fill="auto" w:color="auto" w:val="clear"/>
            <w:vAlign w:val="center"/>
            <w:tcW w:w="1531" w:type="dxa"/>
          </w:tcPr>
          <w:p>
            <w:pPr>
              <w:jc w:val="left"/>
              <w:spacing w:line="300" w:lineRule="exact"/>
              <w:rPr>
                <w:rFonts w:ascii="方正书宋_GBK" w:cs="Times New Roman" w:hAnsi="等线"/>
              </w:rPr>
            </w:pPr>
          </w:p>
        </w:tc>
        <w:tc>
          <w:tcPr>
            <w:shd w:fill="auto" w:color="auto" w:val="clear"/>
            <w:vAlign w:val="center"/>
            <w:tcW w:w="1531" w:type="dxa"/>
          </w:tcPr>
          <w:p>
            <w:pPr>
              <w:jc w:val="left"/>
              <w:spacing w:line="300" w:lineRule="exact"/>
              <w:rPr>
                <w:rFonts w:ascii="方正书宋_GBK" w:cs="Times New Roman" w:eastAsia="方正书宋_GBK" w:hAnsi="等线"/>
              </w:rPr>
            </w:pPr>
          </w:p>
        </w:tc>
        <w:tc>
          <w:tcPr>
            <w:shd w:fill="auto" w:color="auto" w:val="clear"/>
            <w:vAlign w:val="center"/>
            <w:tcW w:w="709" w:type="dxa"/>
          </w:tcPr>
          <w:p>
            <w:pPr>
              <w:jc w:val="center"/>
              <w:spacing w:line="300" w:lineRule="exact"/>
              <w:rPr>
                <w:rFonts w:ascii="方正书宋_GBK" w:cs="Times New Roman" w:hAnsi="等线"/>
              </w:rPr>
            </w:pPr>
          </w:p>
        </w:tc>
        <w:tc>
          <w:tcPr>
            <w:shd w:fill="auto" w:color="auto" w:val="clear"/>
            <w:vAlign w:val="center"/>
            <w:tcW w:w="907" w:type="dxa"/>
          </w:tcPr>
          <w:p>
            <w:pPr>
              <w:jc w:val="right"/>
              <w:spacing w:line="300" w:lineRule="exact"/>
              <w:rPr>
                <w:rFonts w:ascii="方正书宋_GBK" w:cs="Times New Roman" w:eastAsia="方正书宋_GBK" w:hAnsi="等线"/>
              </w:rPr>
            </w:pPr>
          </w:p>
        </w:tc>
        <w:tc>
          <w:tcPr>
            <w:shd w:fill="auto" w:color="auto" w:val="clear"/>
            <w:vAlign w:val="center"/>
            <w:tcW w:w="907" w:type="dxa"/>
          </w:tcPr>
          <w:p>
            <w:pPr>
              <w:jc w:val="righ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c>
          <w:tcPr>
            <w:shd w:fill="auto" w:color="auto" w:val="clear"/>
            <w:vAlign w:val="center"/>
            <w:tcW w:w="1134" w:type="dxa"/>
          </w:tcPr>
          <w:p>
            <w:pPr>
              <w:jc w:val="right"/>
              <w:spacing w:line="300" w:lineRule="exact"/>
              <w:rPr>
                <w:rFonts w:ascii="方正书宋_GBK" w:cs="Times New Roman" w:eastAsia="方正书宋_GBK" w:hAnsi="等线"/>
              </w:rPr>
            </w:pPr>
          </w:p>
        </w:tc>
      </w:tr>
    </w:tbl>
    <w:p>
      <w:pPr>
        <w:rPr>
          <w:rFonts w:ascii="等线" w:cs="Times New Roman" w:eastAsia="等线" w:hAnsi="等线"/>
        </w:rPr>
      </w:pPr>
    </w:p>
    <w:p>
      <w:pPr>
        <w:spacing w:line="360" w:lineRule="auto"/>
        <w:sectPr>
          <w:docGrid w:type="linesAndChars" w:linePitch="312" w:charSpace="0"/>
          <w:footerReference r:id="rId3" w:type="default"/>
          <w:pgSz w:w="16838" w:h="11906" w:orient="landscape"/>
          <w:pgMar w:left="1440" w:right="1440" w:top="1797" w:bottom="1797" w:header="851" w:footer="992" w:gutter="0"/>
          <w:cols w:num="1" w:space="425"/>
        </w:sectPr>
        <w:rPr>
          <w:rFonts w:ascii="仿宋" w:eastAsia="仿宋" w:hAnsi="仿宋"/>
          <w:sz w:val="32"/>
          <w:szCs w:val="32"/>
        </w:rPr>
      </w:pPr>
    </w:p>
    <w:p>
      <w:pPr>
        <w:spacing w:line="360" w:lineRule="auto"/>
        <w:rPr>
          <w:rFonts w:ascii="仿宋" w:eastAsia="仿宋" w:hAnsi="仿宋"/>
          <w:sz w:val="32"/>
          <w:szCs w:val="32"/>
        </w:rPr>
      </w:pPr>
    </w:p>
    <w:p>
      <w:pPr>
        <w:outlineLvl w:val="0"/>
        <w:jc w:val="center"/>
        <w:rPr>
          <w:rFonts w:ascii="方正小标宋_GBK" w:eastAsia="方正小标宋_GBK"/>
          <w:sz w:val="44"/>
        </w:rPr>
      </w:pPr>
    </w:p>
    <w:p>
      <w:pPr>
        <w:outlineLvl w:val="0"/>
        <w:jc w:val="center"/>
        <w:rPr>
          <w:rFonts w:ascii="方正小标宋_GBK" w:eastAsia="方正小标宋_GBK"/>
          <w:sz w:val="44"/>
        </w:rPr>
      </w:pPr>
      <w:r>
        <w:rPr>
          <w:rFonts w:ascii="方正小标宋_GBK" w:eastAsia="方正小标宋_GBK" w:hint="eastAsia"/>
          <w:sz w:val="44"/>
        </w:rPr>
        <w:t>第七部分：国有资产信息</w:t>
      </w:r>
    </w:p>
    <w:p>
      <w:pPr>
        <w:ind w:left="638"/>
        <w:spacing w:line="360" w:lineRule="auto"/>
        <w:rPr>
          <w:rFonts w:ascii="仿宋" w:eastAsia="仿宋" w:hAnsi="仿宋"/>
          <w:sz w:val="32"/>
          <w:szCs w:val="32"/>
        </w:rPr>
      </w:pPr>
      <w:r>
        <w:rPr>
          <w:rFonts w:ascii="仿宋" w:eastAsia="仿宋" w:hAnsi="仿宋" w:hint="eastAsia"/>
          <w:sz w:val="32"/>
          <w:szCs w:val="32"/>
        </w:rPr>
        <w:t>上年末我</w:t>
      </w:r>
      <w:r>
        <w:rPr>
          <w:lang w:eastAsia="zh-CN"/>
          <w:rFonts w:ascii="仿宋" w:eastAsia="仿宋" w:hAnsi="仿宋" w:hint="eastAsia"/>
          <w:sz w:val="32"/>
          <w:szCs w:val="32"/>
        </w:rPr>
        <w:t>单位</w:t>
      </w:r>
      <w:r>
        <w:rPr>
          <w:rFonts w:ascii="仿宋" w:eastAsia="仿宋" w:hAnsi="仿宋" w:hint="eastAsia"/>
          <w:sz w:val="32"/>
          <w:szCs w:val="32"/>
        </w:rPr>
        <w:t>固定资产总金额为1</w:t>
      </w:r>
      <w:r>
        <w:rPr>
          <w:rFonts w:ascii="仿宋" w:eastAsia="仿宋" w:hAnsi="仿宋"/>
          <w:sz w:val="32"/>
          <w:szCs w:val="32"/>
        </w:rPr>
        <w:t>2.42</w:t>
      </w:r>
      <w:r>
        <w:rPr>
          <w:rFonts w:ascii="仿宋" w:eastAsia="仿宋" w:hAnsi="仿宋" w:hint="eastAsia"/>
          <w:sz w:val="32"/>
          <w:szCs w:val="32"/>
        </w:rPr>
        <w:t>万元（详见下表）。我</w:t>
      </w:r>
      <w:r>
        <w:rPr>
          <w:lang w:eastAsia="zh-CN"/>
          <w:rFonts w:ascii="仿宋" w:eastAsia="仿宋" w:hAnsi="仿宋" w:hint="eastAsia"/>
          <w:sz w:val="32"/>
          <w:szCs w:val="32"/>
        </w:rPr>
        <w:t>单位</w:t>
      </w:r>
      <w:r>
        <w:rPr>
          <w:rFonts w:ascii="仿宋" w:eastAsia="仿宋" w:hAnsi="仿宋" w:hint="eastAsia"/>
          <w:sz w:val="32"/>
          <w:szCs w:val="32"/>
        </w:rPr>
        <w:t>本年度无国有资产购置计划，拟购置金额为</w:t>
      </w:r>
      <w:r>
        <w:rPr>
          <w:rFonts w:ascii="仿宋" w:eastAsia="仿宋" w:hAnsi="仿宋"/>
          <w:sz w:val="32"/>
          <w:szCs w:val="32"/>
        </w:rPr>
        <w:t>0。</w:t>
      </w:r>
    </w:p>
    <w:tbl>
      <w:tblPr>
        <w:tblW w:w="10084" w:type="dxa"/>
        <w:tblLayout w:type="autofit"/>
        <w:tblCellMar>
          <w:top w:w="0" w:type="dxa"/>
          <w:left w:w="108" w:type="dxa"/>
          <w:bottom w:w="0" w:type="dxa"/>
          <w:right w:w="108" w:type="dxa"/>
        </w:tblCellMar>
        <w:jc w:val="center"/>
        <w:tblStyle w:val="5"/>
      </w:tblPr>
      <w:tblGrid>
        <w:gridCol w:w="4788"/>
        <w:gridCol w:w="1035"/>
        <w:gridCol w:w="4261"/>
      </w:tblGrid>
      <w:tr>
        <w:trPr>
          <w:jc w:val="center"/>
          <w:trHeight w:val="510" w:hRule="atLeast"/>
        </w:trPr>
        <w:tblPrEx>
          <w:tblCellMar>
            <w:top w:w="0" w:type="dxa"/>
            <w:left w:w="108" w:type="dxa"/>
            <w:bottom w:w="0" w:type="dxa"/>
            <w:right w:w="108" w:type="dxa"/>
          </w:tblCellMar>
        </w:tblPrEx>
        <w:tc>
          <w:tcPr>
            <w:noWrap/>
            <w:gridSpan w:val="3"/>
            <w:tcBorders>
              <w:top w:val="nil" w:sz="0" w:color="auto" w:space="0"/>
              <w:bottom w:val="nil" w:sz="0" w:color="auto" w:space="0"/>
              <w:left w:val="nil" w:sz="0" w:color="auto" w:space="0"/>
              <w:right w:val="nil" w:sz="0" w:color="auto" w:space="0"/>
            </w:tcBorders>
            <w:shd w:fill="auto" w:color="auto" w:val="clear"/>
            <w:vAlign w:val="center"/>
            <w:tcW w:w="10084" w:type="dxa"/>
          </w:tcPr>
          <w:p>
            <w:pPr>
              <w:widowControl/>
              <w:jc w:val="center"/>
              <w:rPr>
                <w:rFonts w:ascii="宋体" w:hAnsi="宋体"/>
                <w:sz w:val="32"/>
                <w:szCs w:val="32"/>
              </w:rPr>
            </w:pPr>
          </w:p>
          <w:p>
            <w:pPr>
              <w:widowControl/>
              <w:jc w:val="center"/>
              <w:rPr>
                <w:kern w:val="0"/>
                <w:rFonts w:ascii="宋体" w:cs="宋体" w:hAnsi="宋体"/>
                <w:sz w:val="28"/>
                <w:szCs w:val="28"/>
              </w:rPr>
            </w:pPr>
            <w:r>
              <w:rPr>
                <w:rFonts w:ascii="宋体" w:hAnsi="宋体" w:hint="eastAsia"/>
                <w:sz w:val="32"/>
                <w:szCs w:val="32"/>
              </w:rPr>
              <w:t>固定资产占用情况表</w:t>
            </w:r>
          </w:p>
        </w:tc>
      </w:tr>
      <w:tr>
        <w:trPr>
          <w:jc w:val="center"/>
          <w:trHeight w:val="510" w:hRule="atLeast"/>
        </w:trPr>
        <w:tblPrEx>
          <w:tblCellMar>
            <w:top w:w="0" w:type="dxa"/>
            <w:left w:w="108" w:type="dxa"/>
            <w:bottom w:w="0" w:type="dxa"/>
            <w:right w:w="108" w:type="dxa"/>
          </w:tblCellMar>
        </w:tblPrEx>
        <w:tc>
          <w:tcPr>
            <w:noWrap/>
            <w:gridSpan w:val="3"/>
            <w:tcBorders>
              <w:top w:val="nil" w:sz="0" w:color="auto" w:space="0"/>
              <w:bottom w:val="single" w:sz="4" w:color="auto" w:space="0"/>
              <w:left w:val="nil" w:sz="0" w:color="auto" w:space="0"/>
              <w:right w:val="nil" w:sz="0" w:color="auto" w:space="0"/>
            </w:tcBorders>
            <w:shd w:fill="auto" w:color="auto" w:val="clear"/>
            <w:vAlign w:val="center"/>
            <w:tcW w:w="10084" w:type="dxa"/>
          </w:tcPr>
          <w:p>
            <w:pPr>
              <w:widowControl/>
              <w:jc w:val="center"/>
              <w:rPr>
                <w:kern w:val="0"/>
                <w:rFonts w:ascii="仿宋_GB2312" w:cs="宋体" w:eastAsia="仿宋_GB2312" w:hAnsi="仿宋"/>
                <w:sz w:val="28"/>
                <w:szCs w:val="28"/>
              </w:rPr>
            </w:pPr>
            <w:r>
              <w:rPr>
                <w:bCs/>
                <w:kern w:val="0"/>
                <w:rFonts w:ascii="仿宋_GB2312" w:cs="宋体" w:eastAsia="仿宋_GB2312" w:hAnsi="仿宋" w:hint="eastAsia"/>
                <w:sz w:val="32"/>
                <w:szCs w:val="32"/>
              </w:rPr>
              <w:t xml:space="preserve">                           </w:t>
            </w:r>
            <w:r>
              <w:rPr>
                <w:bCs/>
                <w:kern w:val="0"/>
                <w:rFonts w:ascii="仿宋_GB2312" w:cs="宋体" w:eastAsia="仿宋_GB2312" w:hAnsi="仿宋" w:hint="eastAsia"/>
                <w:sz w:val="28"/>
                <w:szCs w:val="28"/>
              </w:rPr>
              <w:t>截止时间：</w:t>
            </w:r>
            <w:r>
              <w:rPr>
                <w:bCs/>
                <w:kern w:val="0"/>
                <w:color w:val="FF0000"/>
                <w:rFonts w:ascii="仿宋_GB2312" w:cs="宋体" w:eastAsia="仿宋_GB2312" w:hAnsi="仿宋"/>
                <w:sz w:val="28"/>
                <w:szCs w:val="28"/>
              </w:rPr>
              <w:t>2021</w:t>
            </w:r>
            <w:r>
              <w:rPr>
                <w:bCs/>
                <w:kern w:val="0"/>
                <w:color w:val="FF0000"/>
                <w:rFonts w:ascii="仿宋_GB2312" w:cs="宋体" w:eastAsia="仿宋_GB2312" w:hAnsi="仿宋" w:hint="eastAsia"/>
                <w:sz w:val="28"/>
                <w:szCs w:val="28"/>
              </w:rPr>
              <w:t>年12月31日</w:t>
            </w:r>
          </w:p>
        </w:tc>
      </w:tr>
      <w:tr>
        <w:trPr>
          <w:jc w:val="center"/>
          <w:trHeight w:val="510" w:hRule="atLeas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shd w:fill="auto" w:color="auto" w:val="clear"/>
            <w:vAlign w:val="center"/>
            <w:tcW w:w="4788" w:type="dxa"/>
          </w:tcPr>
          <w:p>
            <w:pPr>
              <w:widowControl/>
              <w:jc w:val="center"/>
              <w:rPr>
                <w:bCs/>
                <w:kern w:val="0"/>
                <w:b/>
                <w:rFonts w:ascii="仿宋_GB2312" w:cs="宋体" w:eastAsia="仿宋_GB2312" w:hAnsi="仿宋"/>
                <w:sz w:val="24"/>
                <w:szCs w:val="24"/>
              </w:rPr>
            </w:pPr>
            <w:r>
              <w:rPr>
                <w:bCs/>
                <w:kern w:val="0"/>
                <w:b/>
                <w:rFonts w:ascii="仿宋_GB2312" w:cs="宋体" w:eastAsia="仿宋_GB2312" w:hAnsi="仿宋" w:hint="eastAsia"/>
                <w:sz w:val="24"/>
                <w:szCs w:val="24"/>
              </w:rPr>
              <w:t>项　　目</w:t>
            </w:r>
          </w:p>
        </w:tc>
        <w:tc>
          <w:tcPr>
            <w:noWrap/>
            <w:tcBorders>
              <w:top w:val="nil" w:sz="0" w:color="auto" w:space="0"/>
              <w:bottom w:val="single" w:sz="4" w:color="auto" w:space="0"/>
              <w:left w:val="nil" w:sz="0" w:color="auto" w:space="0"/>
              <w:right w:val="single" w:sz="4" w:color="auto" w:space="0"/>
            </w:tcBorders>
            <w:shd w:fill="auto" w:color="auto" w:val="clear"/>
            <w:vAlign w:val="center"/>
            <w:tcW w:w="1035" w:type="dxa"/>
          </w:tcPr>
          <w:p>
            <w:pPr>
              <w:widowControl/>
              <w:jc w:val="center"/>
              <w:rPr>
                <w:bCs/>
                <w:kern w:val="0"/>
                <w:b/>
                <w:rFonts w:ascii="仿宋_GB2312" w:cs="宋体" w:eastAsia="仿宋_GB2312" w:hAnsi="仿宋"/>
                <w:sz w:val="24"/>
                <w:szCs w:val="24"/>
              </w:rPr>
            </w:pPr>
            <w:r>
              <w:rPr>
                <w:bCs/>
                <w:kern w:val="0"/>
                <w:b/>
                <w:rFonts w:ascii="仿宋_GB2312" w:cs="宋体" w:eastAsia="仿宋_GB2312" w:hAnsi="仿宋" w:hint="eastAsia"/>
                <w:sz w:val="24"/>
                <w:szCs w:val="24"/>
              </w:rPr>
              <w:t>数量</w:t>
            </w:r>
          </w:p>
        </w:tc>
        <w:tc>
          <w:tcPr>
            <w:noWrap/>
            <w:tcBorders>
              <w:top w:val="nil" w:sz="0" w:color="auto" w:space="0"/>
              <w:bottom w:val="single" w:sz="4" w:color="auto" w:space="0"/>
              <w:left w:val="nil" w:sz="0" w:color="auto" w:space="0"/>
              <w:right w:val="single" w:sz="4" w:color="auto" w:space="0"/>
            </w:tcBorders>
            <w:shd w:fill="auto" w:color="auto" w:val="clear"/>
            <w:vAlign w:val="center"/>
            <w:tcW w:w="4261" w:type="dxa"/>
          </w:tcPr>
          <w:p>
            <w:pPr>
              <w:widowControl/>
              <w:jc w:val="center"/>
              <w:rPr>
                <w:bCs/>
                <w:kern w:val="0"/>
                <w:b/>
                <w:rFonts w:ascii="仿宋_GB2312" w:cs="宋体" w:eastAsia="仿宋_GB2312" w:hAnsi="仿宋"/>
                <w:sz w:val="24"/>
                <w:szCs w:val="24"/>
              </w:rPr>
            </w:pPr>
            <w:r>
              <w:rPr>
                <w:bCs/>
                <w:kern w:val="0"/>
                <w:b/>
                <w:rFonts w:ascii="仿宋_GB2312" w:cs="宋体" w:eastAsia="仿宋_GB2312" w:hAnsi="仿宋" w:hint="eastAsia"/>
                <w:sz w:val="24"/>
                <w:szCs w:val="24"/>
              </w:rPr>
              <w:t>价值（单位：万元）</w:t>
            </w:r>
          </w:p>
        </w:tc>
      </w:tr>
      <w:tr>
        <w:trPr>
          <w:jc w:val="center"/>
          <w:trHeight w:val="510" w:hRule="atLeas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shd w:fill="auto" w:color="auto" w:val="clear"/>
            <w:vAlign w:val="center"/>
            <w:tcW w:w="4788" w:type="dxa"/>
          </w:tcPr>
          <w:p>
            <w:pPr>
              <w:widowControl/>
              <w:jc w:val="center"/>
              <w:rPr>
                <w:bCs/>
                <w:kern w:val="0"/>
                <w:b/>
                <w:rFonts w:ascii="仿宋_GB2312" w:cs="宋体" w:eastAsia="仿宋_GB2312" w:hAnsi="仿宋"/>
                <w:sz w:val="24"/>
                <w:szCs w:val="24"/>
              </w:rPr>
            </w:pPr>
            <w:r>
              <w:rPr>
                <w:bCs/>
                <w:kern w:val="0"/>
                <w:b/>
                <w:rFonts w:ascii="仿宋_GB2312" w:cs="宋体" w:eastAsia="仿宋_GB2312" w:hAnsi="仿宋" w:hint="eastAsia"/>
                <w:sz w:val="24"/>
                <w:szCs w:val="24"/>
              </w:rPr>
              <w:t>固定资产总额</w:t>
            </w:r>
          </w:p>
        </w:tc>
        <w:tc>
          <w:tcPr>
            <w:noWrap/>
            <w:tcBorders>
              <w:top w:val="nil" w:sz="0" w:color="auto" w:space="0"/>
              <w:bottom w:val="single" w:sz="4" w:color="auto" w:space="0"/>
              <w:left w:val="nil" w:sz="0" w:color="auto" w:space="0"/>
              <w:right w:val="single" w:sz="4" w:color="auto" w:space="0"/>
            </w:tcBorders>
            <w:shd w:fill="auto" w:color="auto" w:val="clear"/>
            <w:vAlign w:val="center"/>
            <w:tcW w:w="1035" w:type="dxa"/>
          </w:tcPr>
          <w:p>
            <w:pPr>
              <w:widowControl/>
              <w:jc w:val="center"/>
              <w:rPr>
                <w:kern w:val="0"/>
                <w:b/>
                <w:rFonts w:ascii="仿宋_GB2312" w:cs="宋体" w:eastAsia="仿宋_GB2312" w:hAnsi="仿宋"/>
                <w:sz w:val="24"/>
                <w:szCs w:val="24"/>
              </w:rPr>
            </w:pPr>
            <w:r>
              <w:rPr>
                <w:kern w:val="0"/>
                <w:b/>
                <w:rFonts w:ascii="仿宋_GB2312" w:cs="宋体" w:eastAsia="仿宋_GB2312" w:hAnsi="仿宋" w:hint="eastAsia"/>
                <w:sz w:val="24"/>
                <w:szCs w:val="24"/>
              </w:rPr>
              <w:t>--</w:t>
            </w:r>
          </w:p>
        </w:tc>
        <w:tc>
          <w:tcPr>
            <w:noWrap/>
            <w:tcBorders>
              <w:top w:val="nil" w:sz="0" w:color="auto" w:space="0"/>
              <w:bottom w:val="single" w:sz="4" w:color="auto" w:space="0"/>
              <w:left w:val="nil" w:sz="0" w:color="auto" w:space="0"/>
              <w:right w:val="single" w:sz="4" w:color="auto" w:space="0"/>
            </w:tcBorders>
            <w:shd w:fill="auto" w:color="auto" w:val="clear"/>
            <w:vAlign w:val="center"/>
            <w:tcW w:w="4261" w:type="dxa"/>
          </w:tcPr>
          <w:p>
            <w:pPr>
              <w:widowControl/>
              <w:jc w:val="center"/>
              <w:rPr>
                <w:kern w:val="0"/>
                <w:b/>
                <w:rFonts w:ascii="仿宋_GB2312" w:cs="宋体" w:eastAsia="仿宋_GB2312" w:hAnsi="仿宋"/>
                <w:sz w:val="24"/>
                <w:szCs w:val="24"/>
              </w:rPr>
            </w:pPr>
            <w:r>
              <w:rPr>
                <w:kern w:val="0"/>
                <w:b/>
                <w:rFonts w:ascii="仿宋_GB2312" w:cs="宋体" w:eastAsia="仿宋_GB2312" w:hAnsi="仿宋" w:hint="eastAsia"/>
                <w:sz w:val="24"/>
                <w:szCs w:val="24"/>
              </w:rPr>
              <w:t>12.42</w:t>
            </w:r>
          </w:p>
        </w:tc>
      </w:tr>
      <w:tr>
        <w:trPr>
          <w:jc w:val="center"/>
          <w:trHeight w:val="510" w:hRule="atLeas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shd w:fill="auto" w:color="auto" w:val="clear"/>
            <w:vAlign w:val="center"/>
            <w:tcW w:w="4788" w:type="dxa"/>
          </w:tcPr>
          <w:p>
            <w:pPr>
              <w:widowControl/>
              <w:jc w:val="left"/>
              <w:rPr>
                <w:kern w:val="0"/>
                <w:rFonts w:ascii="仿宋_GB2312" w:cs="宋体" w:eastAsia="仿宋_GB2312" w:hAnsi="仿宋"/>
                <w:sz w:val="24"/>
                <w:szCs w:val="24"/>
              </w:rPr>
            </w:pPr>
            <w:r>
              <w:rPr>
                <w:kern w:val="0"/>
                <w:rFonts w:ascii="仿宋_GB2312" w:cs="宋体" w:eastAsia="仿宋_GB2312" w:hAnsi="仿宋" w:hint="eastAsia"/>
                <w:sz w:val="24"/>
                <w:szCs w:val="24"/>
              </w:rPr>
              <w:t xml:space="preserve">  1、房屋（平方米）</w:t>
            </w:r>
          </w:p>
        </w:tc>
        <w:tc>
          <w:tcPr>
            <w:noWrap/>
            <w:tcBorders>
              <w:top w:val="nil" w:sz="0" w:color="auto" w:space="0"/>
              <w:bottom w:val="single" w:sz="4" w:color="auto" w:space="0"/>
              <w:left w:val="nil" w:sz="0" w:color="auto" w:space="0"/>
              <w:right w:val="single" w:sz="4" w:color="auto" w:space="0"/>
            </w:tcBorders>
            <w:shd w:fill="auto" w:color="auto" w:val="clear"/>
            <w:vAlign w:val="center"/>
            <w:tcW w:w="1035" w:type="dxa"/>
          </w:tcPr>
          <w:p>
            <w:pPr>
              <w:widowControl/>
              <w:jc w:val="center"/>
              <w:rPr>
                <w:kern w:val="0"/>
                <w:rFonts w:ascii="仿宋_GB2312" w:cs="宋体" w:eastAsia="仿宋_GB2312" w:hAnsi="仿宋"/>
                <w:sz w:val="24"/>
                <w:szCs w:val="24"/>
              </w:rPr>
            </w:pPr>
          </w:p>
        </w:tc>
        <w:tc>
          <w:tcPr>
            <w:noWrap/>
            <w:tcBorders>
              <w:top w:val="nil" w:sz="0" w:color="auto" w:space="0"/>
              <w:bottom w:val="single" w:sz="4" w:color="auto" w:space="0"/>
              <w:left w:val="nil" w:sz="0" w:color="auto" w:space="0"/>
              <w:right w:val="single" w:sz="4" w:color="auto" w:space="0"/>
            </w:tcBorders>
            <w:shd w:fill="auto" w:color="auto" w:val="clear"/>
            <w:vAlign w:val="center"/>
            <w:tcW w:w="4261" w:type="dxa"/>
          </w:tcPr>
          <w:p>
            <w:pPr>
              <w:widowControl/>
              <w:jc w:val="center"/>
              <w:rPr>
                <w:kern w:val="0"/>
                <w:rFonts w:ascii="仿宋_GB2312" w:cs="宋体" w:eastAsia="仿宋_GB2312" w:hAnsi="仿宋"/>
                <w:sz w:val="24"/>
                <w:szCs w:val="24"/>
              </w:rPr>
            </w:pPr>
          </w:p>
        </w:tc>
      </w:tr>
      <w:tr>
        <w:trPr>
          <w:jc w:val="center"/>
          <w:trHeight w:val="510" w:hRule="atLeast"/>
        </w:trPr>
        <w:tblPrEx>
          <w:tblCellMar>
            <w:top w:w="0" w:type="dxa"/>
            <w:left w:w="108" w:type="dxa"/>
            <w:bottom w:w="0" w:type="dxa"/>
            <w:right w:w="108" w:type="dxa"/>
          </w:tblCellMar>
        </w:tblPrEx>
        <w:tc>
          <w:tcPr>
            <w:noWrap/>
            <w:tcBorders>
              <w:top w:val="single" w:sz="4" w:color="auto" w:space="0"/>
              <w:bottom w:val="single" w:sz="4" w:color="auto" w:space="0"/>
              <w:left w:val="single" w:sz="4" w:color="auto" w:space="0"/>
              <w:right w:val="single" w:sz="4" w:color="auto" w:space="0"/>
            </w:tcBorders>
            <w:shd w:fill="auto" w:color="auto" w:val="clear"/>
            <w:vAlign w:val="center"/>
            <w:tcW w:w="4788" w:type="dxa"/>
          </w:tcPr>
          <w:p>
            <w:pPr>
              <w:jc w:val="left"/>
              <w:rPr>
                <w:kern w:val="0"/>
                <w:rFonts w:ascii="仿宋_GB2312" w:cs="宋体" w:eastAsia="仿宋_GB2312" w:hAnsi="仿宋"/>
                <w:sz w:val="24"/>
                <w:szCs w:val="24"/>
              </w:rPr>
            </w:pPr>
            <w:r>
              <w:rPr>
                <w:kern w:val="0"/>
                <w:rFonts w:ascii="仿宋_GB2312" w:cs="宋体" w:eastAsia="仿宋_GB2312" w:hAnsi="仿宋" w:hint="eastAsia"/>
                <w:sz w:val="24"/>
                <w:szCs w:val="24"/>
              </w:rPr>
              <w:t xml:space="preserve">   其中：办公用房（平方米）</w:t>
            </w:r>
          </w:p>
        </w:tc>
        <w:tc>
          <w:tcPr>
            <w:noWrap/>
            <w:tcBorders>
              <w:top w:val="single" w:sz="4" w:color="auto" w:space="0"/>
              <w:bottom w:val="single" w:sz="4" w:color="auto" w:space="0"/>
              <w:left w:val="nil" w:sz="0" w:color="auto" w:space="0"/>
              <w:right w:val="single" w:sz="4" w:color="auto" w:space="0"/>
            </w:tcBorders>
            <w:shd w:fill="auto" w:color="auto" w:val="clear"/>
            <w:vAlign w:val="center"/>
            <w:tcW w:w="1035" w:type="dxa"/>
          </w:tcPr>
          <w:p>
            <w:pPr>
              <w:jc w:val="center"/>
              <w:rPr>
                <w:kern w:val="0"/>
                <w:rFonts w:ascii="仿宋_GB2312" w:cs="宋体" w:eastAsia="仿宋_GB2312" w:hAnsi="仿宋"/>
                <w:sz w:val="24"/>
                <w:szCs w:val="24"/>
              </w:rPr>
            </w:pPr>
          </w:p>
        </w:tc>
        <w:tc>
          <w:tcPr>
            <w:noWrap/>
            <w:tcBorders>
              <w:top w:val="single" w:sz="4" w:color="auto" w:space="0"/>
              <w:bottom w:val="single" w:sz="4" w:color="auto" w:space="0"/>
              <w:left w:val="nil" w:sz="0" w:color="auto" w:space="0"/>
              <w:right w:val="single" w:sz="4" w:color="auto" w:space="0"/>
            </w:tcBorders>
            <w:shd w:fill="auto" w:color="auto" w:val="clear"/>
            <w:vAlign w:val="center"/>
            <w:tcW w:w="4261" w:type="dxa"/>
          </w:tcPr>
          <w:p>
            <w:pPr>
              <w:jc w:val="center"/>
              <w:rPr>
                <w:kern w:val="0"/>
                <w:rFonts w:ascii="仿宋_GB2312" w:cs="宋体" w:eastAsia="仿宋_GB2312" w:hAnsi="仿宋"/>
                <w:sz w:val="24"/>
                <w:szCs w:val="24"/>
              </w:rPr>
            </w:pPr>
          </w:p>
        </w:tc>
      </w:tr>
      <w:tr>
        <w:trPr>
          <w:jc w:val="center"/>
          <w:trHeight w:val="510" w:hRule="atLeas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shd w:fill="auto" w:color="auto" w:val="clear"/>
            <w:vAlign w:val="center"/>
            <w:tcW w:w="4788" w:type="dxa"/>
          </w:tcPr>
          <w:p>
            <w:pPr>
              <w:widowControl/>
              <w:jc w:val="left"/>
              <w:rPr>
                <w:kern w:val="0"/>
                <w:rFonts w:ascii="仿宋_GB2312" w:cs="宋体" w:eastAsia="仿宋_GB2312" w:hAnsi="仿宋"/>
                <w:sz w:val="24"/>
                <w:szCs w:val="24"/>
              </w:rPr>
            </w:pPr>
            <w:r>
              <w:rPr>
                <w:kern w:val="0"/>
                <w:rFonts w:ascii="仿宋_GB2312" w:cs="宋体" w:eastAsia="仿宋_GB2312" w:hAnsi="仿宋" w:hint="eastAsia"/>
                <w:sz w:val="24"/>
                <w:szCs w:val="24"/>
              </w:rPr>
              <w:t xml:space="preserve">  2、车辆（台、辆）</w:t>
            </w:r>
          </w:p>
        </w:tc>
        <w:tc>
          <w:tcPr>
            <w:noWrap/>
            <w:tcBorders>
              <w:top w:val="nil" w:sz="0" w:color="auto" w:space="0"/>
              <w:bottom w:val="single" w:sz="4" w:color="auto" w:space="0"/>
              <w:left w:val="nil" w:sz="0" w:color="auto" w:space="0"/>
              <w:right w:val="single" w:sz="4" w:color="auto" w:space="0"/>
            </w:tcBorders>
            <w:shd w:fill="auto" w:color="auto" w:val="clear"/>
            <w:vAlign w:val="center"/>
            <w:tcW w:w="1035" w:type="dxa"/>
          </w:tcPr>
          <w:p>
            <w:pPr>
              <w:widowControl/>
              <w:jc w:val="center"/>
              <w:rPr>
                <w:kern w:val="0"/>
                <w:rFonts w:ascii="仿宋_GB2312" w:cs="宋体" w:eastAsia="仿宋_GB2312" w:hAnsi="仿宋"/>
                <w:sz w:val="24"/>
                <w:szCs w:val="24"/>
              </w:rPr>
            </w:pPr>
            <w:r>
              <w:rPr>
                <w:kern w:val="0"/>
                <w:rFonts w:ascii="仿宋_GB2312" w:cs="宋体" w:eastAsia="仿宋_GB2312" w:hAnsi="仿宋" w:hint="eastAsia"/>
                <w:sz w:val="24"/>
                <w:szCs w:val="24"/>
              </w:rPr>
              <w:t>1</w:t>
            </w:r>
          </w:p>
        </w:tc>
        <w:tc>
          <w:tcPr>
            <w:noWrap/>
            <w:tcBorders>
              <w:top w:val="nil" w:sz="0" w:color="auto" w:space="0"/>
              <w:bottom w:val="single" w:sz="4" w:color="auto" w:space="0"/>
              <w:left w:val="nil" w:sz="0" w:color="auto" w:space="0"/>
              <w:right w:val="single" w:sz="4" w:color="auto" w:space="0"/>
            </w:tcBorders>
            <w:shd w:fill="auto" w:color="auto" w:val="clear"/>
            <w:vAlign w:val="center"/>
            <w:tcW w:w="4261" w:type="dxa"/>
          </w:tcPr>
          <w:p>
            <w:pPr>
              <w:widowControl/>
              <w:jc w:val="center"/>
              <w:rPr>
                <w:kern w:val="0"/>
                <w:rFonts w:ascii="仿宋_GB2312" w:cs="宋体" w:eastAsia="仿宋_GB2312" w:hAnsi="仿宋"/>
                <w:sz w:val="24"/>
                <w:szCs w:val="24"/>
              </w:rPr>
            </w:pPr>
            <w:r>
              <w:rPr>
                <w:kern w:val="0"/>
                <w:rFonts w:ascii="仿宋_GB2312" w:cs="宋体" w:eastAsia="仿宋_GB2312" w:hAnsi="仿宋" w:hint="eastAsia"/>
                <w:sz w:val="24"/>
                <w:szCs w:val="24"/>
              </w:rPr>
              <w:t>6.28</w:t>
            </w:r>
          </w:p>
        </w:tc>
      </w:tr>
      <w:tr>
        <w:trPr>
          <w:jc w:val="center"/>
          <w:trHeight w:val="510" w:hRule="atLeas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shd w:fill="auto" w:color="auto" w:val="clear"/>
            <w:vAlign w:val="center"/>
            <w:tcW w:w="4788" w:type="dxa"/>
          </w:tcPr>
          <w:p>
            <w:pPr>
              <w:widowControl/>
              <w:jc w:val="left"/>
              <w:rPr>
                <w:kern w:val="0"/>
                <w:rFonts w:ascii="仿宋_GB2312" w:cs="宋体" w:eastAsia="仿宋_GB2312" w:hAnsi="仿宋"/>
                <w:sz w:val="24"/>
                <w:szCs w:val="24"/>
              </w:rPr>
            </w:pPr>
            <w:r>
              <w:rPr>
                <w:kern w:val="0"/>
                <w:rFonts w:ascii="仿宋_GB2312" w:cs="宋体" w:eastAsia="仿宋_GB2312" w:hAnsi="仿宋" w:hint="eastAsia"/>
                <w:sz w:val="24"/>
                <w:szCs w:val="24"/>
              </w:rPr>
              <w:t xml:space="preserve">  3、单价在50万元以上的设备(台、套)</w:t>
            </w:r>
          </w:p>
        </w:tc>
        <w:tc>
          <w:tcPr>
            <w:noWrap/>
            <w:tcBorders>
              <w:top w:val="nil" w:sz="0" w:color="auto" w:space="0"/>
              <w:bottom w:val="single" w:sz="4" w:color="auto" w:space="0"/>
              <w:left w:val="nil" w:sz="0" w:color="auto" w:space="0"/>
              <w:right w:val="single" w:sz="4" w:color="auto" w:space="0"/>
            </w:tcBorders>
            <w:shd w:fill="auto" w:color="auto" w:val="clear"/>
            <w:vAlign w:val="center"/>
            <w:tcW w:w="1035" w:type="dxa"/>
          </w:tcPr>
          <w:p>
            <w:pPr>
              <w:widowControl/>
              <w:jc w:val="center"/>
              <w:rPr>
                <w:kern w:val="0"/>
                <w:rFonts w:ascii="仿宋_GB2312" w:cs="宋体" w:eastAsia="仿宋_GB2312" w:hAnsi="仿宋"/>
                <w:sz w:val="24"/>
                <w:szCs w:val="24"/>
              </w:rPr>
            </w:pPr>
          </w:p>
        </w:tc>
        <w:tc>
          <w:tcPr>
            <w:noWrap/>
            <w:tcBorders>
              <w:top w:val="nil" w:sz="0" w:color="auto" w:space="0"/>
              <w:bottom w:val="single" w:sz="4" w:color="auto" w:space="0"/>
              <w:left w:val="nil" w:sz="0" w:color="auto" w:space="0"/>
              <w:right w:val="single" w:sz="4" w:color="auto" w:space="0"/>
            </w:tcBorders>
            <w:shd w:fill="auto" w:color="auto" w:val="clear"/>
            <w:vAlign w:val="center"/>
            <w:tcW w:w="4261" w:type="dxa"/>
          </w:tcPr>
          <w:p>
            <w:pPr>
              <w:widowControl/>
              <w:jc w:val="center"/>
              <w:rPr>
                <w:kern w:val="0"/>
                <w:rFonts w:ascii="仿宋_GB2312" w:cs="宋体" w:eastAsia="仿宋_GB2312" w:hAnsi="仿宋"/>
                <w:sz w:val="24"/>
                <w:szCs w:val="24"/>
              </w:rPr>
            </w:pPr>
          </w:p>
        </w:tc>
      </w:tr>
      <w:tr>
        <w:trPr>
          <w:jc w:val="center"/>
          <w:trHeight w:val="510" w:hRule="atLeast"/>
        </w:trPr>
        <w:tblPrEx>
          <w:tblCellMar>
            <w:top w:w="0" w:type="dxa"/>
            <w:left w:w="108" w:type="dxa"/>
            <w:bottom w:w="0" w:type="dxa"/>
            <w:right w:w="108" w:type="dxa"/>
          </w:tblCellMar>
        </w:tblPrEx>
        <w:tc>
          <w:tcPr>
            <w:noWrap/>
            <w:tcBorders>
              <w:top w:val="single" w:sz="4" w:color="auto" w:space="0"/>
              <w:bottom w:val="single" w:sz="4" w:color="auto" w:space="0"/>
              <w:left w:val="single" w:sz="4" w:color="auto" w:space="0"/>
              <w:right w:val="single" w:sz="4" w:color="auto" w:space="0"/>
            </w:tcBorders>
            <w:shd w:fill="auto" w:color="auto" w:val="clear"/>
            <w:vAlign w:val="center"/>
            <w:tcW w:w="4788" w:type="dxa"/>
          </w:tcPr>
          <w:p>
            <w:pPr>
              <w:widowControl/>
              <w:jc w:val="left"/>
              <w:rPr>
                <w:kern w:val="0"/>
                <w:rFonts w:ascii="仿宋_GB2312" w:cs="宋体" w:eastAsia="仿宋_GB2312" w:hAnsi="仿宋"/>
                <w:sz w:val="24"/>
                <w:szCs w:val="24"/>
              </w:rPr>
            </w:pPr>
            <w:r>
              <w:rPr>
                <w:kern w:val="0"/>
                <w:rFonts w:ascii="仿宋_GB2312" w:cs="宋体" w:eastAsia="仿宋_GB2312" w:hAnsi="仿宋" w:hint="eastAsia"/>
                <w:sz w:val="24"/>
                <w:szCs w:val="24"/>
              </w:rPr>
              <w:t>其中：单价50万元（含）以上的通用设备</w:t>
            </w:r>
          </w:p>
        </w:tc>
        <w:tc>
          <w:tcPr>
            <w:noWrap/>
            <w:tcBorders>
              <w:top w:val="single" w:sz="4" w:color="auto" w:space="0"/>
              <w:bottom w:val="single" w:sz="4" w:color="auto" w:space="0"/>
              <w:left w:val="single" w:sz="4" w:color="auto" w:space="0"/>
              <w:right w:val="single" w:sz="4" w:color="auto" w:space="0"/>
            </w:tcBorders>
            <w:shd w:fill="auto" w:color="auto" w:val="clear"/>
            <w:vAlign w:val="center"/>
            <w:tcW w:w="1035" w:type="dxa"/>
          </w:tcPr>
          <w:p>
            <w:pPr>
              <w:widowControl/>
              <w:jc w:val="center"/>
              <w:rPr>
                <w:kern w:val="0"/>
                <w:rFonts w:ascii="仿宋_GB2312" w:cs="宋体" w:eastAsia="仿宋_GB2312" w:hAnsi="仿宋"/>
                <w:sz w:val="24"/>
                <w:szCs w:val="24"/>
              </w:rPr>
            </w:pPr>
          </w:p>
        </w:tc>
        <w:tc>
          <w:tcPr>
            <w:noWrap/>
            <w:tcBorders>
              <w:top w:val="single" w:sz="4" w:color="auto" w:space="0"/>
              <w:bottom w:val="single" w:sz="4" w:color="auto" w:space="0"/>
              <w:left w:val="single" w:sz="4" w:color="auto" w:space="0"/>
              <w:right w:val="single" w:sz="4" w:color="auto" w:space="0"/>
            </w:tcBorders>
            <w:shd w:fill="auto" w:color="auto" w:val="clear"/>
            <w:vAlign w:val="center"/>
            <w:tcW w:w="4261" w:type="dxa"/>
          </w:tcPr>
          <w:p>
            <w:pPr>
              <w:widowControl/>
              <w:jc w:val="center"/>
              <w:rPr>
                <w:kern w:val="0"/>
                <w:rFonts w:ascii="仿宋_GB2312" w:cs="宋体" w:eastAsia="仿宋_GB2312" w:hAnsi="仿宋"/>
                <w:sz w:val="24"/>
                <w:szCs w:val="24"/>
              </w:rPr>
            </w:pPr>
          </w:p>
        </w:tc>
      </w:tr>
      <w:tr>
        <w:trPr>
          <w:jc w:val="center"/>
          <w:trHeight w:val="510" w:hRule="atLeast"/>
        </w:trPr>
        <w:tblPrEx>
          <w:tblCellMar>
            <w:top w:w="0" w:type="dxa"/>
            <w:left w:w="108" w:type="dxa"/>
            <w:bottom w:w="0" w:type="dxa"/>
            <w:right w:w="108" w:type="dxa"/>
          </w:tblCellMar>
        </w:tblPrEx>
        <w:tc>
          <w:tcPr>
            <w:noWrap/>
            <w:tcBorders>
              <w:top w:val="single" w:sz="4" w:color="auto" w:space="0"/>
              <w:bottom w:val="single" w:sz="4" w:color="auto" w:space="0"/>
              <w:left w:val="single" w:sz="4" w:color="auto" w:space="0"/>
              <w:right w:val="single" w:sz="4" w:color="auto" w:space="0"/>
            </w:tcBorders>
            <w:shd w:fill="auto" w:color="auto" w:val="clear"/>
            <w:vAlign w:val="center"/>
            <w:tcW w:w="4788" w:type="dxa"/>
          </w:tcPr>
          <w:p>
            <w:pPr>
              <w:widowControl/>
              <w:jc w:val="left"/>
              <w:rPr>
                <w:kern w:val="0"/>
                <w:rFonts w:ascii="仿宋_GB2312" w:cs="宋体" w:eastAsia="仿宋_GB2312" w:hAnsi="仿宋"/>
                <w:sz w:val="24"/>
                <w:szCs w:val="24"/>
              </w:rPr>
            </w:pPr>
            <w:r>
              <w:rPr>
                <w:kern w:val="0"/>
                <w:rFonts w:ascii="仿宋_GB2312" w:cs="宋体" w:eastAsia="仿宋_GB2312" w:hAnsi="仿宋" w:hint="eastAsia"/>
                <w:sz w:val="24"/>
                <w:szCs w:val="24"/>
              </w:rPr>
              <w:t xml:space="preserve">     单价100万元（含）以上的专用设备</w:t>
            </w:r>
          </w:p>
        </w:tc>
        <w:tc>
          <w:tcPr>
            <w:noWrap/>
            <w:tcBorders>
              <w:top w:val="single" w:sz="4" w:color="auto" w:space="0"/>
              <w:bottom w:val="single" w:sz="4" w:color="auto" w:space="0"/>
              <w:left w:val="nil" w:sz="0" w:color="auto" w:space="0"/>
              <w:right w:val="single" w:sz="4" w:color="auto" w:space="0"/>
            </w:tcBorders>
            <w:shd w:fill="auto" w:color="auto" w:val="clear"/>
            <w:vAlign w:val="center"/>
            <w:tcW w:w="1035" w:type="dxa"/>
          </w:tcPr>
          <w:p>
            <w:pPr>
              <w:widowControl/>
              <w:jc w:val="center"/>
              <w:rPr>
                <w:kern w:val="0"/>
                <w:rFonts w:ascii="仿宋_GB2312" w:cs="宋体" w:eastAsia="仿宋_GB2312" w:hAnsi="仿宋"/>
                <w:sz w:val="24"/>
                <w:szCs w:val="24"/>
              </w:rPr>
            </w:pPr>
          </w:p>
        </w:tc>
        <w:tc>
          <w:tcPr>
            <w:noWrap/>
            <w:tcBorders>
              <w:top w:val="single" w:sz="4" w:color="auto" w:space="0"/>
              <w:bottom w:val="single" w:sz="4" w:color="auto" w:space="0"/>
              <w:left w:val="nil" w:sz="0" w:color="auto" w:space="0"/>
              <w:right w:val="single" w:sz="4" w:color="auto" w:space="0"/>
            </w:tcBorders>
            <w:shd w:fill="auto" w:color="auto" w:val="clear"/>
            <w:vAlign w:val="center"/>
            <w:tcW w:w="4261" w:type="dxa"/>
          </w:tcPr>
          <w:p>
            <w:pPr>
              <w:widowControl/>
              <w:jc w:val="center"/>
              <w:rPr>
                <w:kern w:val="0"/>
                <w:rFonts w:ascii="仿宋_GB2312" w:cs="宋体" w:eastAsia="仿宋_GB2312" w:hAnsi="仿宋"/>
                <w:sz w:val="24"/>
                <w:szCs w:val="24"/>
              </w:rPr>
            </w:pPr>
          </w:p>
        </w:tc>
      </w:tr>
      <w:tr>
        <w:trPr>
          <w:jc w:val="center"/>
          <w:trHeight w:val="510" w:hRule="atLeast"/>
        </w:trPr>
        <w:tblPrEx>
          <w:tblCellMar>
            <w:top w:w="0" w:type="dxa"/>
            <w:left w:w="108" w:type="dxa"/>
            <w:bottom w:w="0" w:type="dxa"/>
            <w:right w:w="108" w:type="dxa"/>
          </w:tblCellMar>
        </w:tblPrEx>
        <w:tc>
          <w:tcPr>
            <w:noWrap/>
            <w:tcBorders>
              <w:top w:val="single" w:sz="4" w:color="auto" w:space="0"/>
              <w:bottom w:val="single" w:sz="4" w:color="auto" w:space="0"/>
              <w:left w:val="single" w:sz="4" w:color="auto" w:space="0"/>
              <w:right w:val="single" w:sz="4" w:color="auto" w:space="0"/>
            </w:tcBorders>
            <w:shd w:fill="auto" w:color="auto" w:val="clear"/>
            <w:vAlign w:val="center"/>
            <w:tcW w:w="4788" w:type="dxa"/>
          </w:tcPr>
          <w:p>
            <w:pPr>
              <w:jc w:val="left"/>
              <w:rPr>
                <w:kern w:val="0"/>
                <w:rFonts w:ascii="仿宋_GB2312" w:cs="宋体" w:eastAsia="仿宋_GB2312" w:hAnsi="仿宋"/>
                <w:sz w:val="24"/>
                <w:szCs w:val="24"/>
              </w:rPr>
            </w:pPr>
            <w:r>
              <w:rPr>
                <w:kern w:val="0"/>
                <w:rFonts w:ascii="仿宋_GB2312" w:cs="宋体" w:eastAsia="仿宋_GB2312" w:hAnsi="仿宋" w:hint="eastAsia"/>
                <w:sz w:val="24"/>
                <w:szCs w:val="24"/>
              </w:rPr>
              <w:t xml:space="preserve">  4、其他固定资产</w:t>
            </w:r>
          </w:p>
        </w:tc>
        <w:tc>
          <w:tcPr>
            <w:noWrap/>
            <w:tcBorders>
              <w:top w:val="single" w:sz="4" w:color="auto" w:space="0"/>
              <w:bottom w:val="single" w:sz="4" w:color="auto" w:space="0"/>
              <w:left w:val="nil" w:sz="0" w:color="auto" w:space="0"/>
              <w:right w:val="single" w:sz="4" w:color="auto" w:space="0"/>
            </w:tcBorders>
            <w:shd w:fill="auto" w:color="auto" w:val="clear"/>
            <w:vAlign w:val="center"/>
            <w:tcW w:w="1035" w:type="dxa"/>
          </w:tcPr>
          <w:p>
            <w:pPr>
              <w:jc w:val="center"/>
              <w:rPr>
                <w:kern w:val="0"/>
                <w:rFonts w:ascii="仿宋_GB2312" w:cs="宋体" w:eastAsia="仿宋_GB2312" w:hAnsi="仿宋"/>
                <w:sz w:val="24"/>
                <w:szCs w:val="24"/>
              </w:rPr>
            </w:pPr>
          </w:p>
        </w:tc>
        <w:tc>
          <w:tcPr>
            <w:noWrap/>
            <w:tcBorders>
              <w:top w:val="single" w:sz="4" w:color="auto" w:space="0"/>
              <w:bottom w:val="single" w:sz="4" w:color="auto" w:space="0"/>
              <w:left w:val="nil" w:sz="0" w:color="auto" w:space="0"/>
              <w:right w:val="single" w:sz="4" w:color="auto" w:space="0"/>
            </w:tcBorders>
            <w:shd w:fill="auto" w:color="auto" w:val="clear"/>
            <w:vAlign w:val="center"/>
            <w:tcW w:w="4261" w:type="dxa"/>
          </w:tcPr>
          <w:p>
            <w:pPr>
              <w:jc w:val="center"/>
              <w:rPr>
                <w:kern w:val="0"/>
                <w:rFonts w:ascii="仿宋_GB2312" w:cs="宋体" w:eastAsia="仿宋_GB2312" w:hAnsi="仿宋"/>
                <w:sz w:val="24"/>
                <w:szCs w:val="24"/>
              </w:rPr>
            </w:pPr>
            <w:r>
              <w:rPr>
                <w:kern w:val="0"/>
                <w:rFonts w:ascii="仿宋_GB2312" w:cs="宋体" w:eastAsia="仿宋_GB2312" w:hAnsi="仿宋" w:hint="eastAsia"/>
                <w:sz w:val="24"/>
                <w:szCs w:val="24"/>
              </w:rPr>
              <w:t>6.14</w:t>
            </w:r>
          </w:p>
        </w:tc>
      </w:tr>
    </w:tbl>
    <w:p>
      <w:pPr>
        <w:spacing w:line="360" w:lineRule="auto"/>
        <w:rPr>
          <w:rFonts w:ascii="黑体" w:cs="Times New Roman" w:eastAsia="黑体" w:hAnsi="黑体"/>
          <w:sz w:val="32"/>
          <w:szCs w:val="32"/>
        </w:rPr>
      </w:pPr>
    </w:p>
    <w:p>
      <w:pPr>
        <w:outlineLvl w:val="0"/>
        <w:jc w:val="center"/>
        <w:rPr>
          <w:rFonts w:ascii="方正小标宋_GBK" w:eastAsia="方正小标宋_GBK"/>
          <w:sz w:val="44"/>
        </w:rPr>
      </w:pPr>
    </w:p>
    <w:p>
      <w:pPr>
        <w:outlineLvl w:val="0"/>
        <w:jc w:val="center"/>
        <w:rPr>
          <w:rFonts w:ascii="方正小标宋_GBK" w:eastAsia="方正小标宋_GBK"/>
          <w:sz w:val="44"/>
        </w:rPr>
      </w:pPr>
    </w:p>
    <w:p>
      <w:pPr>
        <w:outlineLvl w:val="0"/>
        <w:jc w:val="center"/>
        <w:rPr>
          <w:rFonts w:ascii="方正小标宋_GBK" w:eastAsia="方正小标宋_GBK"/>
          <w:sz w:val="44"/>
        </w:rPr>
      </w:pPr>
      <w:r>
        <w:rPr>
          <w:rFonts w:ascii="方正小标宋_GBK" w:eastAsia="方正小标宋_GBK" w:hint="eastAsia"/>
          <w:sz w:val="44"/>
        </w:rPr>
        <w:t>第八部分：名词解释</w:t>
      </w:r>
    </w:p>
    <w:p>
      <w:pPr>
        <w:ind w:firstLine="640"/>
        <w:spacing w:line="360" w:lineRule="auto"/>
        <w:rPr>
          <w:rFonts w:ascii="仿宋" w:eastAsia="仿宋" w:hAnsi="仿宋"/>
          <w:sz w:val="32"/>
          <w:szCs w:val="32"/>
        </w:rPr>
      </w:pPr>
      <w:r>
        <w:rPr>
          <w:rFonts w:ascii="仿宋" w:eastAsia="仿宋" w:hAnsi="仿宋"/>
          <w:sz w:val="32"/>
          <w:szCs w:val="32"/>
        </w:rPr>
        <w:t>1、一般公共预算财政拨款收入：指区级财政当年拨付的资金。</w:t>
      </w:r>
    </w:p>
    <w:p>
      <w:pPr>
        <w:ind w:firstLine="640"/>
        <w:spacing w:line="360" w:lineRule="auto"/>
        <w:rPr>
          <w:rFonts w:ascii="仿宋" w:eastAsia="仿宋" w:hAnsi="仿宋"/>
          <w:sz w:val="32"/>
          <w:szCs w:val="32"/>
        </w:rPr>
      </w:pPr>
      <w:r>
        <w:rPr>
          <w:rFonts w:ascii="仿宋" w:eastAsia="仿宋" w:hAnsi="仿宋"/>
          <w:sz w:val="32"/>
          <w:szCs w:val="32"/>
        </w:rPr>
        <w:t>2、其他收入：指除上述“财政拨款收入”、“事业收入”等以外的收入。</w:t>
      </w:r>
    </w:p>
    <w:p>
      <w:pPr>
        <w:ind w:firstLine="640"/>
        <w:spacing w:line="360" w:lineRule="auto"/>
        <w:rPr>
          <w:rFonts w:ascii="仿宋" w:eastAsia="仿宋" w:hAnsi="仿宋"/>
          <w:sz w:val="32"/>
          <w:szCs w:val="32"/>
        </w:rPr>
      </w:pPr>
      <w:r>
        <w:rPr>
          <w:rFonts w:ascii="仿宋" w:eastAsia="仿宋" w:hAnsi="仿宋"/>
          <w:sz w:val="32"/>
          <w:szCs w:val="32"/>
        </w:rPr>
        <w:t>3、基本支出：指为保障机构正常运转、完成日常工作任务而发生的人员支出和公用支出。</w:t>
      </w:r>
    </w:p>
    <w:p>
      <w:pPr>
        <w:ind w:firstLine="640"/>
        <w:spacing w:line="360" w:lineRule="auto"/>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pPr>
        <w:ind w:firstLine="640"/>
        <w:spacing w:line="360" w:lineRule="auto"/>
        <w:rPr>
          <w:rFonts w:ascii="仿宋" w:eastAsia="仿宋" w:hAnsi="仿宋"/>
          <w:sz w:val="32"/>
          <w:szCs w:val="32"/>
        </w:rPr>
      </w:pPr>
      <w:r>
        <w:rPr>
          <w:rFonts w:ascii="仿宋" w:eastAsia="仿宋" w:hAnsi="仿宋"/>
          <w:sz w:val="32"/>
          <w:szCs w:val="32"/>
        </w:rPr>
        <w:t>5、“三公”经费：纳入区级财政预算管理的“三公”经费，是指区级</w:t>
      </w:r>
      <w:r>
        <w:rPr>
          <w:lang w:eastAsia="zh-CN"/>
          <w:rFonts w:ascii="仿宋" w:eastAsia="仿宋" w:hAnsi="仿宋" w:hint="eastAsia"/>
          <w:sz w:val="32"/>
          <w:szCs w:val="32"/>
        </w:rPr>
        <w:t>单位</w:t>
      </w:r>
      <w:r>
        <w:rPr>
          <w:rFonts w:ascii="仿宋" w:eastAsia="仿宋" w:hAnsi="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spacing w:line="360" w:lineRule="auto"/>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spacing w:line="360" w:lineRule="auto"/>
        <w:rPr>
          <w:rFonts w:ascii="黑体" w:cs="Times New Roman" w:eastAsia="黑体" w:hAnsi="黑体"/>
          <w:sz w:val="32"/>
          <w:szCs w:val="32"/>
        </w:rPr>
      </w:pPr>
    </w:p>
    <w:p>
      <w:pPr>
        <w:outlineLvl w:val="0"/>
        <w:jc w:val="center"/>
        <w:rPr>
          <w:rFonts w:ascii="方正小标宋_GBK" w:eastAsia="方正小标宋_GBK"/>
          <w:sz w:val="44"/>
        </w:rPr>
      </w:pPr>
      <w:r>
        <w:rPr>
          <w:rFonts w:ascii="方正小标宋_GBK" w:eastAsia="方正小标宋_GBK" w:hint="eastAsia"/>
          <w:sz w:val="44"/>
        </w:rPr>
        <w:t>第九部分：其他需说明的事项</w:t>
      </w:r>
    </w:p>
    <w:p>
      <w:pPr>
        <w:ind w:firstLine="640"/>
        <w:spacing w:line="360" w:lineRule="auto"/>
        <w:rPr>
          <w:rFonts w:ascii="仿宋" w:eastAsia="仿宋" w:hAnsi="仿宋"/>
          <w:sz w:val="32"/>
          <w:szCs w:val="32"/>
        </w:rPr>
      </w:pPr>
      <w:r>
        <w:rPr>
          <w:rFonts w:ascii="仿宋" w:eastAsia="仿宋" w:hAnsi="仿宋" w:hint="eastAsia"/>
          <w:sz w:val="32"/>
          <w:szCs w:val="32"/>
        </w:rPr>
        <w:t>我</w:t>
      </w:r>
      <w:r>
        <w:rPr>
          <w:lang w:eastAsia="zh-CN"/>
          <w:rFonts w:ascii="仿宋" w:eastAsia="仿宋" w:hAnsi="仿宋" w:hint="eastAsia"/>
          <w:sz w:val="32"/>
          <w:szCs w:val="32"/>
        </w:rPr>
        <w:t>单位</w:t>
      </w:r>
      <w:r>
        <w:rPr>
          <w:rFonts w:ascii="仿宋" w:eastAsia="仿宋" w:hAnsi="仿宋" w:hint="eastAsia"/>
          <w:sz w:val="32"/>
          <w:szCs w:val="32"/>
        </w:rPr>
        <w:t>无其他需说明的事项。</w:t>
      </w:r>
    </w:p>
    <w:sectPr>
      <w:docGrid w:type="lines" w:linePitch="312" w:charSpace="0"/>
      <w:pgSz w:w="11906" w:h="16838"/>
      <w:pgMar w:left="1800" w:right="1800" w:top="1440" w:bottom="1440" w:header="851" w:footer="992" w:gutter="0"/>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等线 Light"/>
  <w:font w:name="Cambria"/>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GI3ZjhmMWVmM2U0NGJhNWVlZmQ2MDBlMjlhZGI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rsids>
    <w:rsidRoot val="00055F1F"/>
    <w:rsid val="00013B8A"/>
    <w:rsid val="00044FBC"/>
    <w:rsid val="00055F1F"/>
    <w:rsid val="000577EF"/>
    <w:rsid val="00057F18"/>
    <w:rsid val="000776C1"/>
    <w:rsid val="000A445D"/>
    <w:rsid val="000C178B"/>
    <w:rsid val="00131DEC"/>
    <w:rsid val="00136AB3"/>
    <w:rsid val="001462BD"/>
    <w:rsid val="00152380"/>
    <w:rsid val="00160D6F"/>
    <w:rsid val="001638BE"/>
    <w:rsid val="00164810"/>
    <w:rsid val="00172C7A"/>
    <w:rsid val="00181777"/>
    <w:rsid val="001B4688"/>
    <w:rsid val="001B6235"/>
    <w:rsid val="001F4875"/>
    <w:rsid val="00212335"/>
    <w:rsid val="002918C6"/>
    <w:rsid val="00291EF3"/>
    <w:rsid val="00296524"/>
    <w:rsid val="002E01F6"/>
    <w:rsid val="002F1ACB"/>
    <w:rsid val="002F530F"/>
    <w:rsid val="00305E97"/>
    <w:rsid val="00310532"/>
    <w:rsid val="0032782B"/>
    <w:rsid val="00340B3D"/>
    <w:rsid val="0034253A"/>
    <w:rsid val="003669CF"/>
    <w:rsid val="00367A30"/>
    <w:rsid val="003A06D2"/>
    <w:rsid val="003A4557"/>
    <w:rsid val="003A6366"/>
    <w:rsid val="003C2317"/>
    <w:rsid val="003C442E"/>
    <w:rsid val="003D1092"/>
    <w:rsid val="003D37CD"/>
    <w:rsid val="003E5531"/>
    <w:rsid val="003E555C"/>
    <w:rsid val="003E6AF3"/>
    <w:rsid val="0040243C"/>
    <w:rsid val="00406BD1"/>
    <w:rsid val="00426C19"/>
    <w:rsid val="00432EE4"/>
    <w:rsid val="004330A0"/>
    <w:rsid val="00450FD9"/>
    <w:rsid val="00453CE0"/>
    <w:rsid val="00470736"/>
    <w:rsid val="00470BBB"/>
    <w:rsid val="0048611E"/>
    <w:rsid val="004B6929"/>
    <w:rsid val="004E2F43"/>
    <w:rsid val="004E3572"/>
    <w:rsid val="004F3C52"/>
    <w:rsid val="00510A1E"/>
    <w:rsid val="005158E2"/>
    <w:rsid val="00524204"/>
    <w:rsid val="00525C90"/>
    <w:rsid val="00550049"/>
    <w:rsid val="00553F7E"/>
    <w:rsid val="00570142"/>
    <w:rsid val="00571474"/>
    <w:rsid val="00586C35"/>
    <w:rsid val="005B1B6F"/>
    <w:rsid val="005B6CCB"/>
    <w:rsid val="005C54AA"/>
    <w:rsid val="005C7B89"/>
    <w:rsid val="0062788A"/>
    <w:rsid val="00641F8A"/>
    <w:rsid val="006522B9"/>
    <w:rsid val="0066383B"/>
    <w:rsid val="00695FB6"/>
    <w:rsid val="006A6FA2"/>
    <w:rsid val="006B5117"/>
    <w:rsid val="006C62DF"/>
    <w:rsid val="006E1FF8"/>
    <w:rsid val="006F5104"/>
    <w:rsid val="006F6549"/>
    <w:rsid val="00735B02"/>
    <w:rsid val="007657C8"/>
    <w:rsid val="00767A77"/>
    <w:rsid val="00771E49"/>
    <w:rsid val="007809C1"/>
    <w:rsid val="00782208"/>
    <w:rsid val="00791938"/>
    <w:rsid val="007A5999"/>
    <w:rsid val="007C7FD7"/>
    <w:rsid val="007F3746"/>
    <w:rsid val="00833132"/>
    <w:rsid val="00845C67"/>
    <w:rsid val="0086454E"/>
    <w:rsid val="008672EA"/>
    <w:rsid val="00891680"/>
    <w:rsid val="008A0099"/>
    <w:rsid val="008A0B5F"/>
    <w:rsid val="008B5402"/>
    <w:rsid val="008D11BC"/>
    <w:rsid val="0090527E"/>
    <w:rsid val="00905BB7"/>
    <w:rsid val="0090620C"/>
    <w:rsid val="00910DEF"/>
    <w:rsid val="00912DA4"/>
    <w:rsid val="009302B8"/>
    <w:rsid val="009305C6"/>
    <w:rsid val="009752AE"/>
    <w:rsid val="00982F3D"/>
    <w:rsid val="00983232"/>
    <w:rsid val="009A278A"/>
    <w:rsid val="009B6368"/>
    <w:rsid val="009F63C4"/>
    <w:rsid val="00A16957"/>
    <w:rsid val="00A6155C"/>
    <w:rsid val="00A8079E"/>
    <w:rsid val="00A90328"/>
    <w:rsid val="00A92D66"/>
    <w:rsid val="00AA4262"/>
    <w:rsid val="00AB5A90"/>
    <w:rsid val="00AB7449"/>
    <w:rsid val="00AE4AA5"/>
    <w:rsid val="00AE7FA9"/>
    <w:rsid val="00B147EB"/>
    <w:rsid val="00B2035A"/>
    <w:rsid val="00B22155"/>
    <w:rsid val="00B42531"/>
    <w:rsid val="00B76AA9"/>
    <w:rsid val="00B80FAB"/>
    <w:rsid val="00B81C88"/>
    <w:rsid val="00BA5C83"/>
    <w:rsid val="00BB66D3"/>
    <w:rsid val="00BC6A7D"/>
    <w:rsid val="00BD2E71"/>
    <w:rsid val="00BD4829"/>
    <w:rsid val="00BD6002"/>
    <w:rsid val="00BD719F"/>
    <w:rsid val="00BF5442"/>
    <w:rsid val="00C177A5"/>
    <w:rsid val="00C22FB2"/>
    <w:rsid val="00C35FEE"/>
    <w:rsid val="00C50535"/>
    <w:rsid val="00C6153C"/>
    <w:rsid val="00C906EF"/>
    <w:rsid val="00CC7D74"/>
    <w:rsid val="00D02F97"/>
    <w:rsid val="00D45530"/>
    <w:rsid val="00D45A0E"/>
    <w:rsid val="00D45D23"/>
    <w:rsid val="00D4650C"/>
    <w:rsid val="00D723D1"/>
    <w:rsid val="00D80C60"/>
    <w:rsid val="00D8525F"/>
    <w:rsid val="00DA0C4D"/>
    <w:rsid val="00DA5DA7"/>
    <w:rsid val="00DE3935"/>
    <w:rsid val="00DE6B32"/>
    <w:rsid val="00DF26B8"/>
    <w:rsid val="00E12C68"/>
    <w:rsid val="00E2325B"/>
    <w:rsid val="00E24075"/>
    <w:rsid val="00E270C9"/>
    <w:rsid val="00E35F38"/>
    <w:rsid val="00E3639B"/>
    <w:rsid val="00E46F27"/>
    <w:rsid val="00E509CC"/>
    <w:rsid val="00E56DC0"/>
    <w:rsid val="00E71A04"/>
    <w:rsid val="00E90DA6"/>
    <w:rsid val="00E96342"/>
    <w:rsid val="00EA2FEA"/>
    <w:rsid val="00EA56CB"/>
    <w:rsid val="00EA7853"/>
    <w:rsid val="00EB5A7C"/>
    <w:rsid val="00F000B1"/>
    <w:rsid val="00F012D3"/>
    <w:rsid val="00F044C3"/>
    <w:rsid val="00F10D04"/>
    <w:rsid val="00F169E3"/>
    <w:rsid val="00F35D4B"/>
    <w:rsid val="00F3746B"/>
    <w:rsid val="00F46327"/>
    <w:rsid val="00F572CB"/>
    <w:rsid val="00F621AF"/>
    <w:rsid val="00F73E6C"/>
    <w:rsid val="00F8024E"/>
    <w:rsid val="00F82447"/>
    <w:rsid val="00F868E5"/>
    <w:rsid val="00FB2F32"/>
    <w:rsid val="00FC3191"/>
    <w:rsid val="00FE0F1F"/>
    <w:rsid val="00FF61F3"/>
    <w:rsid val="0A214432"/>
    <w:rsid val="17156297"/>
    <w:rsid val="27733670"/>
    <w:rsid val="3FE90711"/>
    <w:rsid val="4BB11B5F"/>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等线"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等线" w:hAnsiTheme="minorHAnsi" w:eastAsiaTheme="minorEastAsia" w:cstheme="minorBidi"/>
      <w:sz w:val="21"/>
      <w:szCs w:val="22"/>
    </w:rPr>
  </w:style>
  <w:style w:type="character" w:default="1" w:styleId="6">
    <w:name w:val="Default Paragraph Font"/>
    <w:semiHidden/>
    <w:unhideWhenUsed/>
    <w:uiPriority w:val="1"/>
  </w:style>
  <w:style w:type="table" w:default="1" w:styleId="5">
    <w:name w:val="Normal Table"/>
    <w:tblPr>
      <w:tblCellMar>
        <w:top w:w="0" w:type="dxa"/>
        <w:left w:w="108" w:type="dxa"/>
        <w:bottom w:w="0" w:type="dxa"/>
        <w:right w:w="108" w:type="dxa"/>
      </w:tblCellMar>
    </w:tblPr>
    <w:semiHidden/>
    <w:unhideWhenUsed/>
    <w:uiPriority w:val="99"/>
  </w:style>
  <w:style w:type="paragraph" w:styleId="2">
    <w:name w:val="Balloon Text"/>
    <w:qFormat/>
    <w:basedOn w:val="1"/>
    <w:link w:val="9"/>
    <w:semiHidden/>
    <w:unhideWhenUsed/>
    <w:uiPriority w:val="99"/>
    <w:rPr>
      <w:sz w:val="18"/>
      <w:szCs w:val="18"/>
    </w:rPr>
  </w:style>
  <w:style w:type="paragraph" w:styleId="3">
    <w:name w:val="footer"/>
    <w:qFormat/>
    <w:basedOn w:val="1"/>
    <w:link w:val="8"/>
    <w:unhideWhenUsed/>
    <w:uiPriority w:val="99"/>
    <w:pPr>
      <w:snapToGrid w:val="0"/>
      <w:jc w:val="left"/>
      <w:tabs>
        <w:tab w:val="center" w:pos="4153"/>
        <w:tab w:val="right" w:pos="8306"/>
      </w:tabs>
    </w:pPr>
    <w:rPr>
      <w:sz w:val="18"/>
      <w:szCs w:val="18"/>
    </w:rPr>
  </w:style>
  <w:style w:type="paragraph" w:styleId="4">
    <w:name w:val="header"/>
    <w:qFormat/>
    <w:basedOn w:val="1"/>
    <w:link w:val="7"/>
    <w:unhideWhenUsed/>
    <w:uiPriority w:val="99"/>
    <w:pPr>
      <w:snapToGrid w:val="0"/>
      <w:pBdr>
        <w:bottom w:val="single" w:sz="6" w:color="auto" w:space="1"/>
      </w:pBdr>
      <w:jc w:val="center"/>
      <w:tabs>
        <w:tab w:val="center" w:pos="4153"/>
        <w:tab w:val="right" w:pos="8306"/>
      </w:tabs>
    </w:pPr>
    <w:rPr>
      <w:sz w:val="18"/>
      <w:szCs w:val="18"/>
    </w:rPr>
  </w:style>
  <w:style w:type="character" w:styleId="7">
    <w:name w:val="页眉 字符"/>
    <w:qFormat/>
    <w:basedOn w:val="6"/>
    <w:link w:val="4"/>
    <w:uiPriority w:val="99"/>
    <w:rPr>
      <w:sz w:val="18"/>
      <w:szCs w:val="18"/>
    </w:rPr>
  </w:style>
  <w:style w:type="character" w:styleId="8">
    <w:name w:val="页脚 字符"/>
    <w:qFormat/>
    <w:basedOn w:val="6"/>
    <w:link w:val="3"/>
    <w:uiPriority w:val="99"/>
    <w:rPr>
      <w:sz w:val="18"/>
      <w:szCs w:val="18"/>
    </w:rPr>
  </w:style>
  <w:style w:type="character" w:styleId="9">
    <w:name w:val="批注框文本 字符"/>
    <w:qFormat/>
    <w:basedOn w:val="6"/>
    <w:link w:val="2"/>
    <w:semiHidden/>
    <w:uiPriority w:val="99"/>
    <w:rPr>
      <w:sz w:val="18"/>
      <w:szCs w:val="18"/>
    </w:rPr>
  </w:style>
  <w:style w:type="paragraph" w:styleId="10">
    <w:name w:val="插入文本样式-插入总体目标文件"/>
    <w:qFormat/>
    <w:basedOn w:val="1"/>
    <w:uiPriority w:val="0"/>
    <w:pPr>
      <w:widowControl/>
      <w:jc w:val="left"/>
      <w:ind w:firstLine="560"/>
      <w:spacing w:line="500" w:lineRule="exact"/>
    </w:pPr>
    <w:rPr>
      <w:kern w:val="0"/>
      <w:lang w:eastAsia="uk-UA"/>
      <w:rFonts w:ascii="Times New Roman" w:cs="Times New Roman" w:eastAsia="方正仿宋_GBK" w:hAnsi="Times New Roman"/>
      <w:sz w:val="28"/>
      <w:szCs w:val="24"/>
    </w:rPr>
  </w:style>
  <w:style w:type="paragraph" w:styleId="11">
    <w:name w:val="插入文本样式-插入职责分类绩效目标文件"/>
    <w:qFormat/>
    <w:basedOn w:val="1"/>
    <w:uiPriority w:val="0"/>
    <w:pPr>
      <w:widowControl/>
      <w:jc w:val="left"/>
      <w:ind w:firstLine="560"/>
      <w:spacing w:line="500" w:lineRule="exact"/>
    </w:pPr>
    <w:rPr>
      <w:kern w:val="0"/>
      <w:lang w:eastAsia="uk-UA"/>
      <w:rFonts w:ascii="Times New Roman" w:cs="Times New Roman" w:eastAsia="方正仿宋_GBK" w:hAnsi="Times New Roman"/>
      <w:sz w:val="28"/>
      <w:szCs w:val="24"/>
    </w:rPr>
  </w:style>
  <w:style w:type="paragraph" w:styleId="12">
    <w:name w:val="插入文本样式-插入实现年度发展规划目标的保障措施文件"/>
    <w:qFormat/>
    <w:basedOn w:val="1"/>
    <w:uiPriority w:val="0"/>
    <w:pPr>
      <w:widowControl/>
      <w:jc w:val="left"/>
      <w:ind w:firstLine="560"/>
      <w:spacing w:line="500" w:lineRule="exact"/>
    </w:pPr>
    <w:rPr>
      <w:kern w:val="0"/>
      <w:lang w:eastAsia="uk-UA"/>
      <w:rFonts w:ascii="Times New Roman" w:cs="Times New Roman" w:eastAsia="方正仿宋_GBK" w:hAnsi="Times New Roman"/>
      <w:sz w:val="28"/>
      <w:szCs w:val="24"/>
    </w:rPr>
  </w:style>
  <w:style w:type="paragraph" w:styleId="13">
    <w:name w:val="单元格样式4"/>
    <w:qFormat/>
    <w:basedOn w:val="1"/>
    <w:uiPriority w:val="0"/>
    <w:pPr>
      <w:widowControl/>
      <w:jc w:val="right"/>
    </w:pPr>
    <w:rPr>
      <w:kern w:val="0"/>
      <w:lang w:eastAsia="uk-UA"/>
      <w:rFonts w:ascii="方正书宋_GBK" w:cs="方正书宋_GBK" w:eastAsia="方正书宋_GBK" w:hAnsi="方正书宋_GBK"/>
      <w:szCs w:val="24"/>
    </w:rPr>
  </w:style>
  <w:style w:type="paragraph" w:styleId="14">
    <w:name w:val="单元格样式5"/>
    <w:qFormat/>
    <w:basedOn w:val="1"/>
    <w:uiPriority w:val="0"/>
    <w:pPr>
      <w:widowControl/>
      <w:jc w:val="left"/>
    </w:pPr>
    <w:rPr>
      <w:kern w:val="0"/>
      <w:lang w:eastAsia="uk-UA"/>
      <w:b/>
      <w:rFonts w:ascii="方正书宋_GBK" w:cs="方正书宋_GBK" w:eastAsia="方正书宋_GBK" w:hAnsi="方正书宋_GBK"/>
      <w:szCs w:val="24"/>
    </w:rPr>
  </w:style>
  <w:style w:type="paragraph" w:styleId="15">
    <w:name w:val="单元格样式2"/>
    <w:qFormat/>
    <w:basedOn w:val="1"/>
    <w:uiPriority w:val="0"/>
    <w:pPr>
      <w:widowControl/>
      <w:jc w:val="left"/>
    </w:pPr>
    <w:rPr>
      <w:kern w:val="0"/>
      <w:lang w:eastAsia="uk-UA"/>
      <w:rFonts w:ascii="方正书宋_GBK" w:cs="方正书宋_GBK" w:eastAsia="方正书宋_GBK" w:hAnsi="方正书宋_GBK"/>
      <w:szCs w:val="24"/>
    </w:rPr>
  </w:style>
  <w:style w:type="paragraph" w:styleId="16">
    <w:name w:val="单元格样式1"/>
    <w:qFormat/>
    <w:basedOn w:val="1"/>
    <w:uiPriority w:val="0"/>
    <w:pPr>
      <w:widowControl/>
      <w:jc w:val="center"/>
    </w:pPr>
    <w:rPr>
      <w:kern w:val="0"/>
      <w:lang w:eastAsia="uk-UA"/>
      <w:b/>
      <w:rFonts w:ascii="方正书宋_GBK" w:cs="方正书宋_GBK" w:eastAsia="方正书宋_GBK" w:hAnsi="方正书宋_GBK"/>
      <w:szCs w:val="24"/>
    </w:rPr>
  </w:style>
  <w:style w:type="paragraph" w:styleId="17">
    <w:name w:val="单元格样式3"/>
    <w:qFormat/>
    <w:basedOn w:val="1"/>
    <w:uiPriority w:val="0"/>
    <w:pPr>
      <w:widowControl/>
      <w:jc w:val="center"/>
    </w:pPr>
    <w:rPr>
      <w:kern w:val="0"/>
      <w:lang w:eastAsia="uk-UA"/>
      <w:rFonts w:ascii="方正书宋_GBK" w:cs="方正书宋_GBK" w:eastAsia="方正书宋_GBK" w:hAnsi="方正书宋_GBK"/>
      <w:szCs w:val="24"/>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6F7D1-7F53-4B46-AE64-3C83027247C8}">
  <ds:schemaRefs/>
</ds:datastoreItem>
</file>

<file path=docProps/app.xml><?xml version="1.0" encoding="utf-8"?>
<Properties xmlns="http://schemas.openxmlformats.org/officeDocument/2006/extended-properties" xmlns:vt="http://schemas.openxmlformats.org/officeDocument/2006/docPropsVTypes">
  <Template>Normal</Template>
  <Pages>11</Pages>
  <Words>3612</Words>
  <Characters>3820</Characters>
  <Lines>30</Lines>
  <Paragraphs>8</Paragraphs>
  <TotalTime>37</TotalTime>
  <ScaleCrop>false</ScaleCrop>
  <LinksUpToDate>false</LinksUpToDate>
  <CharactersWithSpaces>3899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2022-03-04T02:35:00Z</dcterms:created>
  <dc:creator>Windows 用户</dc:creator>
  <cp:lastModifiedBy>Administrator</cp:lastModifiedBy>
  <cp:lastPrinted>2021-04-14T02:06:00Z</cp:lastPrinted>
  <dcterms:modified xsi:type="dcterms:W3CDTF">2022-07-19T07:29:22Z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76EAFEA3433E47EF9BBEB116C4FC5C2C</vt:lpwstr>
  </property>
</Properties>
</file>