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t>5</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t>7</w:t>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t>8</w:t>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t>11</w:t>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t>12</w:t>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t>14</w:t>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t>15</w:t>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t>18</w:t>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t>18</w:t>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t>19</w:t>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19</w:t>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t>20</w:t>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
    <w:p/>
    <w:p/>
    <w:p/>
    <w:p/>
    <w:p/>
    <w:p/>
    <w:p/>
    <w:p/>
    <w:p/>
    <w:p/>
    <w:p/>
    <w:p>
      <w:pPr>
        <w:jc w:val="cente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430保定市徐水区机关服务中心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t>一、一般公共预算拨款收入</w:t>
            </w:r>
          </w:p>
        </w:tc>
        <w:tc>
          <w:tcPr>
            <w:tcW w:w="2126" w:type="dxa"/>
            <w:vAlign w:val="center"/>
          </w:tcPr>
          <w:p>
            <w:pPr>
              <w:pStyle w:val="15"/>
            </w:pPr>
            <w:r>
              <w:t>1116.77</w:t>
            </w:r>
          </w:p>
        </w:tc>
        <w:tc>
          <w:tcPr>
            <w:tcW w:w="4535" w:type="dxa"/>
            <w:vAlign w:val="center"/>
          </w:tcPr>
          <w:p>
            <w:pPr>
              <w:pStyle w:val="14"/>
            </w:pPr>
            <w:r>
              <w:t>一、一般公共服务支出</w:t>
            </w:r>
          </w:p>
        </w:tc>
        <w:tc>
          <w:tcPr>
            <w:tcW w:w="2126" w:type="dxa"/>
            <w:vAlign w:val="center"/>
          </w:tcPr>
          <w:p>
            <w:pPr>
              <w:pStyle w:val="15"/>
            </w:pPr>
            <w:r>
              <w:t>956.63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t>五、事业收入</w:t>
            </w:r>
          </w:p>
        </w:tc>
        <w:tc>
          <w:tcPr>
            <w:tcW w:w="2126" w:type="dxa"/>
            <w:vAlign w:val="center"/>
          </w:tcPr>
          <w:p>
            <w:pPr>
              <w:pStyle w:val="15"/>
            </w:pPr>
          </w:p>
        </w:tc>
        <w:tc>
          <w:tcPr>
            <w:tcW w:w="4535" w:type="dxa"/>
            <w:vAlign w:val="center"/>
          </w:tcPr>
          <w:p>
            <w:pPr>
              <w:pStyle w:val="14"/>
            </w:pPr>
            <w:r>
              <w:t>五、教育支出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r>
              <w:t>六、事业单位经营收入</w:t>
            </w: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r>
              <w:t>七、上级补助收入</w:t>
            </w: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r>
              <w:t>八、附属单位上缴收入</w:t>
            </w: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r>
              <w:t>124.46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r>
              <w:t>九、其他收入</w:t>
            </w:r>
          </w:p>
        </w:tc>
        <w:tc>
          <w:tcPr>
            <w:tcW w:w="2126" w:type="dxa"/>
            <w:vAlign w:val="center"/>
          </w:tcPr>
          <w:p>
            <w:pPr>
              <w:pStyle w:val="15"/>
            </w:pPr>
            <w:r>
              <w:t>0.10</w:t>
            </w:r>
          </w:p>
        </w:tc>
        <w:tc>
          <w:tcPr>
            <w:tcW w:w="4535" w:type="dxa"/>
            <w:vAlign w:val="center"/>
          </w:tcPr>
          <w:p>
            <w:pPr>
              <w:pStyle w:val="14"/>
            </w:pPr>
            <w:r>
              <w:t>九、社会保险基金支出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r>
              <w:t>14.04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6"/>
            </w:pPr>
            <w:r>
              <w:t>本年收入合计</w:t>
            </w:r>
          </w:p>
        </w:tc>
        <w:tc>
          <w:tcPr>
            <w:tcW w:w="2126" w:type="dxa"/>
            <w:vAlign w:val="center"/>
          </w:tcPr>
          <w:p>
            <w:pPr>
              <w:pStyle w:val="17"/>
            </w:pPr>
            <w:r>
              <w:t>1116.87</w:t>
            </w:r>
          </w:p>
        </w:tc>
        <w:tc>
          <w:tcPr>
            <w:tcW w:w="4535" w:type="dxa"/>
            <w:vAlign w:val="center"/>
          </w:tcPr>
          <w:p>
            <w:pPr>
              <w:pStyle w:val="16"/>
            </w:pPr>
            <w:r>
              <w:t>本年支出合计</w:t>
            </w:r>
          </w:p>
        </w:tc>
        <w:tc>
          <w:tcPr>
            <w:tcW w:w="2126" w:type="dxa"/>
            <w:vAlign w:val="center"/>
          </w:tcPr>
          <w:p>
            <w:pPr>
              <w:pStyle w:val="17"/>
            </w:pPr>
            <w:r>
              <w:t>1116.87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上年结转结余</w:t>
            </w:r>
          </w:p>
        </w:tc>
        <w:tc>
          <w:tcPr>
            <w:tcW w:w="2126" w:type="dxa"/>
            <w:vAlign w:val="center"/>
          </w:tcPr>
          <w:p>
            <w:pPr>
              <w:pStyle w:val="15"/>
            </w:pP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6"/>
            </w:pPr>
            <w:r>
              <w:t>收入总计</w:t>
            </w:r>
          </w:p>
        </w:tc>
        <w:tc>
          <w:tcPr>
            <w:tcW w:w="2126" w:type="dxa"/>
            <w:vAlign w:val="center"/>
          </w:tcPr>
          <w:p>
            <w:pPr>
              <w:pStyle w:val="17"/>
            </w:pPr>
            <w:r>
              <w:t>1116.87</w:t>
            </w:r>
          </w:p>
        </w:tc>
        <w:tc>
          <w:tcPr>
            <w:tcW w:w="4535" w:type="dxa"/>
            <w:vAlign w:val="center"/>
          </w:tcPr>
          <w:p>
            <w:pPr>
              <w:pStyle w:val="16"/>
            </w:pPr>
            <w:r>
              <w:t>支出总计</w:t>
            </w:r>
          </w:p>
        </w:tc>
        <w:tc>
          <w:tcPr>
            <w:tcW w:w="2126" w:type="dxa"/>
            <w:vAlign w:val="center"/>
          </w:tcPr>
          <w:p>
            <w:pPr>
              <w:pStyle w:val="17"/>
            </w:pPr>
            <w:r>
              <w:t>1116.87</w:t>
            </w:r>
          </w:p>
        </w:tc>
      </w:tr>
    </w:tbl>
    <w:p>
      <w:pPr>
        <w:sectPr>
          <w:footerReference r:id="rId3" w:type="default"/>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430保定市徐水区机关服务中心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1116.87</w:t>
            </w:r>
          </w:p>
        </w:tc>
        <w:tc>
          <w:tcPr>
            <w:tcW w:w="1134" w:type="dxa"/>
            <w:vAlign w:val="center"/>
          </w:tcPr>
          <w:p>
            <w:pPr>
              <w:pStyle w:val="17"/>
            </w:pPr>
            <w:r>
              <w:t>1116.87</w:t>
            </w:r>
          </w:p>
        </w:tc>
        <w:tc>
          <w:tcPr>
            <w:tcW w:w="1134" w:type="dxa"/>
            <w:vAlign w:val="center"/>
          </w:tcPr>
          <w:p>
            <w:pPr>
              <w:pStyle w:val="17"/>
            </w:pPr>
            <w:r>
              <w:t>1116.77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0.10</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5"/>
            </w:pPr>
            <w:r>
              <w:t>956.63</w:t>
            </w:r>
          </w:p>
        </w:tc>
        <w:tc>
          <w:tcPr>
            <w:tcW w:w="1134" w:type="dxa"/>
            <w:vAlign w:val="center"/>
          </w:tcPr>
          <w:p>
            <w:pPr>
              <w:pStyle w:val="15"/>
            </w:pPr>
            <w:r>
              <w:t>956.63</w:t>
            </w:r>
          </w:p>
        </w:tc>
        <w:tc>
          <w:tcPr>
            <w:tcW w:w="1134" w:type="dxa"/>
            <w:vAlign w:val="center"/>
          </w:tcPr>
          <w:p>
            <w:pPr>
              <w:pStyle w:val="15"/>
            </w:pPr>
            <w:r>
              <w:t>956.53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5"/>
            </w:pPr>
            <w:r>
              <w:t>956.63</w:t>
            </w:r>
          </w:p>
        </w:tc>
        <w:tc>
          <w:tcPr>
            <w:tcW w:w="1134" w:type="dxa"/>
            <w:vAlign w:val="center"/>
          </w:tcPr>
          <w:p>
            <w:pPr>
              <w:pStyle w:val="15"/>
            </w:pPr>
            <w:r>
              <w:t>956.63</w:t>
            </w:r>
          </w:p>
        </w:tc>
        <w:tc>
          <w:tcPr>
            <w:tcW w:w="1134" w:type="dxa"/>
            <w:vAlign w:val="center"/>
          </w:tcPr>
          <w:p>
            <w:pPr>
              <w:pStyle w:val="15"/>
            </w:pPr>
            <w:r>
              <w:t>956.53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2010303</w:t>
            </w:r>
          </w:p>
        </w:tc>
        <w:tc>
          <w:tcPr>
            <w:tcW w:w="1559" w:type="dxa"/>
            <w:vAlign w:val="center"/>
          </w:tcPr>
          <w:p>
            <w:pPr>
              <w:pStyle w:val="14"/>
            </w:pPr>
            <w:r>
              <w:t>机关服务</w:t>
            </w:r>
          </w:p>
        </w:tc>
        <w:tc>
          <w:tcPr>
            <w:tcW w:w="1134" w:type="dxa"/>
            <w:vAlign w:val="center"/>
          </w:tcPr>
          <w:p>
            <w:pPr>
              <w:pStyle w:val="15"/>
            </w:pPr>
            <w:r>
              <w:t>956.63</w:t>
            </w:r>
          </w:p>
        </w:tc>
        <w:tc>
          <w:tcPr>
            <w:tcW w:w="1134" w:type="dxa"/>
            <w:vAlign w:val="center"/>
          </w:tcPr>
          <w:p>
            <w:pPr>
              <w:pStyle w:val="15"/>
            </w:pPr>
            <w:r>
              <w:t>956.63</w:t>
            </w:r>
          </w:p>
        </w:tc>
        <w:tc>
          <w:tcPr>
            <w:tcW w:w="1134" w:type="dxa"/>
            <w:vAlign w:val="center"/>
          </w:tcPr>
          <w:p>
            <w:pPr>
              <w:pStyle w:val="15"/>
            </w:pPr>
            <w:r>
              <w:t>956.53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5"/>
            </w:pPr>
            <w:r>
              <w:t>124.46</w:t>
            </w:r>
          </w:p>
        </w:tc>
        <w:tc>
          <w:tcPr>
            <w:tcW w:w="1134" w:type="dxa"/>
            <w:vAlign w:val="center"/>
          </w:tcPr>
          <w:p>
            <w:pPr>
              <w:pStyle w:val="15"/>
            </w:pPr>
            <w:r>
              <w:t>124.46</w:t>
            </w:r>
          </w:p>
        </w:tc>
        <w:tc>
          <w:tcPr>
            <w:tcW w:w="1134" w:type="dxa"/>
            <w:vAlign w:val="center"/>
          </w:tcPr>
          <w:p>
            <w:pPr>
              <w:pStyle w:val="15"/>
            </w:pPr>
            <w:r>
              <w:t>124.46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5"/>
            </w:pPr>
            <w:r>
              <w:t>124.46</w:t>
            </w:r>
          </w:p>
        </w:tc>
        <w:tc>
          <w:tcPr>
            <w:tcW w:w="1134" w:type="dxa"/>
            <w:vAlign w:val="center"/>
          </w:tcPr>
          <w:p>
            <w:pPr>
              <w:pStyle w:val="15"/>
            </w:pPr>
            <w:r>
              <w:t>124.46</w:t>
            </w:r>
          </w:p>
        </w:tc>
        <w:tc>
          <w:tcPr>
            <w:tcW w:w="1134" w:type="dxa"/>
            <w:vAlign w:val="center"/>
          </w:tcPr>
          <w:p>
            <w:pPr>
              <w:pStyle w:val="15"/>
            </w:pPr>
            <w:r>
              <w:t>124.46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5"/>
            </w:pPr>
            <w:r>
              <w:t>98.01</w:t>
            </w:r>
          </w:p>
        </w:tc>
        <w:tc>
          <w:tcPr>
            <w:tcW w:w="1134" w:type="dxa"/>
            <w:vAlign w:val="center"/>
          </w:tcPr>
          <w:p>
            <w:pPr>
              <w:pStyle w:val="15"/>
            </w:pPr>
            <w:r>
              <w:t>98.01</w:t>
            </w:r>
          </w:p>
        </w:tc>
        <w:tc>
          <w:tcPr>
            <w:tcW w:w="1134" w:type="dxa"/>
            <w:vAlign w:val="center"/>
          </w:tcPr>
          <w:p>
            <w:pPr>
              <w:pStyle w:val="15"/>
            </w:pPr>
            <w:r>
              <w:t>98.01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5"/>
            </w:pPr>
            <w:r>
              <w:t>26.45</w:t>
            </w:r>
          </w:p>
        </w:tc>
        <w:tc>
          <w:tcPr>
            <w:tcW w:w="1134" w:type="dxa"/>
            <w:vAlign w:val="center"/>
          </w:tcPr>
          <w:p>
            <w:pPr>
              <w:pStyle w:val="15"/>
            </w:pPr>
            <w:r>
              <w:t>26.45</w:t>
            </w:r>
          </w:p>
        </w:tc>
        <w:tc>
          <w:tcPr>
            <w:tcW w:w="1134" w:type="dxa"/>
            <w:vAlign w:val="center"/>
          </w:tcPr>
          <w:p>
            <w:pPr>
              <w:pStyle w:val="15"/>
            </w:pPr>
            <w:r>
              <w:t>26.45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5"/>
            </w:pPr>
            <w:r>
              <w:t>21.75</w:t>
            </w:r>
          </w:p>
        </w:tc>
        <w:tc>
          <w:tcPr>
            <w:tcW w:w="1134" w:type="dxa"/>
            <w:vAlign w:val="center"/>
          </w:tcPr>
          <w:p>
            <w:pPr>
              <w:pStyle w:val="15"/>
            </w:pPr>
            <w:r>
              <w:t>21.75</w:t>
            </w:r>
          </w:p>
        </w:tc>
        <w:tc>
          <w:tcPr>
            <w:tcW w:w="1134" w:type="dxa"/>
            <w:vAlign w:val="center"/>
          </w:tcPr>
          <w:p>
            <w:pPr>
              <w:pStyle w:val="15"/>
            </w:pPr>
            <w:r>
              <w:t>21.75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5"/>
            </w:pPr>
            <w:r>
              <w:t>21.75</w:t>
            </w:r>
          </w:p>
        </w:tc>
        <w:tc>
          <w:tcPr>
            <w:tcW w:w="1134" w:type="dxa"/>
            <w:vAlign w:val="center"/>
          </w:tcPr>
          <w:p>
            <w:pPr>
              <w:pStyle w:val="15"/>
            </w:pPr>
            <w:r>
              <w:t>21.75</w:t>
            </w:r>
          </w:p>
        </w:tc>
        <w:tc>
          <w:tcPr>
            <w:tcW w:w="1134" w:type="dxa"/>
            <w:vAlign w:val="center"/>
          </w:tcPr>
          <w:p>
            <w:pPr>
              <w:pStyle w:val="15"/>
            </w:pPr>
            <w:r>
              <w:t>21.75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5"/>
            </w:pPr>
            <w:r>
              <w:t>21.75</w:t>
            </w:r>
          </w:p>
        </w:tc>
        <w:tc>
          <w:tcPr>
            <w:tcW w:w="1134" w:type="dxa"/>
            <w:vAlign w:val="center"/>
          </w:tcPr>
          <w:p>
            <w:pPr>
              <w:pStyle w:val="15"/>
            </w:pPr>
            <w:r>
              <w:t>21.75</w:t>
            </w:r>
          </w:p>
        </w:tc>
        <w:tc>
          <w:tcPr>
            <w:tcW w:w="1134" w:type="dxa"/>
            <w:vAlign w:val="center"/>
          </w:tcPr>
          <w:p>
            <w:pPr>
              <w:pStyle w:val="15"/>
            </w:pPr>
            <w:r>
              <w:t>21.75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1116.87</w:t>
            </w:r>
          </w:p>
        </w:tc>
        <w:tc>
          <w:tcPr>
            <w:tcW w:w="1361" w:type="dxa"/>
            <w:vAlign w:val="center"/>
          </w:tcPr>
          <w:p>
            <w:pPr>
              <w:pStyle w:val="17"/>
            </w:pPr>
            <w:r>
              <w:t>574.04</w:t>
            </w:r>
          </w:p>
        </w:tc>
        <w:tc>
          <w:tcPr>
            <w:tcW w:w="1361" w:type="dxa"/>
            <w:vAlign w:val="center"/>
          </w:tcPr>
          <w:p>
            <w:pPr>
              <w:pStyle w:val="17"/>
            </w:pPr>
            <w:r>
              <w:t>542.83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5"/>
            </w:pPr>
            <w:r>
              <w:t>956.63</w:t>
            </w:r>
          </w:p>
        </w:tc>
        <w:tc>
          <w:tcPr>
            <w:tcW w:w="1361" w:type="dxa"/>
            <w:vAlign w:val="center"/>
          </w:tcPr>
          <w:p>
            <w:pPr>
              <w:pStyle w:val="15"/>
            </w:pPr>
            <w:r>
              <w:t>413.79</w:t>
            </w:r>
          </w:p>
        </w:tc>
        <w:tc>
          <w:tcPr>
            <w:tcW w:w="1361" w:type="dxa"/>
            <w:vAlign w:val="center"/>
          </w:tcPr>
          <w:p>
            <w:pPr>
              <w:pStyle w:val="15"/>
            </w:pPr>
            <w:r>
              <w:t>542.83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5"/>
            </w:pPr>
            <w:r>
              <w:t>956.63</w:t>
            </w:r>
          </w:p>
        </w:tc>
        <w:tc>
          <w:tcPr>
            <w:tcW w:w="1361" w:type="dxa"/>
            <w:vAlign w:val="center"/>
          </w:tcPr>
          <w:p>
            <w:pPr>
              <w:pStyle w:val="15"/>
            </w:pPr>
            <w:r>
              <w:t>413.79</w:t>
            </w:r>
          </w:p>
        </w:tc>
        <w:tc>
          <w:tcPr>
            <w:tcW w:w="1361" w:type="dxa"/>
            <w:vAlign w:val="center"/>
          </w:tcPr>
          <w:p>
            <w:pPr>
              <w:pStyle w:val="15"/>
            </w:pPr>
            <w:r>
              <w:t>542.83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2010303</w:t>
            </w:r>
          </w:p>
        </w:tc>
        <w:tc>
          <w:tcPr>
            <w:tcW w:w="4535" w:type="dxa"/>
            <w:vAlign w:val="center"/>
          </w:tcPr>
          <w:p>
            <w:pPr>
              <w:pStyle w:val="14"/>
            </w:pPr>
            <w:r>
              <w:t>机关服务</w:t>
            </w:r>
          </w:p>
        </w:tc>
        <w:tc>
          <w:tcPr>
            <w:tcW w:w="1361" w:type="dxa"/>
            <w:vAlign w:val="center"/>
          </w:tcPr>
          <w:p>
            <w:pPr>
              <w:pStyle w:val="15"/>
            </w:pPr>
            <w:r>
              <w:t>956.63</w:t>
            </w:r>
          </w:p>
        </w:tc>
        <w:tc>
          <w:tcPr>
            <w:tcW w:w="1361" w:type="dxa"/>
            <w:vAlign w:val="center"/>
          </w:tcPr>
          <w:p>
            <w:pPr>
              <w:pStyle w:val="15"/>
            </w:pPr>
            <w:r>
              <w:t>413.79</w:t>
            </w:r>
          </w:p>
        </w:tc>
        <w:tc>
          <w:tcPr>
            <w:tcW w:w="1361" w:type="dxa"/>
            <w:vAlign w:val="center"/>
          </w:tcPr>
          <w:p>
            <w:pPr>
              <w:pStyle w:val="15"/>
            </w:pPr>
            <w:r>
              <w:t>542.83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5"/>
            </w:pPr>
            <w:r>
              <w:t>124.46</w:t>
            </w:r>
          </w:p>
        </w:tc>
        <w:tc>
          <w:tcPr>
            <w:tcW w:w="1361" w:type="dxa"/>
            <w:vAlign w:val="center"/>
          </w:tcPr>
          <w:p>
            <w:pPr>
              <w:pStyle w:val="15"/>
            </w:pPr>
            <w:r>
              <w:t>124.46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5"/>
            </w:pPr>
            <w:r>
              <w:t>124.46</w:t>
            </w:r>
          </w:p>
        </w:tc>
        <w:tc>
          <w:tcPr>
            <w:tcW w:w="1361" w:type="dxa"/>
            <w:vAlign w:val="center"/>
          </w:tcPr>
          <w:p>
            <w:pPr>
              <w:pStyle w:val="15"/>
            </w:pPr>
            <w:r>
              <w:t>124.46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5"/>
            </w:pPr>
            <w:r>
              <w:t>98.01</w:t>
            </w:r>
          </w:p>
        </w:tc>
        <w:tc>
          <w:tcPr>
            <w:tcW w:w="1361" w:type="dxa"/>
            <w:vAlign w:val="center"/>
          </w:tcPr>
          <w:p>
            <w:pPr>
              <w:pStyle w:val="15"/>
            </w:pPr>
            <w:r>
              <w:t>98.01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5"/>
            </w:pPr>
            <w:r>
              <w:t>26.45</w:t>
            </w:r>
          </w:p>
        </w:tc>
        <w:tc>
          <w:tcPr>
            <w:tcW w:w="1361" w:type="dxa"/>
            <w:vAlign w:val="center"/>
          </w:tcPr>
          <w:p>
            <w:pPr>
              <w:pStyle w:val="15"/>
            </w:pPr>
            <w:r>
              <w:t>26.45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5"/>
            </w:pPr>
            <w:r>
              <w:t>14.04</w:t>
            </w:r>
          </w:p>
        </w:tc>
        <w:tc>
          <w:tcPr>
            <w:tcW w:w="1361" w:type="dxa"/>
            <w:vAlign w:val="center"/>
          </w:tcPr>
          <w:p>
            <w:pPr>
              <w:pStyle w:val="15"/>
            </w:pPr>
            <w:r>
              <w:t>14.04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5"/>
            </w:pPr>
            <w:r>
              <w:t>14.04</w:t>
            </w:r>
          </w:p>
        </w:tc>
        <w:tc>
          <w:tcPr>
            <w:tcW w:w="1361" w:type="dxa"/>
            <w:vAlign w:val="center"/>
          </w:tcPr>
          <w:p>
            <w:pPr>
              <w:pStyle w:val="15"/>
            </w:pPr>
            <w:r>
              <w:t>14.04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5"/>
            </w:pPr>
            <w:r>
              <w:t>14.04</w:t>
            </w:r>
          </w:p>
        </w:tc>
        <w:tc>
          <w:tcPr>
            <w:tcW w:w="1361" w:type="dxa"/>
            <w:vAlign w:val="center"/>
          </w:tcPr>
          <w:p>
            <w:pPr>
              <w:pStyle w:val="15"/>
            </w:pPr>
            <w:r>
              <w:t>14.04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5"/>
            </w:pPr>
            <w:r>
              <w:t>21.75</w:t>
            </w:r>
          </w:p>
        </w:tc>
        <w:tc>
          <w:tcPr>
            <w:tcW w:w="1361" w:type="dxa"/>
            <w:vAlign w:val="center"/>
          </w:tcPr>
          <w:p>
            <w:pPr>
              <w:pStyle w:val="15"/>
            </w:pPr>
            <w:r>
              <w:t>21.75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5"/>
            </w:pPr>
            <w:r>
              <w:t>21.75</w:t>
            </w:r>
          </w:p>
        </w:tc>
        <w:tc>
          <w:tcPr>
            <w:tcW w:w="1361" w:type="dxa"/>
            <w:vAlign w:val="center"/>
          </w:tcPr>
          <w:p>
            <w:pPr>
              <w:pStyle w:val="15"/>
            </w:pPr>
            <w:r>
              <w:t>21.75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5"/>
            </w:pPr>
            <w:r>
              <w:t>21.75</w:t>
            </w:r>
          </w:p>
        </w:tc>
        <w:tc>
          <w:tcPr>
            <w:tcW w:w="1361" w:type="dxa"/>
            <w:vAlign w:val="center"/>
          </w:tcPr>
          <w:p>
            <w:pPr>
              <w:pStyle w:val="15"/>
            </w:pPr>
            <w:r>
              <w:t>21.75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1116.77</w:t>
            </w:r>
          </w:p>
        </w:tc>
        <w:tc>
          <w:tcPr>
            <w:tcW w:w="3402" w:type="dxa"/>
            <w:vAlign w:val="center"/>
          </w:tcPr>
          <w:p>
            <w:pPr>
              <w:pStyle w:val="14"/>
            </w:pPr>
            <w:r>
              <w:t>一、一般公共服务支出</w:t>
            </w:r>
          </w:p>
        </w:tc>
        <w:tc>
          <w:tcPr>
            <w:tcW w:w="1474" w:type="dxa"/>
            <w:vAlign w:val="center"/>
          </w:tcPr>
          <w:p>
            <w:pPr>
              <w:pStyle w:val="15"/>
            </w:pPr>
            <w:r>
              <w:t>956.53</w:t>
            </w:r>
          </w:p>
        </w:tc>
        <w:tc>
          <w:tcPr>
            <w:tcW w:w="1474" w:type="dxa"/>
            <w:vAlign w:val="center"/>
          </w:tcPr>
          <w:p>
            <w:pPr>
              <w:pStyle w:val="15"/>
            </w:pPr>
            <w:r>
              <w:t>956.53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r>
              <w:t>124.46</w:t>
            </w:r>
          </w:p>
        </w:tc>
        <w:tc>
          <w:tcPr>
            <w:tcW w:w="1474" w:type="dxa"/>
            <w:vAlign w:val="center"/>
          </w:tcPr>
          <w:p>
            <w:pPr>
              <w:pStyle w:val="15"/>
            </w:pPr>
            <w:r>
              <w:t>124.46</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r>
              <w:t>14.04</w:t>
            </w:r>
          </w:p>
        </w:tc>
        <w:tc>
          <w:tcPr>
            <w:tcW w:w="1474" w:type="dxa"/>
            <w:vAlign w:val="center"/>
          </w:tcPr>
          <w:p>
            <w:pPr>
              <w:pStyle w:val="15"/>
            </w:pPr>
            <w:r>
              <w:t>14.04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r>
              <w:t>21.75</w:t>
            </w:r>
          </w:p>
        </w:tc>
        <w:tc>
          <w:tcPr>
            <w:tcW w:w="1474" w:type="dxa"/>
            <w:vAlign w:val="center"/>
          </w:tcPr>
          <w:p>
            <w:pPr>
              <w:pStyle w:val="15"/>
            </w:pPr>
            <w:r>
              <w:t>21.75</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1116.77</w:t>
            </w:r>
          </w:p>
        </w:tc>
        <w:tc>
          <w:tcPr>
            <w:tcW w:w="3402" w:type="dxa"/>
            <w:vAlign w:val="center"/>
          </w:tcPr>
          <w:p>
            <w:pPr>
              <w:pStyle w:val="16"/>
            </w:pPr>
            <w:r>
              <w:t>本年支出合计</w:t>
            </w:r>
          </w:p>
        </w:tc>
        <w:tc>
          <w:tcPr>
            <w:tcW w:w="1474" w:type="dxa"/>
            <w:vAlign w:val="center"/>
          </w:tcPr>
          <w:p>
            <w:pPr>
              <w:pStyle w:val="17"/>
            </w:pPr>
            <w:r>
              <w:t>1116.77</w:t>
            </w:r>
          </w:p>
        </w:tc>
        <w:tc>
          <w:tcPr>
            <w:tcW w:w="1474" w:type="dxa"/>
            <w:vAlign w:val="center"/>
          </w:tcPr>
          <w:p>
            <w:pPr>
              <w:pStyle w:val="17"/>
            </w:pPr>
            <w:r>
              <w:t>1116.77</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1116.77</w:t>
            </w:r>
          </w:p>
        </w:tc>
        <w:tc>
          <w:tcPr>
            <w:tcW w:w="3402" w:type="dxa"/>
            <w:vAlign w:val="center"/>
          </w:tcPr>
          <w:p>
            <w:pPr>
              <w:pStyle w:val="16"/>
            </w:pPr>
            <w:r>
              <w:t>支出总计</w:t>
            </w:r>
          </w:p>
        </w:tc>
        <w:tc>
          <w:tcPr>
            <w:tcW w:w="1474" w:type="dxa"/>
            <w:vAlign w:val="center"/>
          </w:tcPr>
          <w:p>
            <w:pPr>
              <w:pStyle w:val="17"/>
            </w:pPr>
            <w:r>
              <w:t>1116.77</w:t>
            </w:r>
          </w:p>
        </w:tc>
        <w:tc>
          <w:tcPr>
            <w:tcW w:w="1474" w:type="dxa"/>
            <w:vAlign w:val="center"/>
          </w:tcPr>
          <w:p>
            <w:pPr>
              <w:pStyle w:val="17"/>
            </w:pPr>
            <w:r>
              <w:t>1116.77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1116.77</w:t>
            </w:r>
          </w:p>
        </w:tc>
        <w:tc>
          <w:tcPr>
            <w:tcW w:w="2551" w:type="dxa"/>
            <w:vAlign w:val="center"/>
          </w:tcPr>
          <w:p>
            <w:pPr>
              <w:pStyle w:val="17"/>
            </w:pPr>
            <w:r>
              <w:t>574.04</w:t>
            </w:r>
          </w:p>
        </w:tc>
        <w:tc>
          <w:tcPr>
            <w:tcW w:w="2551" w:type="dxa"/>
            <w:vAlign w:val="center"/>
          </w:tcPr>
          <w:p>
            <w:pPr>
              <w:pStyle w:val="17"/>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5"/>
            </w:pPr>
            <w:r>
              <w:t>956.53</w:t>
            </w:r>
          </w:p>
        </w:tc>
        <w:tc>
          <w:tcPr>
            <w:tcW w:w="2551" w:type="dxa"/>
            <w:vAlign w:val="center"/>
          </w:tcPr>
          <w:p>
            <w:pPr>
              <w:pStyle w:val="15"/>
            </w:pPr>
            <w:r>
              <w:t>413.79</w:t>
            </w:r>
          </w:p>
        </w:tc>
        <w:tc>
          <w:tcPr>
            <w:tcW w:w="2551" w:type="dxa"/>
            <w:vAlign w:val="center"/>
          </w:tcPr>
          <w:p>
            <w:pPr>
              <w:pStyle w:val="15"/>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5"/>
            </w:pPr>
            <w:r>
              <w:t>956.53</w:t>
            </w:r>
          </w:p>
        </w:tc>
        <w:tc>
          <w:tcPr>
            <w:tcW w:w="2551" w:type="dxa"/>
            <w:vAlign w:val="center"/>
          </w:tcPr>
          <w:p>
            <w:pPr>
              <w:pStyle w:val="15"/>
            </w:pPr>
            <w:r>
              <w:t>413.79</w:t>
            </w:r>
          </w:p>
        </w:tc>
        <w:tc>
          <w:tcPr>
            <w:tcW w:w="2551" w:type="dxa"/>
            <w:vAlign w:val="center"/>
          </w:tcPr>
          <w:p>
            <w:pPr>
              <w:pStyle w:val="15"/>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2010303</w:t>
            </w:r>
          </w:p>
        </w:tc>
        <w:tc>
          <w:tcPr>
            <w:tcW w:w="4535" w:type="dxa"/>
            <w:vAlign w:val="center"/>
          </w:tcPr>
          <w:p>
            <w:pPr>
              <w:pStyle w:val="14"/>
            </w:pPr>
            <w:r>
              <w:t>机关服务</w:t>
            </w:r>
          </w:p>
        </w:tc>
        <w:tc>
          <w:tcPr>
            <w:tcW w:w="2551" w:type="dxa"/>
            <w:vAlign w:val="center"/>
          </w:tcPr>
          <w:p>
            <w:pPr>
              <w:pStyle w:val="15"/>
            </w:pPr>
            <w:r>
              <w:t>956.53</w:t>
            </w:r>
          </w:p>
        </w:tc>
        <w:tc>
          <w:tcPr>
            <w:tcW w:w="2551" w:type="dxa"/>
            <w:vAlign w:val="center"/>
          </w:tcPr>
          <w:p>
            <w:pPr>
              <w:pStyle w:val="15"/>
            </w:pPr>
            <w:r>
              <w:t>413.79</w:t>
            </w:r>
          </w:p>
        </w:tc>
        <w:tc>
          <w:tcPr>
            <w:tcW w:w="2551" w:type="dxa"/>
            <w:vAlign w:val="center"/>
          </w:tcPr>
          <w:p>
            <w:pPr>
              <w:pStyle w:val="15"/>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5"/>
            </w:pPr>
            <w:r>
              <w:t>124.46</w:t>
            </w:r>
          </w:p>
        </w:tc>
        <w:tc>
          <w:tcPr>
            <w:tcW w:w="2551" w:type="dxa"/>
            <w:vAlign w:val="center"/>
          </w:tcPr>
          <w:p>
            <w:pPr>
              <w:pStyle w:val="15"/>
            </w:pPr>
            <w:r>
              <w:t>124.46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5"/>
            </w:pPr>
            <w:r>
              <w:t>124.46</w:t>
            </w:r>
          </w:p>
        </w:tc>
        <w:tc>
          <w:tcPr>
            <w:tcW w:w="2551" w:type="dxa"/>
            <w:vAlign w:val="center"/>
          </w:tcPr>
          <w:p>
            <w:pPr>
              <w:pStyle w:val="15"/>
            </w:pPr>
            <w:r>
              <w:t>124.46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5"/>
            </w:pPr>
            <w:r>
              <w:t>98.01</w:t>
            </w:r>
          </w:p>
        </w:tc>
        <w:tc>
          <w:tcPr>
            <w:tcW w:w="2551" w:type="dxa"/>
            <w:vAlign w:val="center"/>
          </w:tcPr>
          <w:p>
            <w:pPr>
              <w:pStyle w:val="15"/>
            </w:pPr>
            <w:r>
              <w:t>98.01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5"/>
            </w:pPr>
            <w:r>
              <w:t>26.45</w:t>
            </w:r>
          </w:p>
        </w:tc>
        <w:tc>
          <w:tcPr>
            <w:tcW w:w="2551" w:type="dxa"/>
            <w:vAlign w:val="center"/>
          </w:tcPr>
          <w:p>
            <w:pPr>
              <w:pStyle w:val="15"/>
            </w:pPr>
            <w:r>
              <w:t>26.45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5"/>
            </w:pPr>
            <w:r>
              <w:t>14.04</w:t>
            </w:r>
          </w:p>
        </w:tc>
        <w:tc>
          <w:tcPr>
            <w:tcW w:w="2551" w:type="dxa"/>
            <w:vAlign w:val="center"/>
          </w:tcPr>
          <w:p>
            <w:pPr>
              <w:pStyle w:val="15"/>
            </w:pPr>
            <w:r>
              <w:t>14.04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5"/>
            </w:pPr>
            <w:r>
              <w:t>14.04</w:t>
            </w:r>
          </w:p>
        </w:tc>
        <w:tc>
          <w:tcPr>
            <w:tcW w:w="2551" w:type="dxa"/>
            <w:vAlign w:val="center"/>
          </w:tcPr>
          <w:p>
            <w:pPr>
              <w:pStyle w:val="15"/>
            </w:pPr>
            <w:r>
              <w:t>14.04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5"/>
            </w:pPr>
            <w:r>
              <w:t>14.04</w:t>
            </w:r>
          </w:p>
        </w:tc>
        <w:tc>
          <w:tcPr>
            <w:tcW w:w="2551" w:type="dxa"/>
            <w:vAlign w:val="center"/>
          </w:tcPr>
          <w:p>
            <w:pPr>
              <w:pStyle w:val="15"/>
            </w:pPr>
            <w:r>
              <w:t>14.04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5"/>
            </w:pPr>
            <w:r>
              <w:t>21.75</w:t>
            </w:r>
          </w:p>
        </w:tc>
        <w:tc>
          <w:tcPr>
            <w:tcW w:w="2551" w:type="dxa"/>
            <w:vAlign w:val="center"/>
          </w:tcPr>
          <w:p>
            <w:pPr>
              <w:pStyle w:val="15"/>
            </w:pPr>
            <w:r>
              <w:t>21.75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5"/>
            </w:pPr>
            <w:r>
              <w:t>21.75</w:t>
            </w:r>
          </w:p>
        </w:tc>
        <w:tc>
          <w:tcPr>
            <w:tcW w:w="2551" w:type="dxa"/>
            <w:vAlign w:val="center"/>
          </w:tcPr>
          <w:p>
            <w:pPr>
              <w:pStyle w:val="15"/>
            </w:pPr>
            <w:r>
              <w:t>21.75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5"/>
            </w:pPr>
            <w:r>
              <w:t>21.75</w:t>
            </w:r>
          </w:p>
        </w:tc>
        <w:tc>
          <w:tcPr>
            <w:tcW w:w="2551" w:type="dxa"/>
            <w:vAlign w:val="center"/>
          </w:tcPr>
          <w:p>
            <w:pPr>
              <w:pStyle w:val="15"/>
            </w:pPr>
            <w:r>
              <w:t>21.75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574.04</w:t>
            </w:r>
          </w:p>
        </w:tc>
        <w:tc>
          <w:tcPr>
            <w:tcW w:w="2551" w:type="dxa"/>
            <w:vAlign w:val="center"/>
          </w:tcPr>
          <w:p>
            <w:pPr>
              <w:pStyle w:val="17"/>
            </w:pPr>
            <w:r>
              <w:t>432.23</w:t>
            </w:r>
          </w:p>
        </w:tc>
        <w:tc>
          <w:tcPr>
            <w:tcW w:w="2551" w:type="dxa"/>
            <w:vAlign w:val="center"/>
          </w:tcPr>
          <w:p>
            <w:pPr>
              <w:pStyle w:val="17"/>
            </w:pPr>
            <w:r>
              <w:t>141.81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5"/>
            </w:pPr>
            <w:r>
              <w:t>332.92</w:t>
            </w:r>
          </w:p>
        </w:tc>
        <w:tc>
          <w:tcPr>
            <w:tcW w:w="2551" w:type="dxa"/>
            <w:vAlign w:val="center"/>
          </w:tcPr>
          <w:p>
            <w:pPr>
              <w:pStyle w:val="15"/>
            </w:pPr>
            <w:r>
              <w:t>332.92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5"/>
            </w:pPr>
            <w:r>
              <w:t>73.90</w:t>
            </w:r>
          </w:p>
        </w:tc>
        <w:tc>
          <w:tcPr>
            <w:tcW w:w="2551" w:type="dxa"/>
            <w:vAlign w:val="center"/>
          </w:tcPr>
          <w:p>
            <w:pPr>
              <w:pStyle w:val="15"/>
            </w:pPr>
            <w:r>
              <w:t>73.90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5"/>
            </w:pPr>
            <w:r>
              <w:t>15.03</w:t>
            </w:r>
          </w:p>
        </w:tc>
        <w:tc>
          <w:tcPr>
            <w:tcW w:w="2551" w:type="dxa"/>
            <w:vAlign w:val="center"/>
          </w:tcPr>
          <w:p>
            <w:pPr>
              <w:pStyle w:val="15"/>
            </w:pPr>
            <w:r>
              <w:t>15.03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5"/>
            </w:pPr>
            <w:r>
              <w:t>32.71</w:t>
            </w:r>
          </w:p>
        </w:tc>
        <w:tc>
          <w:tcPr>
            <w:tcW w:w="2551" w:type="dxa"/>
            <w:vAlign w:val="center"/>
          </w:tcPr>
          <w:p>
            <w:pPr>
              <w:pStyle w:val="15"/>
            </w:pPr>
            <w:r>
              <w:t>32.71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5"/>
            </w:pPr>
            <w:r>
              <w:t>58.68</w:t>
            </w:r>
          </w:p>
        </w:tc>
        <w:tc>
          <w:tcPr>
            <w:tcW w:w="2551" w:type="dxa"/>
            <w:vAlign w:val="center"/>
          </w:tcPr>
          <w:p>
            <w:pPr>
              <w:pStyle w:val="15"/>
            </w:pPr>
            <w:r>
              <w:t>58.68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5"/>
            </w:pPr>
            <w:r>
              <w:t>26.45</w:t>
            </w:r>
          </w:p>
        </w:tc>
        <w:tc>
          <w:tcPr>
            <w:tcW w:w="2551" w:type="dxa"/>
            <w:vAlign w:val="center"/>
          </w:tcPr>
          <w:p>
            <w:pPr>
              <w:pStyle w:val="15"/>
            </w:pPr>
            <w:r>
              <w:t>26.45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5"/>
            </w:pPr>
            <w:r>
              <w:t>13.81</w:t>
            </w:r>
          </w:p>
        </w:tc>
        <w:tc>
          <w:tcPr>
            <w:tcW w:w="2551" w:type="dxa"/>
            <w:vAlign w:val="center"/>
          </w:tcPr>
          <w:p>
            <w:pPr>
              <w:pStyle w:val="15"/>
            </w:pPr>
            <w:r>
              <w:t>13.81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5"/>
            </w:pPr>
            <w:r>
              <w:t>1.82</w:t>
            </w:r>
          </w:p>
        </w:tc>
        <w:tc>
          <w:tcPr>
            <w:tcW w:w="2551" w:type="dxa"/>
            <w:vAlign w:val="center"/>
          </w:tcPr>
          <w:p>
            <w:pPr>
              <w:pStyle w:val="15"/>
            </w:pPr>
            <w:r>
              <w:t>1.82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5"/>
            </w:pPr>
            <w:r>
              <w:t>21.75</w:t>
            </w:r>
          </w:p>
        </w:tc>
        <w:tc>
          <w:tcPr>
            <w:tcW w:w="2551" w:type="dxa"/>
            <w:vAlign w:val="center"/>
          </w:tcPr>
          <w:p>
            <w:pPr>
              <w:pStyle w:val="15"/>
            </w:pPr>
            <w:r>
              <w:t>21.75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5"/>
            </w:pPr>
            <w:r>
              <w:t>88.77</w:t>
            </w:r>
          </w:p>
        </w:tc>
        <w:tc>
          <w:tcPr>
            <w:tcW w:w="2551" w:type="dxa"/>
            <w:vAlign w:val="center"/>
          </w:tcPr>
          <w:p>
            <w:pPr>
              <w:pStyle w:val="15"/>
            </w:pPr>
            <w:r>
              <w:t>88.77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5"/>
            </w:pPr>
            <w:r>
              <w:t>141.81</w:t>
            </w:r>
          </w:p>
        </w:tc>
        <w:tc>
          <w:tcPr>
            <w:tcW w:w="2551" w:type="dxa"/>
            <w:vAlign w:val="center"/>
          </w:tcPr>
          <w:p>
            <w:pPr>
              <w:pStyle w:val="15"/>
            </w:pPr>
          </w:p>
        </w:tc>
        <w:tc>
          <w:tcPr>
            <w:tcW w:w="2551" w:type="dxa"/>
            <w:vAlign w:val="center"/>
          </w:tcPr>
          <w:p>
            <w:pPr>
              <w:pStyle w:val="15"/>
            </w:pPr>
            <w:r>
              <w:t>141.81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5"/>
            </w:pPr>
            <w:r>
              <w:t>1.01</w:t>
            </w:r>
          </w:p>
        </w:tc>
        <w:tc>
          <w:tcPr>
            <w:tcW w:w="2551" w:type="dxa"/>
            <w:vAlign w:val="center"/>
          </w:tcPr>
          <w:p>
            <w:pPr>
              <w:pStyle w:val="15"/>
            </w:pPr>
          </w:p>
        </w:tc>
        <w:tc>
          <w:tcPr>
            <w:tcW w:w="2551" w:type="dxa"/>
            <w:vAlign w:val="center"/>
          </w:tcPr>
          <w:p>
            <w:pPr>
              <w:pStyle w:val="15"/>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5"/>
            </w:pPr>
            <w:r>
              <w:t>110.80</w:t>
            </w:r>
          </w:p>
        </w:tc>
        <w:tc>
          <w:tcPr>
            <w:tcW w:w="2551" w:type="dxa"/>
            <w:vAlign w:val="center"/>
          </w:tcPr>
          <w:p>
            <w:pPr>
              <w:pStyle w:val="15"/>
            </w:pPr>
          </w:p>
        </w:tc>
        <w:tc>
          <w:tcPr>
            <w:tcW w:w="2551" w:type="dxa"/>
            <w:vAlign w:val="center"/>
          </w:tcPr>
          <w:p>
            <w:pPr>
              <w:pStyle w:val="15"/>
            </w:pPr>
            <w:r>
              <w:t>110.80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5"/>
            </w:pPr>
            <w:r>
              <w:t>16.47</w:t>
            </w:r>
          </w:p>
        </w:tc>
        <w:tc>
          <w:tcPr>
            <w:tcW w:w="2551" w:type="dxa"/>
            <w:vAlign w:val="center"/>
          </w:tcPr>
          <w:p>
            <w:pPr>
              <w:pStyle w:val="15"/>
            </w:pPr>
          </w:p>
        </w:tc>
        <w:tc>
          <w:tcPr>
            <w:tcW w:w="2551" w:type="dxa"/>
            <w:vAlign w:val="center"/>
          </w:tcPr>
          <w:p>
            <w:pPr>
              <w:pStyle w:val="15"/>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5"/>
            </w:pPr>
            <w:r>
              <w:t>2.65</w:t>
            </w:r>
          </w:p>
        </w:tc>
        <w:tc>
          <w:tcPr>
            <w:tcW w:w="2551" w:type="dxa"/>
            <w:vAlign w:val="center"/>
          </w:tcPr>
          <w:p>
            <w:pPr>
              <w:pStyle w:val="15"/>
            </w:pPr>
          </w:p>
        </w:tc>
        <w:tc>
          <w:tcPr>
            <w:tcW w:w="2551" w:type="dxa"/>
            <w:vAlign w:val="center"/>
          </w:tcPr>
          <w:p>
            <w:pPr>
              <w:pStyle w:val="15"/>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5"/>
            </w:pPr>
            <w:r>
              <w:t>1.85</w:t>
            </w:r>
          </w:p>
        </w:tc>
        <w:tc>
          <w:tcPr>
            <w:tcW w:w="2551" w:type="dxa"/>
            <w:vAlign w:val="center"/>
          </w:tcPr>
          <w:p>
            <w:pPr>
              <w:pStyle w:val="15"/>
            </w:pPr>
          </w:p>
        </w:tc>
        <w:tc>
          <w:tcPr>
            <w:tcW w:w="2551" w:type="dxa"/>
            <w:vAlign w:val="center"/>
          </w:tcPr>
          <w:p>
            <w:pPr>
              <w:pStyle w:val="15"/>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5"/>
            </w:pPr>
            <w:r>
              <w:t>1.74</w:t>
            </w:r>
          </w:p>
        </w:tc>
        <w:tc>
          <w:tcPr>
            <w:tcW w:w="2551" w:type="dxa"/>
            <w:vAlign w:val="center"/>
          </w:tcPr>
          <w:p>
            <w:pPr>
              <w:pStyle w:val="15"/>
            </w:pPr>
          </w:p>
        </w:tc>
        <w:tc>
          <w:tcPr>
            <w:tcW w:w="2551" w:type="dxa"/>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5"/>
            </w:pPr>
            <w:r>
              <w:t>99.30</w:t>
            </w:r>
          </w:p>
        </w:tc>
        <w:tc>
          <w:tcPr>
            <w:tcW w:w="2551" w:type="dxa"/>
            <w:vAlign w:val="center"/>
          </w:tcPr>
          <w:p>
            <w:pPr>
              <w:pStyle w:val="15"/>
            </w:pPr>
            <w:r>
              <w:t>99.30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5"/>
            </w:pPr>
            <w:r>
              <w:t>96.36</w:t>
            </w:r>
          </w:p>
        </w:tc>
        <w:tc>
          <w:tcPr>
            <w:tcW w:w="2551" w:type="dxa"/>
            <w:vAlign w:val="center"/>
          </w:tcPr>
          <w:p>
            <w:pPr>
              <w:pStyle w:val="15"/>
            </w:pPr>
            <w:r>
              <w:t>96.36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5"/>
            </w:pPr>
            <w:r>
              <w:t>2.90</w:t>
            </w:r>
          </w:p>
        </w:tc>
        <w:tc>
          <w:tcPr>
            <w:tcW w:w="2551" w:type="dxa"/>
            <w:vAlign w:val="center"/>
          </w:tcPr>
          <w:p>
            <w:pPr>
              <w:pStyle w:val="15"/>
            </w:pPr>
            <w:r>
              <w:t>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430保定市徐水区机关服务中心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6"/>
            </w:pPr>
            <w:r>
              <w:t>合计</w:t>
            </w:r>
          </w:p>
        </w:tc>
        <w:tc>
          <w:tcPr>
            <w:tcW w:w="2382" w:type="dxa"/>
            <w:vAlign w:val="center"/>
          </w:tcPr>
          <w:p>
            <w:pPr>
              <w:pStyle w:val="17"/>
            </w:pPr>
            <w:r>
              <w:t>2.43</w:t>
            </w:r>
          </w:p>
        </w:tc>
        <w:tc>
          <w:tcPr>
            <w:tcW w:w="2381" w:type="dxa"/>
            <w:vAlign w:val="center"/>
          </w:tcPr>
          <w:p>
            <w:pPr>
              <w:pStyle w:val="17"/>
            </w:pPr>
            <w:r>
              <w:t>2.43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4"/>
            </w:pPr>
            <w:r>
              <w:t>“三公”经费小计</w:t>
            </w:r>
          </w:p>
        </w:tc>
        <w:tc>
          <w:tcPr>
            <w:tcW w:w="2382"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4"/>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4"/>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4"/>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4"/>
            </w:pPr>
            <w:r>
              <w:t>二、公务用车购置及运维费</w:t>
            </w:r>
          </w:p>
        </w:tc>
        <w:tc>
          <w:tcPr>
            <w:tcW w:w="2382"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4"/>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4"/>
            </w:pPr>
            <w:r>
              <w:t xml:space="preserve">          公务用车运行维护费</w:t>
            </w:r>
          </w:p>
        </w:tc>
        <w:tc>
          <w:tcPr>
            <w:tcW w:w="2382"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4"/>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 保定市徐水区机关服务中心2023年部门预算信息公开情况说明</w:t>
      </w:r>
    </w:p>
    <w:p>
      <w:pPr>
        <w:jc w:val="center"/>
      </w:pPr>
      <w:r>
        <w:rPr>
          <w:rFonts w:ascii="方正小标宋_GBK" w:hAnsi="方正小标宋_GBK" w:eastAsia="方正小标宋_GBK" w:cs="方正小标宋_GBK"/>
          <w:color w:val="000000"/>
          <w:sz w:val="44"/>
        </w:rPr>
        <w:t>保定市徐水区机关服务中心2023年部门预算信息公开情况说明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、《地方预决算公开操作规程》和《关于进一步推进预算公开工作的实施意见》规定，现将保定市徐水区机关服务中心2023年部门预算公开如下：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根据中共徐水区委、徐水区人民政府《关于县直机关机构改革实施方案》（徐发[2002]26号），现将保定市徐水区机关服务中心概况说明如下：</w:t>
      </w:r>
    </w:p>
    <w:p>
      <w:pPr>
        <w:pStyle w:val="19"/>
      </w:pPr>
      <w:r>
        <w:t>（一）负责区委、区政府、人大、政协等机关和归属政府所有权的房产及设施的登记、分配、维修、改造和建设任务。</w:t>
      </w:r>
    </w:p>
    <w:p>
      <w:pPr>
        <w:pStyle w:val="19"/>
      </w:pPr>
      <w:r>
        <w:t>（二）负责区委、区政府、人大、政协等机关大院和科委、科协、信访局等单位的冬季取暖及所属锅炉和设备的保养、维修和使用。</w:t>
      </w:r>
    </w:p>
    <w:p>
      <w:pPr>
        <w:pStyle w:val="19"/>
      </w:pPr>
      <w:r>
        <w:t>（三）负责区委、区政府、人大、政协机关大院的干部、职工就餐和开水供应。</w:t>
      </w:r>
    </w:p>
    <w:p>
      <w:pPr>
        <w:pStyle w:val="19"/>
      </w:pPr>
      <w:r>
        <w:t>（四）负责区委、区政府、人大、政协等机关的安全保卫、环境卫生、绿化、美化和形象建设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保定市徐水区机关服务中心本级</w:t>
            </w:r>
          </w:p>
        </w:tc>
        <w:tc>
          <w:tcPr>
            <w:tcW w:w="1843" w:type="dxa"/>
            <w:vAlign w:val="center"/>
          </w:tcPr>
          <w:p>
            <w:pPr>
              <w:pStyle w:val="13"/>
              <w:rPr>
                <w:rFonts w:hint="eastAsia"/>
                <w:lang w:eastAsia="zh-CN"/>
              </w:rPr>
            </w:pPr>
            <w:r>
              <w:rPr>
                <w:rFonts w:hint="eastAsia"/>
                <w:lang w:eastAsia="zh-CN"/>
              </w:rPr>
              <w:t>事业</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按照预算管理有关规定，目前我省部门预算的编制实行综合预算管理，即全部收入和支出都反映在预算中。保定市徐水区机关服务中心机关及所属事业单位的收支包含在部门预算中。</w:t>
      </w:r>
    </w:p>
    <w:p>
      <w:pPr>
        <w:pStyle w:val="20"/>
        <w:numPr>
          <w:ilvl w:val="0"/>
          <w:numId w:val="1"/>
        </w:numPr>
        <w:rPr>
          <w:rFonts w:hint="eastAsia"/>
          <w:lang w:val="en-US" w:eastAsia="zh-CN"/>
        </w:rPr>
      </w:pPr>
      <w:r>
        <w:rPr>
          <w:rFonts w:hint="eastAsia"/>
          <w:lang w:val="en-US" w:eastAsia="zh-CN"/>
        </w:rPr>
        <w:t>收入情况</w:t>
      </w:r>
    </w:p>
    <w:p>
      <w:pPr>
        <w:pStyle w:val="20"/>
        <w:numPr>
          <w:ilvl w:val="0"/>
          <w:numId w:val="0"/>
        </w:numPr>
        <w:ind w:firstLine="560" w:firstLineChars="200"/>
      </w:pPr>
      <w:r>
        <w:t>2023年预算收入1116.87万元，其中：一般公共预算收入1116.77万元，基金预算收入0万元，国有资本经营预算收入0万元，财政专户核拨收入0万元，单位资金收入0.1万元，上年结转结余0万元。</w:t>
      </w:r>
    </w:p>
    <w:p>
      <w:pPr>
        <w:pStyle w:val="20"/>
      </w:pPr>
      <w:r>
        <w:t>二、支出情况</w:t>
      </w:r>
    </w:p>
    <w:p>
      <w:pPr>
        <w:pStyle w:val="20"/>
      </w:pPr>
      <w:r>
        <w:t>收支预算总表支出栏、基本支出表、项目支出表按经济分类和支出功能分类科目编制，反映保定市徐水区机关服务中心年度部门预算的总体情况。2023年支出预算1116.87万元，其中基本支出574.04万元，包括人员经费432.23万元和日常公用经费141.81万元，项目支出542.83万元，主要为保安服务费、保洁费、政府机关电费、政府机关水费及净水设备租赁费、零星维修费等。</w:t>
      </w:r>
    </w:p>
    <w:p>
      <w:pPr>
        <w:pStyle w:val="20"/>
      </w:pPr>
      <w:r>
        <w:t>三、比上年增减情况</w:t>
      </w:r>
    </w:p>
    <w:p>
      <w:pPr>
        <w:pStyle w:val="20"/>
      </w:pPr>
      <w:r>
        <w:t>本年度预算收支安排1116.87万元，较上年增加89.63万元。其中基本支出减少250.85万元，主要原因是工资福利待遇增长造成人员经费比上年增加25.65万元，根据预算编制要求水费、电费等编入项目支出造成日常公用经费比上年减少276.5万元；项目支出比上年增加340.49万元，原因是根据预算编制要求保安服务费、保洁费、政府机关电费、政府机关水费及净水设备租赁费、零星维修费等编入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2023年我部门机关运行经费安排141.81万元，其中办公费4.86万元，邮电费1.01万元，工会经费、福利费4.5万元，公务用车运行维护费2.43万元，其他支出129.01万元。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2.43万元，其中因公出国（境）费0万元；公务用车购置及运维费2.43万元（其中公务用车购置费为0万元，公务用车运维费2.43万元）；公务接待费0万元。与2022年相比增加0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以习近平新时代中国特色社会主义思想为指导，全面贯彻落实中央和省委、省政府重要决策部署，坚持新发展理念，落实高质量发展要求，以政治建设为统领，以“两创一争”为抓手，以改革创新为动力，着力</w:t>
      </w:r>
      <w:r>
        <w:rPr>
          <w:rFonts w:hint="eastAsia"/>
        </w:rPr>
        <w:t>推进国家治理体系和治理能力现代化</w:t>
      </w:r>
      <w:bookmarkStart w:id="18" w:name="_GoBack"/>
      <w:bookmarkEnd w:id="18"/>
      <w:r>
        <w:t>建设，不断提升机关事务服务保障管理水平。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加快建设机关事务服务管理平台，推进机关事务高质量发展。</w:t>
      </w:r>
    </w:p>
    <w:p>
      <w:pPr>
        <w:spacing w:line="500" w:lineRule="exact"/>
        <w:ind w:firstLine="560"/>
      </w:pPr>
      <w:r>
        <w:rPr>
          <w:rFonts w:eastAsia="方正仿宋_GBK"/>
          <w:color w:val="000000"/>
          <w:sz w:val="28"/>
        </w:rPr>
        <w:t>（二）分项绩效目标</w:t>
      </w:r>
    </w:p>
    <w:p>
      <w:pPr>
        <w:pStyle w:val="24"/>
      </w:pPr>
      <w:r>
        <w:t>1、整体提升区直单位办公用房服务保障水平</w:t>
      </w:r>
    </w:p>
    <w:p>
      <w:pPr>
        <w:pStyle w:val="24"/>
      </w:pPr>
      <w:r>
        <w:t>绩效目标：加强和规范省直机关办公用房管理，推进办公用房合理配置和节约集约使用，保障正常办公，提高办公用房利用率，达到应修尽修，降低行政成本，促进党风廉政建设和节约型机关建设。</w:t>
      </w:r>
    </w:p>
    <w:p>
      <w:pPr>
        <w:pStyle w:val="24"/>
      </w:pPr>
      <w:r>
        <w:t>绩效指标：每年完成的省直单位办公用房大中修项目数量不少于10个，通过验收的大中修项目占大中修项目总量的比率达到100%，办公用房及其附属设施、设备维修后使用情况达到良好以上，调查中满意和较满意的区直机关大中修服务项目数占全部区直机关大中修项目总数的比率达到98%以上。</w:t>
      </w:r>
    </w:p>
    <w:p>
      <w:pPr>
        <w:pStyle w:val="24"/>
      </w:pPr>
      <w:r>
        <w:t>2、切实加强和规范区直机关国有资产管理工作</w:t>
      </w:r>
    </w:p>
    <w:p>
      <w:pPr>
        <w:pStyle w:val="24"/>
      </w:pPr>
      <w:r>
        <w:t>绩效目标：建立健全管理制度，推进制度化建设。</w:t>
      </w:r>
    </w:p>
    <w:p>
      <w:pPr>
        <w:pStyle w:val="24"/>
      </w:pPr>
      <w:r>
        <w:t>绩效指标：根据区直机关工作实际，依据国管局、省财政厅相关法规制度，推进区直机关资产信息化管理。</w:t>
      </w:r>
    </w:p>
    <w:p>
      <w:pPr>
        <w:pStyle w:val="24"/>
      </w:pPr>
      <w:r>
        <w:t>3、积极做好区级党政机关公务用车管理工作</w:t>
      </w:r>
    </w:p>
    <w:p>
      <w:pPr>
        <w:pStyle w:val="24"/>
      </w:pPr>
      <w:r>
        <w:t>绩效目标：加强和规范公务用车的采购程序，严格车辆配备标准，保障区直机关正常办公出行，公车平台监督管理和服务保障功能进一步增强。</w:t>
      </w:r>
    </w:p>
    <w:p>
      <w:pPr>
        <w:pStyle w:val="24"/>
      </w:pPr>
      <w:r>
        <w:t>绩效指标：区直各部门公务用车编制情况，保障其车辆完好率达到90%以上。</w:t>
      </w:r>
    </w:p>
    <w:p>
      <w:pPr>
        <w:pStyle w:val="24"/>
      </w:pPr>
      <w:r>
        <w:t>4、进一步推进公共机构节能机制完善工作</w:t>
      </w:r>
    </w:p>
    <w:p>
      <w:pPr>
        <w:pStyle w:val="24"/>
      </w:pPr>
      <w:r>
        <w:t>绩效目标：全区公共机构人均能耗、单位建筑面积能耗、人均用水量三项指标整体下降。节能管理人员业务能力进一步提升。广泛开展节约型公共机构示范单位创建活动，绿色办公更加深入人心。</w:t>
      </w:r>
    </w:p>
    <w:p>
      <w:pPr>
        <w:pStyle w:val="24"/>
      </w:pPr>
      <w:r>
        <w:t>绩效指标：全区公共机构人均能耗下降2.4%，单位建筑面积能耗下降2.4%，人均用水量下降3.8%。</w:t>
      </w:r>
    </w:p>
    <w:p>
      <w:pPr>
        <w:pStyle w:val="24"/>
      </w:pPr>
      <w:r>
        <w:t>5、机关事务标准化工作稳步推进</w:t>
      </w:r>
    </w:p>
    <w:p>
      <w:pPr>
        <w:pStyle w:val="24"/>
      </w:pPr>
      <w:r>
        <w:t>绩效目标：机关事务制度体系逐步完善，管理服务保障行为更加规范，工作流程更加优化，机关事务按标准推进质量得到有效提升。</w:t>
      </w:r>
    </w:p>
    <w:p>
      <w:pPr>
        <w:pStyle w:val="24"/>
      </w:pPr>
      <w:r>
        <w:t>绩效指标：机关事务制度建设完成率达到90%以上，现有制度规章修订达到95%，工作流程优化率达到95%以上。</w:t>
      </w:r>
    </w:p>
    <w:p>
      <w:pPr>
        <w:spacing w:line="500" w:lineRule="exact"/>
        <w:ind w:firstLine="560"/>
      </w:pPr>
      <w:r>
        <w:rPr>
          <w:rFonts w:eastAsia="方正仿宋_GBK"/>
          <w:color w:val="000000"/>
          <w:sz w:val="28"/>
        </w:rPr>
        <w:t>（三）工作保障措施</w:t>
      </w:r>
    </w:p>
    <w:p>
      <w:pPr>
        <w:pStyle w:val="25"/>
      </w:pPr>
      <w:r>
        <w:t>1、加强组织领导，分解职责目标</w:t>
      </w:r>
    </w:p>
    <w:p>
      <w:pPr>
        <w:pStyle w:val="25"/>
      </w:pPr>
      <w:r>
        <w:t>各预算单位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pStyle w:val="25"/>
      </w:pPr>
      <w:r>
        <w:t>2、加强资金使用监督，确保支付安全</w:t>
      </w:r>
    </w:p>
    <w:p>
      <w:pPr>
        <w:pStyle w:val="25"/>
      </w:pPr>
      <w:r>
        <w:t>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单位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pPr>
        <w:pStyle w:val="25"/>
      </w:pPr>
      <w:r>
        <w:t>3、加强动态督导，落实全过程监管</w:t>
      </w:r>
    </w:p>
    <w:p>
      <w:pPr>
        <w:pStyle w:val="25"/>
      </w:pPr>
      <w:r>
        <w:t>进一步完善财务部门总牵头、有关业务部门（单位）齐抓共管的工作机制，及时研究涉及预算编制执行的难点和重点问题，加强业务指导和协调省财政相关部门，全力解决。建立预算编制、执行的全过程进度动态监控及通报制度。确保预算编制的合理性、科学性，资金支付的合规性、时效性，资金使用的规范性、安全性。</w:t>
      </w:r>
    </w:p>
    <w:p>
      <w:pPr>
        <w:pStyle w:val="25"/>
      </w:pPr>
      <w:r>
        <w:t>4、及时、合规、有效进行预算绩效运行监控及绩效自评工作</w:t>
      </w:r>
    </w:p>
    <w:p>
      <w:pPr>
        <w:pStyle w:val="25"/>
      </w:pPr>
      <w:r>
        <w:t>遵循目标导向、权责对等、全面覆盖、突出重点、适时适当的原则，对照批复的部门整体绩效目标、专项资金绩效目标、预算项目资金绩效目标，依托财政信息系统一体化平台，通过调查取证、实地核查等方式采集信息，掌握本部门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部门及所属单位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ind w:firstLine="640"/>
        <w:rPr>
          <w:rFonts w:ascii="方正仿宋_GBK" w:hAnsi="方正仿宋_GBK" w:eastAsia="方正仿宋_GBK" w:cs="方正仿宋_GBK"/>
          <w:b/>
          <w:color w:val="000000"/>
          <w:sz w:val="28"/>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预算项目</w:t>
      </w:r>
      <w:r>
        <w:rPr>
          <w:rFonts w:ascii="方正楷体_GBK" w:hAnsi="方正楷体_GBK" w:eastAsia="方正楷体_GBK" w:cs="方正楷体_GBK"/>
          <w:b/>
          <w:color w:val="000000"/>
          <w:sz w:val="32"/>
        </w:rPr>
        <w:t>绩效目标</w:t>
      </w:r>
    </w:p>
    <w:p>
      <w:pPr>
        <w:ind w:firstLine="560"/>
      </w:pPr>
      <w:r>
        <w:rPr>
          <w:rFonts w:ascii="方正仿宋_GBK" w:hAnsi="方正仿宋_GBK" w:eastAsia="方正仿宋_GBK" w:cs="方正仿宋_GBK"/>
          <w:b/>
          <w:color w:val="000000"/>
          <w:sz w:val="28"/>
        </w:rPr>
        <w:t>1、2023年单位其他资金绩效目标表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1.摘好服务，为单位干部职工提供优质、便捷、高效的办公环境。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≥90百分比</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≥90百分比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≥90百分比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≥90百分比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公车办负责协调、监督率</w:t>
            </w:r>
          </w:p>
        </w:tc>
        <w:tc>
          <w:tcPr>
            <w:tcW w:w="2835" w:type="dxa"/>
            <w:vAlign w:val="center"/>
          </w:tcPr>
          <w:p>
            <w:pPr>
              <w:pStyle w:val="14"/>
            </w:pPr>
            <w:r>
              <w:t>协调、监督公车运行情况</w:t>
            </w:r>
          </w:p>
        </w:tc>
        <w:tc>
          <w:tcPr>
            <w:tcW w:w="2551" w:type="dxa"/>
            <w:vAlign w:val="center"/>
          </w:tcPr>
          <w:p>
            <w:pPr>
              <w:pStyle w:val="14"/>
            </w:pPr>
            <w:r>
              <w:t>≥90百分比</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2、保安服务费绩效目标表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1.搞好服务保障，为广大干部职工提供安全、快捷、细致、周到的工作环境。</w:t>
            </w:r>
          </w:p>
          <w:p>
            <w:pPr>
              <w:pStyle w:val="14"/>
            </w:pPr>
            <w:r>
              <w:t>2.保障保安人员的全年工资需求。</w:t>
            </w:r>
          </w:p>
          <w:p>
            <w:pPr>
              <w:pStyle w:val="14"/>
            </w:pPr>
            <w:r>
              <w:t>3.资金按合同支付，按月支付，12月底支付完毕。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保安人数</w:t>
            </w:r>
          </w:p>
        </w:tc>
        <w:tc>
          <w:tcPr>
            <w:tcW w:w="2835" w:type="dxa"/>
            <w:vAlign w:val="center"/>
          </w:tcPr>
          <w:p>
            <w:pPr>
              <w:pStyle w:val="14"/>
            </w:pPr>
            <w:r>
              <w:t>保安人数</w:t>
            </w:r>
          </w:p>
        </w:tc>
        <w:tc>
          <w:tcPr>
            <w:tcW w:w="2551" w:type="dxa"/>
            <w:vAlign w:val="center"/>
          </w:tcPr>
          <w:p>
            <w:pPr>
              <w:pStyle w:val="14"/>
            </w:pPr>
            <w:r>
              <w:t>≥21人</w:t>
            </w:r>
          </w:p>
        </w:tc>
        <w:tc>
          <w:tcPr>
            <w:tcW w:w="2268" w:type="dxa"/>
            <w:vAlign w:val="center"/>
          </w:tcPr>
          <w:p>
            <w:pPr>
              <w:pStyle w:val="14"/>
            </w:pPr>
            <w:r>
              <w:t>依据合同约定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人员出勤率</w:t>
            </w:r>
          </w:p>
        </w:tc>
        <w:tc>
          <w:tcPr>
            <w:tcW w:w="2835" w:type="dxa"/>
            <w:vAlign w:val="center"/>
          </w:tcPr>
          <w:p>
            <w:pPr>
              <w:pStyle w:val="14"/>
            </w:pPr>
            <w:r>
              <w:t>人员出勤率</w:t>
            </w:r>
          </w:p>
        </w:tc>
        <w:tc>
          <w:tcPr>
            <w:tcW w:w="2551" w:type="dxa"/>
            <w:vAlign w:val="center"/>
          </w:tcPr>
          <w:p>
            <w:pPr>
              <w:pStyle w:val="14"/>
            </w:pPr>
            <w:r>
              <w:t>≥95百分比</w:t>
            </w:r>
          </w:p>
        </w:tc>
        <w:tc>
          <w:tcPr>
            <w:tcW w:w="2268" w:type="dxa"/>
            <w:vAlign w:val="center"/>
          </w:tcPr>
          <w:p>
            <w:pPr>
              <w:pStyle w:val="14"/>
            </w:pPr>
            <w:r>
              <w:t>依据考勤表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维持政府机关正常运转</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1.搞好服务保障，为广大干部职工提供安全、快捷、细致、周到的工作环境。</w:t>
            </w:r>
          </w:p>
          <w:p>
            <w:pPr>
              <w:pStyle w:val="14"/>
            </w:pPr>
            <w:r>
              <w:t>2.保障保洁人员的全年工资需求。</w:t>
            </w:r>
          </w:p>
          <w:p>
            <w:pPr>
              <w:pStyle w:val="14"/>
            </w:pPr>
            <w:r>
              <w:t>3.资金按合同支付，按月支付，12月底支付完毕。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保洁人数</w:t>
            </w:r>
          </w:p>
        </w:tc>
        <w:tc>
          <w:tcPr>
            <w:tcW w:w="2835" w:type="dxa"/>
            <w:vAlign w:val="center"/>
          </w:tcPr>
          <w:p>
            <w:pPr>
              <w:pStyle w:val="14"/>
            </w:pPr>
            <w:r>
              <w:t>保洁人数</w:t>
            </w:r>
          </w:p>
        </w:tc>
        <w:tc>
          <w:tcPr>
            <w:tcW w:w="2551" w:type="dxa"/>
            <w:vAlign w:val="center"/>
          </w:tcPr>
          <w:p>
            <w:pPr>
              <w:pStyle w:val="14"/>
            </w:pPr>
            <w:r>
              <w:t>17人</w:t>
            </w:r>
          </w:p>
        </w:tc>
        <w:tc>
          <w:tcPr>
            <w:tcW w:w="2268" w:type="dxa"/>
            <w:vAlign w:val="center"/>
          </w:tcPr>
          <w:p>
            <w:pPr>
              <w:pStyle w:val="14"/>
            </w:pPr>
            <w:r>
              <w:t>依据合同约定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人员出勤率</w:t>
            </w:r>
          </w:p>
        </w:tc>
        <w:tc>
          <w:tcPr>
            <w:tcW w:w="2835" w:type="dxa"/>
            <w:vAlign w:val="center"/>
          </w:tcPr>
          <w:p>
            <w:pPr>
              <w:pStyle w:val="14"/>
            </w:pPr>
            <w:r>
              <w:t>人员出勤率</w:t>
            </w:r>
          </w:p>
        </w:tc>
        <w:tc>
          <w:tcPr>
            <w:tcW w:w="2551" w:type="dxa"/>
            <w:vAlign w:val="center"/>
          </w:tcPr>
          <w:p>
            <w:pPr>
              <w:pStyle w:val="14"/>
            </w:pPr>
            <w:r>
              <w:t>≥95百分比</w:t>
            </w:r>
          </w:p>
        </w:tc>
        <w:tc>
          <w:tcPr>
            <w:tcW w:w="2268" w:type="dxa"/>
            <w:vAlign w:val="center"/>
          </w:tcPr>
          <w:p>
            <w:pPr>
              <w:pStyle w:val="14"/>
            </w:pPr>
            <w:r>
              <w:t>依据考勤表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维持政府机关正常运转</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4、车改办经费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1.严格落实公务用车北斗定位安工作,确保公务用车的安全和秩序。</w:t>
            </w:r>
          </w:p>
          <w:p>
            <w:pPr>
              <w:pStyle w:val="14"/>
            </w:pPr>
            <w:r>
              <w:t>2.保障全区行政事业单位公务用车北斗定位安装经费需求。</w:t>
            </w:r>
          </w:p>
          <w:p>
            <w:pPr>
              <w:pStyle w:val="14"/>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≥90百分比</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≥90百分比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≥90百分比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≥90百分比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公车办负责协调、监督率</w:t>
            </w:r>
          </w:p>
        </w:tc>
        <w:tc>
          <w:tcPr>
            <w:tcW w:w="2835" w:type="dxa"/>
            <w:vAlign w:val="center"/>
          </w:tcPr>
          <w:p>
            <w:pPr>
              <w:pStyle w:val="14"/>
            </w:pPr>
            <w:r>
              <w:t>协调、监督公车运行情况</w:t>
            </w:r>
          </w:p>
        </w:tc>
        <w:tc>
          <w:tcPr>
            <w:tcW w:w="2551" w:type="dxa"/>
            <w:vAlign w:val="center"/>
          </w:tcPr>
          <w:p>
            <w:pPr>
              <w:pStyle w:val="14"/>
            </w:pPr>
            <w:r>
              <w:t>≥90百分比</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5、后勤保障服务费绩效目标表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1.搞好服务保障，为广大干部职工提供安全、快捷、细致、周到的工作环境；加强财务管理，确保资金安全，提高财政资金使用效益。</w:t>
            </w:r>
          </w:p>
          <w:p>
            <w:pPr>
              <w:pStyle w:val="14"/>
            </w:pPr>
            <w:r>
              <w:t>2.保障后勤劳务人员全年工资，保障后勤物资需求资金供给。</w:t>
            </w:r>
          </w:p>
          <w:p>
            <w:pPr>
              <w:pStyle w:val="14"/>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服务对象人数</w:t>
            </w:r>
          </w:p>
        </w:tc>
        <w:tc>
          <w:tcPr>
            <w:tcW w:w="2835" w:type="dxa"/>
            <w:vAlign w:val="center"/>
          </w:tcPr>
          <w:p>
            <w:pPr>
              <w:pStyle w:val="14"/>
            </w:pPr>
            <w:r>
              <w:t>服务对象人数</w:t>
            </w:r>
          </w:p>
        </w:tc>
        <w:tc>
          <w:tcPr>
            <w:tcW w:w="2551" w:type="dxa"/>
            <w:vAlign w:val="center"/>
          </w:tcPr>
          <w:p>
            <w:pPr>
              <w:pStyle w:val="14"/>
            </w:pPr>
            <w:r>
              <w:t>≥450人</w:t>
            </w:r>
          </w:p>
        </w:tc>
        <w:tc>
          <w:tcPr>
            <w:tcW w:w="2268" w:type="dxa"/>
            <w:vAlign w:val="center"/>
          </w:tcPr>
          <w:p>
            <w:pPr>
              <w:pStyle w:val="14"/>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各项工作完成及质量</w:t>
            </w:r>
          </w:p>
        </w:tc>
        <w:tc>
          <w:tcPr>
            <w:tcW w:w="2835" w:type="dxa"/>
            <w:vAlign w:val="center"/>
          </w:tcPr>
          <w:p>
            <w:pPr>
              <w:pStyle w:val="14"/>
            </w:pPr>
            <w:r>
              <w:t>保障工作及时完成，顺利开展工作</w:t>
            </w:r>
          </w:p>
        </w:tc>
        <w:tc>
          <w:tcPr>
            <w:tcW w:w="2551" w:type="dxa"/>
            <w:vAlign w:val="center"/>
          </w:tcPr>
          <w:p>
            <w:pPr>
              <w:pStyle w:val="14"/>
            </w:pPr>
            <w:r>
              <w:t>100百分比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经费保正率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维持政府机关正常运转率</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6、机关服务中心平台租赁车辆资金绩效目标表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租赁车辆数</w:t>
            </w:r>
          </w:p>
        </w:tc>
        <w:tc>
          <w:tcPr>
            <w:tcW w:w="2835" w:type="dxa"/>
            <w:vAlign w:val="center"/>
          </w:tcPr>
          <w:p>
            <w:pPr>
              <w:pStyle w:val="14"/>
            </w:pPr>
            <w:r>
              <w:t>租赁车辆数</w:t>
            </w:r>
          </w:p>
        </w:tc>
        <w:tc>
          <w:tcPr>
            <w:tcW w:w="2551" w:type="dxa"/>
            <w:vAlign w:val="center"/>
          </w:tcPr>
          <w:p>
            <w:pPr>
              <w:pStyle w:val="14"/>
            </w:pPr>
            <w:r>
              <w:t>10辆</w:t>
            </w:r>
          </w:p>
        </w:tc>
        <w:tc>
          <w:tcPr>
            <w:tcW w:w="2268" w:type="dxa"/>
            <w:vAlign w:val="center"/>
          </w:tcPr>
          <w:p>
            <w:pPr>
              <w:pStyle w:val="14"/>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使用租车数量</w:t>
            </w:r>
          </w:p>
        </w:tc>
        <w:tc>
          <w:tcPr>
            <w:tcW w:w="2835" w:type="dxa"/>
            <w:vAlign w:val="center"/>
          </w:tcPr>
          <w:p>
            <w:pPr>
              <w:pStyle w:val="14"/>
            </w:pPr>
            <w:r>
              <w:t>租车数量使用率</w:t>
            </w:r>
          </w:p>
        </w:tc>
        <w:tc>
          <w:tcPr>
            <w:tcW w:w="2551" w:type="dxa"/>
            <w:vAlign w:val="center"/>
          </w:tcPr>
          <w:p>
            <w:pPr>
              <w:pStyle w:val="14"/>
            </w:pPr>
            <w:r>
              <w:t>≥90百分比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公车运行使用率</w:t>
            </w:r>
          </w:p>
        </w:tc>
        <w:tc>
          <w:tcPr>
            <w:tcW w:w="2835" w:type="dxa"/>
            <w:vAlign w:val="center"/>
          </w:tcPr>
          <w:p>
            <w:pPr>
              <w:pStyle w:val="14"/>
            </w:pPr>
            <w:r>
              <w:t>公车定位运行效果</w:t>
            </w:r>
          </w:p>
        </w:tc>
        <w:tc>
          <w:tcPr>
            <w:tcW w:w="2551" w:type="dxa"/>
            <w:vAlign w:val="center"/>
          </w:tcPr>
          <w:p>
            <w:pPr>
              <w:pStyle w:val="14"/>
            </w:pPr>
            <w:r>
              <w:t>≥95百分比</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7、机关管理相关费用绩效目标表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1.搞好服务保障，为广大干部职工提供安全、快捷、细致、周到的工作环境；加强财务管理，确保资金安全，提高财政资金使用效益。</w:t>
            </w:r>
          </w:p>
          <w:p>
            <w:pPr>
              <w:pStyle w:val="14"/>
            </w:pPr>
            <w:r>
              <w:t>2.保障政府机关450余人相关费用需求。</w:t>
            </w:r>
          </w:p>
          <w:p>
            <w:pPr>
              <w:pStyle w:val="14"/>
            </w:pPr>
            <w:r>
              <w:t>3.资金按月支付，12月底支完。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服务对象人数</w:t>
            </w:r>
          </w:p>
        </w:tc>
        <w:tc>
          <w:tcPr>
            <w:tcW w:w="2835" w:type="dxa"/>
            <w:vAlign w:val="center"/>
          </w:tcPr>
          <w:p>
            <w:pPr>
              <w:pStyle w:val="14"/>
            </w:pPr>
            <w:r>
              <w:t>服务对象人数</w:t>
            </w:r>
          </w:p>
        </w:tc>
        <w:tc>
          <w:tcPr>
            <w:tcW w:w="2551" w:type="dxa"/>
            <w:vAlign w:val="center"/>
          </w:tcPr>
          <w:p>
            <w:pPr>
              <w:pStyle w:val="14"/>
            </w:pPr>
            <w:r>
              <w:t>≥450人</w:t>
            </w:r>
          </w:p>
        </w:tc>
        <w:tc>
          <w:tcPr>
            <w:tcW w:w="2268" w:type="dxa"/>
            <w:vAlign w:val="center"/>
          </w:tcPr>
          <w:p>
            <w:pPr>
              <w:pStyle w:val="14"/>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各项工作完成及质量</w:t>
            </w:r>
          </w:p>
        </w:tc>
        <w:tc>
          <w:tcPr>
            <w:tcW w:w="2835" w:type="dxa"/>
            <w:vAlign w:val="center"/>
          </w:tcPr>
          <w:p>
            <w:pPr>
              <w:pStyle w:val="14"/>
            </w:pPr>
            <w:r>
              <w:t>保障工作及时完成，顺利开展工作</w:t>
            </w:r>
          </w:p>
        </w:tc>
        <w:tc>
          <w:tcPr>
            <w:tcW w:w="2551" w:type="dxa"/>
            <w:vAlign w:val="center"/>
          </w:tcPr>
          <w:p>
            <w:pPr>
              <w:pStyle w:val="14"/>
            </w:pPr>
            <w:r>
              <w:t>100百分比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维持政府机关正常运转保障率</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8、零星维修绩效目标表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1.搞好服务保障，为广大干部职工提供安全、快捷、细致、周到的工作环境；加强财务管理，确保资金安全，提高财政资金使用效益。</w:t>
            </w:r>
          </w:p>
          <w:p>
            <w:pPr>
              <w:pStyle w:val="14"/>
            </w:pPr>
            <w:r>
              <w:t>2.保障政府机关零星维修的资金需求。</w:t>
            </w:r>
          </w:p>
          <w:p>
            <w:pPr>
              <w:pStyle w:val="14"/>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服务对象人数</w:t>
            </w:r>
          </w:p>
        </w:tc>
        <w:tc>
          <w:tcPr>
            <w:tcW w:w="2835" w:type="dxa"/>
            <w:vAlign w:val="center"/>
          </w:tcPr>
          <w:p>
            <w:pPr>
              <w:pStyle w:val="14"/>
            </w:pPr>
            <w:r>
              <w:t>服务对象人数</w:t>
            </w:r>
          </w:p>
        </w:tc>
        <w:tc>
          <w:tcPr>
            <w:tcW w:w="2551" w:type="dxa"/>
            <w:vAlign w:val="center"/>
          </w:tcPr>
          <w:p>
            <w:pPr>
              <w:pStyle w:val="14"/>
            </w:pPr>
            <w:r>
              <w:t>≥450人</w:t>
            </w:r>
          </w:p>
        </w:tc>
        <w:tc>
          <w:tcPr>
            <w:tcW w:w="2268" w:type="dxa"/>
            <w:vAlign w:val="center"/>
          </w:tcPr>
          <w:p>
            <w:pPr>
              <w:pStyle w:val="14"/>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各项工作完成及质量</w:t>
            </w:r>
          </w:p>
        </w:tc>
        <w:tc>
          <w:tcPr>
            <w:tcW w:w="2835" w:type="dxa"/>
            <w:vAlign w:val="center"/>
          </w:tcPr>
          <w:p>
            <w:pPr>
              <w:pStyle w:val="14"/>
            </w:pPr>
            <w:r>
              <w:t>保障工作及时完成，顺利开展工作</w:t>
            </w:r>
          </w:p>
        </w:tc>
        <w:tc>
          <w:tcPr>
            <w:tcW w:w="2551" w:type="dxa"/>
            <w:vAlign w:val="center"/>
          </w:tcPr>
          <w:p>
            <w:pPr>
              <w:pStyle w:val="14"/>
            </w:pPr>
            <w:r>
              <w:t>100百分比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维持政府机关正常运转</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9、招待所挂靠人员所需财政负担保险费绩效目标表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1.提高资金使用效率，保障按预算执行。</w:t>
            </w:r>
          </w:p>
          <w:p>
            <w:pPr>
              <w:pStyle w:val="14"/>
            </w:pPr>
            <w:r>
              <w:t>2.认真执行徐水县人民政府【2002】9号文和《原政府执行所改制处理意见》，根据医保等保险政策，缴纳保险。</w:t>
            </w:r>
          </w:p>
          <w:p>
            <w:pPr>
              <w:pStyle w:val="14"/>
            </w:pPr>
            <w:r>
              <w:t>3.资金按进度支付，6月支付完成50%，9月份支付完成75%，12月底支付完毕。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3人</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执行准确率</w:t>
            </w:r>
          </w:p>
        </w:tc>
        <w:tc>
          <w:tcPr>
            <w:tcW w:w="2835" w:type="dxa"/>
            <w:vAlign w:val="center"/>
          </w:tcPr>
          <w:p>
            <w:pPr>
              <w:pStyle w:val="14"/>
            </w:pPr>
            <w:r>
              <w:t>执行准确率</w:t>
            </w:r>
          </w:p>
        </w:tc>
        <w:tc>
          <w:tcPr>
            <w:tcW w:w="2551" w:type="dxa"/>
            <w:vAlign w:val="center"/>
          </w:tcPr>
          <w:p>
            <w:pPr>
              <w:pStyle w:val="14"/>
            </w:pPr>
            <w:r>
              <w:t>100%</w:t>
            </w:r>
          </w:p>
        </w:tc>
        <w:tc>
          <w:tcPr>
            <w:tcW w:w="2268" w:type="dxa"/>
            <w:vAlign w:val="center"/>
          </w:tcPr>
          <w:p>
            <w:pPr>
              <w:pStyle w:val="14"/>
            </w:pPr>
            <w:r>
              <w:t>依据缴纳保险基数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实际拨付资金占应拨付资金比例</w:t>
            </w:r>
          </w:p>
        </w:tc>
        <w:tc>
          <w:tcPr>
            <w:tcW w:w="2551" w:type="dxa"/>
            <w:vAlign w:val="center"/>
          </w:tcPr>
          <w:p>
            <w:pPr>
              <w:pStyle w:val="14"/>
            </w:pPr>
            <w:r>
              <w:t>≥100%</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≤1.75万元</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社会稳定提升率</w:t>
            </w:r>
          </w:p>
        </w:tc>
        <w:tc>
          <w:tcPr>
            <w:tcW w:w="2835" w:type="dxa"/>
            <w:vAlign w:val="center"/>
          </w:tcPr>
          <w:p>
            <w:pPr>
              <w:pStyle w:val="14"/>
            </w:pPr>
            <w:r>
              <w:t>招待所挂靠人员享受参保待遇的比率</w:t>
            </w:r>
          </w:p>
        </w:tc>
        <w:tc>
          <w:tcPr>
            <w:tcW w:w="2551" w:type="dxa"/>
            <w:vAlign w:val="center"/>
          </w:tcPr>
          <w:p>
            <w:pPr>
              <w:pStyle w:val="14"/>
            </w:pPr>
            <w:r>
              <w:t>≥90%</w:t>
            </w:r>
          </w:p>
        </w:tc>
        <w:tc>
          <w:tcPr>
            <w:tcW w:w="2268" w:type="dxa"/>
            <w:vAlign w:val="center"/>
          </w:tcPr>
          <w:p>
            <w:pPr>
              <w:pStyle w:val="14"/>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为群众提供优质服务满意率</w:t>
            </w:r>
          </w:p>
        </w:tc>
        <w:tc>
          <w:tcPr>
            <w:tcW w:w="2551" w:type="dxa"/>
            <w:vAlign w:val="center"/>
          </w:tcPr>
          <w:p>
            <w:pPr>
              <w:pStyle w:val="14"/>
            </w:pPr>
            <w:r>
              <w:t>≥90%</w:t>
            </w:r>
          </w:p>
        </w:tc>
        <w:tc>
          <w:tcPr>
            <w:tcW w:w="2268" w:type="dxa"/>
            <w:vAlign w:val="center"/>
          </w:tcPr>
          <w:p>
            <w:pPr>
              <w:pStyle w:val="14"/>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10、政府机关电费绩效目标表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1.搞好服务保障，为广大干部职工提供安全、快捷、细致、周到的工作环境。</w:t>
            </w:r>
          </w:p>
          <w:p>
            <w:pPr>
              <w:pStyle w:val="14"/>
            </w:pPr>
            <w:r>
              <w:t>2.保障政府机关450余人的全年电费需求。</w:t>
            </w:r>
          </w:p>
          <w:p>
            <w:pPr>
              <w:pStyle w:val="14"/>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服务对象人数</w:t>
            </w:r>
          </w:p>
        </w:tc>
        <w:tc>
          <w:tcPr>
            <w:tcW w:w="2835" w:type="dxa"/>
            <w:vAlign w:val="center"/>
          </w:tcPr>
          <w:p>
            <w:pPr>
              <w:pStyle w:val="14"/>
            </w:pPr>
            <w:r>
              <w:t>服务对象人数</w:t>
            </w:r>
          </w:p>
        </w:tc>
        <w:tc>
          <w:tcPr>
            <w:tcW w:w="2551" w:type="dxa"/>
            <w:vAlign w:val="center"/>
          </w:tcPr>
          <w:p>
            <w:pPr>
              <w:pStyle w:val="14"/>
            </w:pPr>
            <w:r>
              <w:t>≥450人</w:t>
            </w:r>
          </w:p>
        </w:tc>
        <w:tc>
          <w:tcPr>
            <w:tcW w:w="2268" w:type="dxa"/>
            <w:vAlign w:val="center"/>
          </w:tcPr>
          <w:p>
            <w:pPr>
              <w:pStyle w:val="14"/>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各项工作完成及质量</w:t>
            </w:r>
          </w:p>
        </w:tc>
        <w:tc>
          <w:tcPr>
            <w:tcW w:w="2835" w:type="dxa"/>
            <w:vAlign w:val="center"/>
          </w:tcPr>
          <w:p>
            <w:pPr>
              <w:pStyle w:val="14"/>
            </w:pPr>
            <w:r>
              <w:t>保障工作及时完成，顺利开展工作</w:t>
            </w:r>
          </w:p>
        </w:tc>
        <w:tc>
          <w:tcPr>
            <w:tcW w:w="2551" w:type="dxa"/>
            <w:vAlign w:val="center"/>
          </w:tcPr>
          <w:p>
            <w:pPr>
              <w:pStyle w:val="14"/>
            </w:pPr>
            <w:r>
              <w:t>100百分比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维持政府机关正常供电满意度</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11、政府机关水费及净水设备租赁费绩效目标表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1.保证政府大院正常运转。</w:t>
            </w:r>
          </w:p>
          <w:p>
            <w:pPr>
              <w:pStyle w:val="14"/>
            </w:pPr>
            <w:r>
              <w:t>2.保障政府大院450余人的年度水费、净水资金需求</w:t>
            </w:r>
          </w:p>
          <w:p>
            <w:pPr>
              <w:pStyle w:val="14"/>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服务对象人数</w:t>
            </w:r>
          </w:p>
        </w:tc>
        <w:tc>
          <w:tcPr>
            <w:tcW w:w="2835" w:type="dxa"/>
            <w:vAlign w:val="center"/>
          </w:tcPr>
          <w:p>
            <w:pPr>
              <w:pStyle w:val="14"/>
            </w:pPr>
            <w:r>
              <w:t>服务对象人数</w:t>
            </w:r>
          </w:p>
        </w:tc>
        <w:tc>
          <w:tcPr>
            <w:tcW w:w="2551" w:type="dxa"/>
            <w:vAlign w:val="center"/>
          </w:tcPr>
          <w:p>
            <w:pPr>
              <w:pStyle w:val="14"/>
            </w:pPr>
            <w:r>
              <w:t>≥450人</w:t>
            </w:r>
          </w:p>
        </w:tc>
        <w:tc>
          <w:tcPr>
            <w:tcW w:w="2268" w:type="dxa"/>
            <w:vAlign w:val="center"/>
          </w:tcPr>
          <w:p>
            <w:pPr>
              <w:pStyle w:val="14"/>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各项工作完成及质量</w:t>
            </w:r>
          </w:p>
        </w:tc>
        <w:tc>
          <w:tcPr>
            <w:tcW w:w="2835" w:type="dxa"/>
            <w:vAlign w:val="center"/>
          </w:tcPr>
          <w:p>
            <w:pPr>
              <w:pStyle w:val="14"/>
            </w:pPr>
            <w:r>
              <w:t>保障工作及时完成，顺利开展工作</w:t>
            </w:r>
          </w:p>
        </w:tc>
        <w:tc>
          <w:tcPr>
            <w:tcW w:w="2551" w:type="dxa"/>
            <w:vAlign w:val="center"/>
          </w:tcPr>
          <w:p>
            <w:pPr>
              <w:pStyle w:val="14"/>
            </w:pPr>
            <w:r>
              <w:t>100百分比</w:t>
            </w:r>
          </w:p>
        </w:tc>
        <w:tc>
          <w:tcPr>
            <w:tcW w:w="2268" w:type="dxa"/>
            <w:vAlign w:val="center"/>
          </w:tcPr>
          <w:p>
            <w:pPr>
              <w:pStyle w:val="14"/>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实际拨付资金占应拨付资金的比例</w:t>
            </w:r>
          </w:p>
        </w:tc>
        <w:tc>
          <w:tcPr>
            <w:tcW w:w="2551" w:type="dxa"/>
            <w:vAlign w:val="center"/>
          </w:tcPr>
          <w:p>
            <w:pPr>
              <w:pStyle w:val="14"/>
            </w:pPr>
            <w:r>
              <w:t>100百分比</w:t>
            </w:r>
          </w:p>
        </w:tc>
        <w:tc>
          <w:tcPr>
            <w:tcW w:w="2268" w:type="dxa"/>
            <w:vAlign w:val="center"/>
          </w:tcPr>
          <w:p>
            <w:pPr>
              <w:pStyle w:val="14"/>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经费保证率</w:t>
            </w:r>
          </w:p>
        </w:tc>
        <w:tc>
          <w:tcPr>
            <w:tcW w:w="2551" w:type="dxa"/>
            <w:vAlign w:val="center"/>
          </w:tcPr>
          <w:p>
            <w:pPr>
              <w:pStyle w:val="14"/>
            </w:pPr>
            <w:r>
              <w:t>100百分比</w:t>
            </w:r>
          </w:p>
        </w:tc>
        <w:tc>
          <w:tcPr>
            <w:tcW w:w="2268" w:type="dxa"/>
            <w:vAlign w:val="center"/>
          </w:tcPr>
          <w:p>
            <w:pPr>
              <w:pStyle w:val="14"/>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维持政府机关正常运转</w:t>
            </w:r>
          </w:p>
        </w:tc>
        <w:tc>
          <w:tcPr>
            <w:tcW w:w="2835" w:type="dxa"/>
            <w:vAlign w:val="center"/>
          </w:tcPr>
          <w:p>
            <w:pPr>
              <w:pStyle w:val="14"/>
            </w:pPr>
            <w:r>
              <w:t>维持政府机关正常运转</w:t>
            </w:r>
          </w:p>
        </w:tc>
        <w:tc>
          <w:tcPr>
            <w:tcW w:w="2551" w:type="dxa"/>
            <w:vAlign w:val="center"/>
          </w:tcPr>
          <w:p>
            <w:pPr>
              <w:pStyle w:val="14"/>
            </w:pPr>
            <w:r>
              <w:t>≥95百分比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接受群众监督</w:t>
            </w:r>
          </w:p>
        </w:tc>
        <w:tc>
          <w:tcPr>
            <w:tcW w:w="2835" w:type="dxa"/>
            <w:vAlign w:val="center"/>
          </w:tcPr>
          <w:p>
            <w:pPr>
              <w:pStyle w:val="14"/>
            </w:pPr>
            <w:r>
              <w:t>为群众提供优质服务完成率</w:t>
            </w:r>
          </w:p>
        </w:tc>
        <w:tc>
          <w:tcPr>
            <w:tcW w:w="2551" w:type="dxa"/>
            <w:vAlign w:val="center"/>
          </w:tcPr>
          <w:p>
            <w:pPr>
              <w:pStyle w:val="14"/>
            </w:pPr>
            <w:r>
              <w:t>≥95百分比</w:t>
            </w:r>
          </w:p>
        </w:tc>
        <w:tc>
          <w:tcPr>
            <w:tcW w:w="2268" w:type="dxa"/>
            <w:vAlign w:val="center"/>
          </w:tcPr>
          <w:p>
            <w:pPr>
              <w:pStyle w:val="14"/>
            </w:pPr>
            <w:r>
              <w:t>依据社会调查问卷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2023年，保定市徐水区机关服务中心安排政府采购预算129.55万元。具体内容见下表。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430保定市徐水区机关服务中心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129.55</w:t>
            </w:r>
          </w:p>
        </w:tc>
        <w:tc>
          <w:tcPr>
            <w:tcW w:w="964" w:type="dxa"/>
            <w:vAlign w:val="center"/>
          </w:tcPr>
          <w:p>
            <w:pPr>
              <w:pStyle w:val="17"/>
            </w:pPr>
            <w:r>
              <w:t>129.55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保定市徐水区机关服务中心本级小计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129.55</w:t>
            </w:r>
          </w:p>
        </w:tc>
        <w:tc>
          <w:tcPr>
            <w:tcW w:w="964" w:type="dxa"/>
            <w:vAlign w:val="center"/>
          </w:tcPr>
          <w:p>
            <w:pPr>
              <w:pStyle w:val="17"/>
            </w:pPr>
            <w:r>
              <w:t>129.55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保安服务费</w:t>
            </w:r>
          </w:p>
        </w:tc>
        <w:tc>
          <w:tcPr>
            <w:tcW w:w="964" w:type="dxa"/>
            <w:vAlign w:val="center"/>
          </w:tcPr>
          <w:p>
            <w:pPr>
              <w:pStyle w:val="15"/>
            </w:pPr>
            <w:r>
              <w:t>57.90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57.90</w:t>
            </w:r>
          </w:p>
        </w:tc>
        <w:tc>
          <w:tcPr>
            <w:tcW w:w="964" w:type="dxa"/>
            <w:vAlign w:val="center"/>
          </w:tcPr>
          <w:p>
            <w:pPr>
              <w:pStyle w:val="15"/>
            </w:pPr>
            <w:r>
              <w:t>57.90</w:t>
            </w:r>
          </w:p>
        </w:tc>
        <w:tc>
          <w:tcPr>
            <w:tcW w:w="964" w:type="dxa"/>
            <w:vAlign w:val="center"/>
          </w:tcPr>
          <w:p>
            <w:pPr>
              <w:pStyle w:val="15"/>
            </w:pPr>
            <w:r>
              <w:t>57.90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保洁费</w:t>
            </w:r>
          </w:p>
        </w:tc>
        <w:tc>
          <w:tcPr>
            <w:tcW w:w="964" w:type="dxa"/>
            <w:vAlign w:val="center"/>
          </w:tcPr>
          <w:p>
            <w:pPr>
              <w:pStyle w:val="15"/>
            </w:pPr>
            <w:r>
              <w:t>46.87</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46.87</w:t>
            </w:r>
          </w:p>
        </w:tc>
        <w:tc>
          <w:tcPr>
            <w:tcW w:w="964" w:type="dxa"/>
            <w:vAlign w:val="center"/>
          </w:tcPr>
          <w:p>
            <w:pPr>
              <w:pStyle w:val="15"/>
            </w:pPr>
            <w:r>
              <w:t>46.87</w:t>
            </w:r>
          </w:p>
        </w:tc>
        <w:tc>
          <w:tcPr>
            <w:tcW w:w="964" w:type="dxa"/>
            <w:vAlign w:val="center"/>
          </w:tcPr>
          <w:p>
            <w:pPr>
              <w:pStyle w:val="15"/>
            </w:pPr>
            <w:r>
              <w:t>46.87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机关服务中心平台租赁车辆资金</w:t>
            </w:r>
          </w:p>
        </w:tc>
        <w:tc>
          <w:tcPr>
            <w:tcW w:w="964" w:type="dxa"/>
            <w:vAlign w:val="center"/>
          </w:tcPr>
          <w:p>
            <w:pPr>
              <w:pStyle w:val="15"/>
            </w:pPr>
            <w:r>
              <w:t>24.78</w:t>
            </w:r>
          </w:p>
        </w:tc>
        <w:tc>
          <w:tcPr>
            <w:tcW w:w="1134" w:type="dxa"/>
            <w:vAlign w:val="center"/>
          </w:tcPr>
          <w:p>
            <w:pPr>
              <w:pStyle w:val="14"/>
            </w:pPr>
            <w:r>
              <w:t>其他社会服务</w:t>
            </w:r>
          </w:p>
        </w:tc>
        <w:tc>
          <w:tcPr>
            <w:tcW w:w="1134" w:type="dxa"/>
            <w:vAlign w:val="center"/>
          </w:tcPr>
          <w:p>
            <w:pPr>
              <w:pStyle w:val="14"/>
            </w:pPr>
            <w:r>
              <w:t>C05990000</w:t>
            </w:r>
          </w:p>
        </w:tc>
        <w:tc>
          <w:tcPr>
            <w:tcW w:w="709" w:type="dxa"/>
            <w:vAlign w:val="center"/>
          </w:tcPr>
          <w:p>
            <w:pPr>
              <w:pStyle w:val="13"/>
            </w:pPr>
            <w:r>
              <w:t>半年</w:t>
            </w:r>
          </w:p>
        </w:tc>
        <w:tc>
          <w:tcPr>
            <w:tcW w:w="850" w:type="dxa"/>
            <w:vAlign w:val="center"/>
          </w:tcPr>
          <w:p>
            <w:pPr>
              <w:pStyle w:val="15"/>
            </w:pPr>
            <w:r>
              <w:t>1</w:t>
            </w:r>
          </w:p>
        </w:tc>
        <w:tc>
          <w:tcPr>
            <w:tcW w:w="850" w:type="dxa"/>
            <w:vAlign w:val="center"/>
          </w:tcPr>
          <w:p>
            <w:pPr>
              <w:pStyle w:val="15"/>
            </w:pPr>
            <w:r>
              <w:t>24.78</w:t>
            </w:r>
          </w:p>
        </w:tc>
        <w:tc>
          <w:tcPr>
            <w:tcW w:w="964" w:type="dxa"/>
            <w:vAlign w:val="center"/>
          </w:tcPr>
          <w:p>
            <w:pPr>
              <w:pStyle w:val="15"/>
            </w:pPr>
            <w:r>
              <w:t>24.78</w:t>
            </w:r>
          </w:p>
        </w:tc>
        <w:tc>
          <w:tcPr>
            <w:tcW w:w="964" w:type="dxa"/>
            <w:vAlign w:val="center"/>
          </w:tcPr>
          <w:p>
            <w:pPr>
              <w:pStyle w:val="15"/>
            </w:pPr>
            <w:r>
              <w:t>24.78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保定市徐水区机关服务中心（含所属单位）上年末固定资产金额为5314.28万元（详见下表）。本年度拟购置固定资产总额为4.08万元，已按要求列入政府采购预算，详见政府采购预算表。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430保定市徐水区机关服务中心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3"/>
            </w:pPr>
          </w:p>
        </w:tc>
        <w:tc>
          <w:tcPr>
            <w:tcW w:w="2835" w:type="dxa"/>
            <w:vAlign w:val="center"/>
          </w:tcPr>
          <w:p>
            <w:pPr>
              <w:pStyle w:val="15"/>
            </w:pPr>
            <w:r>
              <w:t>5314.28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3"/>
            </w:pPr>
            <w:r>
              <w:t>44092.86</w:t>
            </w:r>
          </w:p>
        </w:tc>
        <w:tc>
          <w:tcPr>
            <w:tcW w:w="2835" w:type="dxa"/>
            <w:vAlign w:val="center"/>
          </w:tcPr>
          <w:p>
            <w:pPr>
              <w:pStyle w:val="15"/>
            </w:pPr>
            <w:r>
              <w:t>4590.35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3"/>
            </w:pPr>
            <w:r>
              <w:t>200</w:t>
            </w:r>
          </w:p>
        </w:tc>
        <w:tc>
          <w:tcPr>
            <w:tcW w:w="2835" w:type="dxa"/>
            <w:vAlign w:val="center"/>
          </w:tcPr>
          <w:p>
            <w:pPr>
              <w:pStyle w:val="15"/>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3"/>
            </w:pPr>
            <w:r>
              <w:t>2</w:t>
            </w:r>
          </w:p>
        </w:tc>
        <w:tc>
          <w:tcPr>
            <w:tcW w:w="2835" w:type="dxa"/>
            <w:vAlign w:val="center"/>
          </w:tcPr>
          <w:p>
            <w:pPr>
              <w:pStyle w:val="15"/>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3"/>
            </w:pPr>
            <w:r>
              <w:t>8</w:t>
            </w:r>
          </w:p>
        </w:tc>
        <w:tc>
          <w:tcPr>
            <w:tcW w:w="2835" w:type="dxa"/>
            <w:vAlign w:val="center"/>
          </w:tcPr>
          <w:p>
            <w:pPr>
              <w:pStyle w:val="15"/>
            </w:pPr>
            <w:r>
              <w:t>471.99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3"/>
            </w:pPr>
            <w:r>
              <w:t>1446</w:t>
            </w:r>
          </w:p>
        </w:tc>
        <w:tc>
          <w:tcPr>
            <w:tcW w:w="2835" w:type="dxa"/>
            <w:vAlign w:val="center"/>
          </w:tcPr>
          <w:p>
            <w:pPr>
              <w:pStyle w:val="15"/>
            </w:pPr>
            <w:r>
              <w:t>223.44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r>
        <w:rPr>
          <w:rFonts w:eastAsia="方正仿宋_GBK"/>
          <w:color w:val="000000"/>
          <w:sz w:val="28"/>
        </w:rPr>
        <w:t>我部门无其他需要说明的事项。</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7D113"/>
    <w:multiLevelType w:val="singleLevel"/>
    <w:tmpl w:val="BB17D1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Y2NmM2RkMDVlYzQ2NzEyOTA2N2Y5ZDRjNWViNGIifQ=="/>
  </w:docVars>
  <w:rsids>
    <w:rsidRoot w:val="00DC62DF"/>
    <w:rsid w:val="006F37AC"/>
    <w:rsid w:val="00754A5E"/>
    <w:rsid w:val="007A3A90"/>
    <w:rsid w:val="00DC62DF"/>
    <w:rsid w:val="00F12776"/>
    <w:rsid w:val="02B45C56"/>
    <w:rsid w:val="1F5A6647"/>
    <w:rsid w:val="332F2BA0"/>
    <w:rsid w:val="379A6BBB"/>
    <w:rsid w:val="3EEF6BFF"/>
    <w:rsid w:val="64727521"/>
    <w:rsid w:val="6EA0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name="toc 2"/>
    <w:lsdException w:qFormat="1" w:uiPriority="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ind w:firstLine="560"/>
    </w:pPr>
    <w:rPr>
      <w:rFonts w:eastAsia="方正仿宋_GBK"/>
      <w:color w:val="000000"/>
      <w:sz w:val="28"/>
    </w:rPr>
  </w:style>
  <w:style w:type="character" w:customStyle="1" w:styleId="7">
    <w:name w:val="页眉 字符"/>
    <w:basedOn w:val="6"/>
    <w:link w:val="3"/>
    <w:autoRedefine/>
    <w:qFormat/>
    <w:uiPriority w:val="99"/>
    <w:rPr>
      <w:rFonts w:ascii="Times New Roman" w:hAnsi="Times New Roman" w:eastAsia="Times New Roman" w:cs="Times New Roman"/>
      <w:kern w:val="0"/>
      <w:sz w:val="18"/>
      <w:szCs w:val="18"/>
      <w:lang w:eastAsia="uk-UA"/>
    </w:rPr>
  </w:style>
  <w:style w:type="character" w:customStyle="1" w:styleId="8">
    <w:name w:val="页脚 字符"/>
    <w:basedOn w:val="6"/>
    <w:link w:val="2"/>
    <w:autoRedefine/>
    <w:qFormat/>
    <w:uiPriority w:val="99"/>
    <w:rPr>
      <w:rFonts w:ascii="Times New Roman" w:hAnsi="Times New Roman" w:eastAsia="Times New Roman" w:cs="Times New Roman"/>
      <w:kern w:val="0"/>
      <w:sz w:val="18"/>
      <w:szCs w:val="18"/>
      <w:lang w:eastAsia="uk-UA"/>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11095</Words>
  <Characters>12840</Characters>
  <Lines>116</Lines>
  <Paragraphs>32</Paragraphs>
  <TotalTime>1</TotalTime>
  <ScaleCrop>false</ScaleCrop>
  <LinksUpToDate>false</LinksUpToDate>
  <CharactersWithSpaces>13021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2023-02-27T03:10:00Z</dcterms:created>
  <dc:creator>Administrator</dc:creator>
  <cp:lastModifiedBy>WPS_1602455382</cp:lastModifiedBy>
  <dcterms:modified xsi:type="dcterms:W3CDTF">2024-06-05T08:08:36Z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B1DA7F301C014BB1A6C5CE762EACFB6F</vt:lpwstr>
  </property>
</Properties>
</file>