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妇女联合会</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根据《保定市徐水区妇女联合会职能配置、内设机构和人员编制规定》，保定市徐水区妇女联合会的主要职责是：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徐水区妇女联合会是党领导下的全县各族各界妇女的群众团体，是党和政府联系好女群众的桥梁和纽带，是国家政权的重要支柱之一，其主要职责是: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(一)坚持正确的政治方向，团结、教育全区各族各界妇女以及各类妇女组织同党中央在思想上、政治上、行动上保持高度一致。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(二)紧密围绕区委、区政府的中心任务开展工作。团结、动员和组织妇女群众投导改革开放和社会主义物质文明、精神文明建设，积极促进我区经济发展和社会进步，为维护改革、稳定、发展的大局服务。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(五)坚持为妇女儿童服务、为基层服务，加强与社会各界的联系，协调推动全社会为妇女儿童办实事，办好事。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(七)积极发展同各省、市及各县妇女和妇女组织的友好交往，增进了解和友谊，开展合作。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(八)承担徐水区妇女儿童工作委员会办公室的工作。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(九)承办区委、区政府交给的有关工作。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(十)开展省级妇女之家建设和儿童友好城市建设工作。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保定市徐水区妇女联合会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195.92</w:t>
      </w:r>
      <w:r>
        <w:rPr>
          <w:rFonts w:ascii="仿宋" w:hAnsi="仿宋" w:eastAsia="仿宋"/>
          <w:sz w:val="32"/>
          <w:szCs w:val="32"/>
        </w:rPr>
        <w:t>万元,其中：一般公共预算收入</w:t>
      </w:r>
      <w:r>
        <w:rPr>
          <w:rFonts w:hint="default" w:ascii="仿宋" w:hAnsi="仿宋" w:eastAsia="仿宋"/>
          <w:sz w:val="32"/>
          <w:szCs w:val="32"/>
          <w:lang w:val="en-US"/>
        </w:rPr>
        <w:t>195.91</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195.92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基本支出167.41万元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155.97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11.44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28.51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20.01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195.92</w:t>
      </w:r>
      <w:r>
        <w:rPr>
          <w:rFonts w:hint="eastAsia" w:ascii="仿宋" w:hAnsi="仿宋" w:eastAsia="仿宋"/>
          <w:sz w:val="32"/>
          <w:szCs w:val="32"/>
        </w:rPr>
        <w:t>万元，较上年增加</w:t>
      </w:r>
      <w:r>
        <w:rPr>
          <w:rFonts w:hint="default" w:ascii="仿宋" w:hAnsi="仿宋" w:eastAsia="仿宋"/>
          <w:sz w:val="32"/>
          <w:szCs w:val="32"/>
          <w:lang w:val="en-US"/>
        </w:rPr>
        <w:t>99.7</w:t>
      </w:r>
      <w:r>
        <w:rPr>
          <w:rFonts w:ascii="仿宋" w:hAnsi="仿宋" w:eastAsia="仿宋"/>
          <w:sz w:val="32"/>
          <w:szCs w:val="32"/>
        </w:rPr>
        <w:t>万元。其中:基本支出增加</w:t>
      </w:r>
      <w:r>
        <w:rPr>
          <w:rFonts w:hint="default" w:ascii="仿宋" w:hAnsi="仿宋" w:eastAsia="仿宋"/>
          <w:sz w:val="32"/>
          <w:szCs w:val="32"/>
          <w:lang w:val="en-US"/>
        </w:rPr>
        <w:t>76.85</w:t>
      </w:r>
      <w:r>
        <w:rPr>
          <w:rFonts w:ascii="仿宋" w:hAnsi="仿宋" w:eastAsia="仿宋"/>
          <w:sz w:val="32"/>
          <w:szCs w:val="32"/>
        </w:rPr>
        <w:t>万元，主要原因是</w:t>
      </w:r>
      <w:r>
        <w:rPr>
          <w:rFonts w:hint="eastAsia" w:ascii="仿宋" w:hAnsi="仿宋" w:eastAsia="仿宋"/>
          <w:sz w:val="32"/>
          <w:szCs w:val="32"/>
          <w:lang w:eastAsia="zh-CN"/>
        </w:rPr>
        <w:t>根据工作需要</w:t>
      </w:r>
      <w:r>
        <w:rPr>
          <w:rFonts w:ascii="仿宋" w:hAnsi="仿宋" w:eastAsia="仿宋"/>
          <w:sz w:val="32"/>
          <w:szCs w:val="32"/>
        </w:rPr>
        <w:t>；项目支出增加</w:t>
      </w:r>
      <w:r>
        <w:rPr>
          <w:rFonts w:hint="default" w:ascii="仿宋" w:hAnsi="仿宋" w:eastAsia="仿宋"/>
          <w:sz w:val="32"/>
          <w:szCs w:val="32"/>
          <w:lang w:val="en-US"/>
        </w:rPr>
        <w:t>22.85</w:t>
      </w:r>
      <w:r>
        <w:rPr>
          <w:rFonts w:ascii="仿宋" w:hAnsi="仿宋" w:eastAsia="仿宋"/>
          <w:sz w:val="32"/>
          <w:szCs w:val="32"/>
        </w:rPr>
        <w:t>万元，主要原因是</w:t>
      </w:r>
      <w:r>
        <w:rPr>
          <w:rFonts w:hint="eastAsia" w:ascii="仿宋" w:hAnsi="仿宋" w:eastAsia="仿宋"/>
          <w:sz w:val="32"/>
          <w:szCs w:val="32"/>
          <w:lang w:eastAsia="zh-CN"/>
        </w:rPr>
        <w:t>增加了</w:t>
      </w:r>
      <w:r>
        <w:rPr>
          <w:rFonts w:hint="default" w:ascii="仿宋" w:hAnsi="仿宋" w:eastAsia="仿宋"/>
          <w:sz w:val="32"/>
          <w:szCs w:val="32"/>
          <w:lang w:val="en-US" w:eastAsia="zh-CN"/>
        </w:rPr>
        <w:t>1</w:t>
      </w:r>
      <w:r>
        <w:rPr>
          <w:rFonts w:hint="eastAsia" w:ascii="仿宋" w:hAnsi="仿宋" w:eastAsia="仿宋"/>
          <w:sz w:val="32"/>
          <w:szCs w:val="32"/>
          <w:lang w:eastAsia="zh-CN"/>
        </w:rPr>
        <w:t>个本级新项目和</w:t>
      </w:r>
      <w:r>
        <w:rPr>
          <w:rFonts w:hint="default" w:ascii="仿宋" w:hAnsi="仿宋" w:eastAsia="仿宋"/>
          <w:sz w:val="32"/>
          <w:szCs w:val="32"/>
          <w:lang w:val="en-US" w:eastAsia="zh-CN"/>
        </w:rPr>
        <w:t>1</w:t>
      </w:r>
      <w:r>
        <w:rPr>
          <w:rFonts w:hint="eastAsia" w:ascii="仿宋" w:hAnsi="仿宋" w:eastAsia="仿宋"/>
          <w:sz w:val="32"/>
          <w:szCs w:val="32"/>
          <w:lang w:val="en-US" w:eastAsia="zh-CN"/>
        </w:rPr>
        <w:t>个</w:t>
      </w:r>
      <w:r>
        <w:rPr>
          <w:rFonts w:hint="eastAsia" w:ascii="仿宋" w:hAnsi="仿宋" w:eastAsia="仿宋"/>
          <w:sz w:val="32"/>
          <w:szCs w:val="32"/>
          <w:lang w:eastAsia="zh-CN"/>
        </w:rPr>
        <w:t>上级转移支付项目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11.44</w:t>
      </w:r>
      <w:r>
        <w:rPr>
          <w:rFonts w:ascii="仿宋" w:hAnsi="仿宋" w:eastAsia="仿宋"/>
          <w:sz w:val="32"/>
          <w:szCs w:val="32"/>
        </w:rPr>
        <w:t>万元，其中办公费</w:t>
      </w:r>
      <w:r>
        <w:rPr>
          <w:rFonts w:hint="default" w:ascii="仿宋" w:hAnsi="仿宋" w:eastAsia="仿宋"/>
          <w:sz w:val="32"/>
          <w:szCs w:val="32"/>
          <w:lang w:val="en-US"/>
        </w:rPr>
        <w:t>1.06</w:t>
      </w:r>
      <w:r>
        <w:rPr>
          <w:rFonts w:ascii="仿宋" w:hAnsi="仿宋" w:eastAsia="仿宋"/>
          <w:sz w:val="32"/>
          <w:szCs w:val="32"/>
        </w:rPr>
        <w:t>万元，邮电费</w:t>
      </w:r>
      <w:r>
        <w:rPr>
          <w:rFonts w:hint="default" w:ascii="仿宋" w:hAnsi="仿宋" w:eastAsia="仿宋"/>
          <w:sz w:val="32"/>
          <w:szCs w:val="32"/>
          <w:lang w:val="en-US"/>
        </w:rPr>
        <w:t>0.43</w:t>
      </w:r>
      <w:r>
        <w:rPr>
          <w:rFonts w:ascii="仿宋" w:hAnsi="仿宋" w:eastAsia="仿宋"/>
          <w:sz w:val="32"/>
          <w:szCs w:val="32"/>
        </w:rPr>
        <w:t>万元，工会经费、福利费</w:t>
      </w:r>
      <w:r>
        <w:rPr>
          <w:rFonts w:hint="default" w:ascii="仿宋" w:hAnsi="仿宋" w:eastAsia="仿宋"/>
          <w:sz w:val="32"/>
          <w:szCs w:val="32"/>
          <w:lang w:val="en-US"/>
        </w:rPr>
        <w:t>1.45</w:t>
      </w:r>
      <w:r>
        <w:rPr>
          <w:rFonts w:ascii="仿宋" w:hAnsi="仿宋" w:eastAsia="仿宋"/>
          <w:sz w:val="32"/>
          <w:szCs w:val="32"/>
        </w:rPr>
        <w:t>万元，公务用车运行维护费</w:t>
      </w:r>
      <w:r>
        <w:rPr>
          <w:rFonts w:hint="default" w:ascii="仿宋" w:hAnsi="仿宋" w:eastAsia="仿宋"/>
          <w:sz w:val="32"/>
          <w:szCs w:val="32"/>
          <w:lang w:val="en-US"/>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6.07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2.43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0.57</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缩减开支</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0.6</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0.03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0.57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缩减开支</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3.6</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2.46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1.14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缩减开支</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为广大妇女积极投身“双创”提供服务。依法维护妇女合法权益，引导妇女群众自觉</w:t>
      </w:r>
      <w:r>
        <w:rPr>
          <w:rFonts w:hint="eastAsia" w:ascii="仿宋" w:hAnsi="仿宋" w:eastAsia="仿宋"/>
          <w:sz w:val="32"/>
          <w:szCs w:val="32"/>
          <w:lang w:eastAsia="zh-CN"/>
        </w:rPr>
        <w:t>尊</w:t>
      </w:r>
      <w:bookmarkStart w:id="4" w:name="_GoBack"/>
      <w:bookmarkEnd w:id="4"/>
      <w:r>
        <w:rPr>
          <w:rFonts w:hint="eastAsia" w:ascii="仿宋" w:hAnsi="仿宋" w:eastAsia="仿宋"/>
          <w:sz w:val="32"/>
          <w:szCs w:val="32"/>
        </w:rPr>
        <w:t>法学法守法用法。救助困境儿童，制定并推动妇女儿童发展规划顺利实施。指导乡镇妇联完善运行机制，提升工作水平。打造省级示范妇女之家，为妇女儿童提供针对性服务。促进儿童健康成长，促进儿童事业高质量发展，推动儿童友好城市建设。</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（一）团结动员妇女参加经济社会建设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绩效目标：贯彻落实区委部署，引导全区妇女听党话、跟党走，发扬“四自”精神，围绕“五位一体”总体布局和“四个全面”战略布局，全面提高妇女素质和创业创新能力，为建设经济强区美丽徐水做贡献。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绩效指标：支持创建和培育巾帼示范基地2个，培训妇女2000人；开展美丽庭院创建活动，组织讲师团在全区妇女讲习所开展培训50课时以上，巾帼志愿者人数达到100人。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（二）维护妇女儿童合法权益促进妇女儿童发展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绩效目标：关注涉及妇女切身利益的热点、难点问题，及时提出对策建议；强化维权服务，帮扶困境群体，推动儿童友好城市建设，协调推动各成员单位落实好“十大行动”和“二十项基础性工作”。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建设200个以上婚调室，维权骨干培训满意率达到75%以上。对50名困境儿童给予紧急资金救助。按计划开展学习调研、举办各类活动、邀请专家论证、进行宣传推广、推动儿童之家建设等活动，建成儿童友好城市试点10个。</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（三）妇联综合业务管理水平进一步提高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加强妇联基层组织建设和机关建设、机关党建，做好机关基础设施建设与维护，推进机关信息化建设，做好区政府妇儿工委办公室工作，做好区委、区政府交办的各项工作，为妇女儿童事业发展提供有力保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绩效指标：加强妇女之家基层阵地建设，年内建成省级示范妇女之家1个。做好区政府妇儿工委办公室工作，建设6个儿童之家示范点。</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（一）完善制度建设。认真梳理并进一步健全预算绩效管理制度，不断完善工作机制和工作流程，确保</w:t>
      </w:r>
      <w:r>
        <w:rPr>
          <w:rFonts w:hint="eastAsia" w:ascii="仿宋" w:hAnsi="仿宋" w:eastAsia="仿宋"/>
          <w:sz w:val="32"/>
          <w:szCs w:val="32"/>
          <w:lang w:eastAsia="zh-CN"/>
        </w:rPr>
        <w:t>单位</w:t>
      </w:r>
      <w:r>
        <w:rPr>
          <w:rFonts w:hint="eastAsia" w:ascii="仿宋" w:hAnsi="仿宋" w:eastAsia="仿宋"/>
          <w:sz w:val="32"/>
          <w:szCs w:val="32"/>
        </w:rPr>
        <w:t>预算绩效管理工作有规可循、有章可依。</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（二）加强支出管理。通过优化支出结构、编细编实预算、加快履行政府采购手续、尽快启动项目、及时支付资金，确保支出进度达标。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（三）加强绩效运行监控。按要求开展绩效运行监控，细化监控内容，完善监控方式，发现问题及时采取措施，着力提升财政资金使用绩效，确保绩效目标如期保质实现。</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（四）做好绩效自评。按要求开展上年度</w:t>
      </w:r>
      <w:r>
        <w:rPr>
          <w:rFonts w:hint="eastAsia" w:ascii="仿宋" w:hAnsi="仿宋" w:eastAsia="仿宋"/>
          <w:sz w:val="32"/>
          <w:szCs w:val="32"/>
          <w:lang w:eastAsia="zh-CN"/>
        </w:rPr>
        <w:t>单位</w:t>
      </w:r>
      <w:r>
        <w:rPr>
          <w:rFonts w:hint="eastAsia" w:ascii="仿宋" w:hAnsi="仿宋" w:eastAsia="仿宋"/>
          <w:sz w:val="32"/>
          <w:szCs w:val="32"/>
        </w:rPr>
        <w:t>预算绩效自评和重点评价工作，对评价中发现的问题及时整改，调整优化支出结构，提高财政资金使用效益。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（五）规范财务资产管理。完善财务管理制度，严格审批程序，加强固定资产登记、使用和报废处置管理，做到支出合理，物尽其用。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（七）加强宣传培训调研。加强人员培训，提高本</w:t>
      </w:r>
      <w:r>
        <w:rPr>
          <w:rFonts w:hint="eastAsia" w:ascii="仿宋" w:hAnsi="仿宋" w:eastAsia="仿宋"/>
          <w:sz w:val="32"/>
          <w:szCs w:val="32"/>
          <w:lang w:eastAsia="zh-CN"/>
        </w:rPr>
        <w:t>单位</w:t>
      </w:r>
      <w:r>
        <w:rPr>
          <w:rFonts w:hint="eastAsia" w:ascii="仿宋" w:hAnsi="仿宋" w:eastAsia="仿宋"/>
          <w:sz w:val="32"/>
          <w:szCs w:val="32"/>
        </w:rPr>
        <w:t>职工业务素质；加强调研，提出优化财政资金配置、提高资金使用效益的意见建议；加大宣传力度，强化预算绩效管理意识，促进预算绩效管理水平进一步提升。</w:t>
      </w: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仿宋" w:hAnsi="仿宋" w:eastAsia="仿宋"/>
          <w:sz w:val="32"/>
          <w:szCs w:val="32"/>
        </w:rPr>
      </w:pPr>
      <w:r>
        <w:rPr>
          <w:rFonts w:hint="eastAsia" w:ascii="方正小标宋_GBK" w:eastAsia="方正小标宋_GBK"/>
          <w:sz w:val="44"/>
        </w:rPr>
        <w:t>预算项目绩效目标</w:t>
      </w:r>
      <w:r>
        <w:rPr>
          <w:rFonts w:ascii="方正书宋_GBK" w:eastAsia="方正书宋_GBK"/>
        </w:rPr>
        <w:t xml:space="preserve"> </w:t>
      </w:r>
    </w:p>
    <w:p>
      <w:pPr>
        <w:spacing w:before="0" w:after="0"/>
        <w:ind w:firstLine="560"/>
        <w:jc w:val="left"/>
        <w:outlineLvl w:val="3"/>
        <w:rPr>
          <w:rFonts w:ascii="方正仿宋_GBK" w:hAnsi="方正仿宋_GBK" w:eastAsia="方正仿宋_GBK" w:cs="方正仿宋_GBK"/>
          <w:color w:val="000000"/>
          <w:sz w:val="28"/>
        </w:rPr>
      </w:pPr>
      <w:bookmarkStart w:id="0" w:name="_Toc_4_4_0000000004"/>
    </w:p>
    <w:p>
      <w:pPr>
        <w:spacing w:before="0" w:after="0"/>
        <w:ind w:firstLine="560"/>
        <w:jc w:val="left"/>
        <w:outlineLvl w:val="3"/>
      </w:pPr>
      <w:r>
        <w:rPr>
          <w:rFonts w:ascii="方正仿宋_GBK" w:hAnsi="方正仿宋_GBK" w:eastAsia="方正仿宋_GBK" w:cs="方正仿宋_GBK"/>
          <w:color w:val="000000"/>
          <w:sz w:val="28"/>
        </w:rPr>
        <w:t>1.儿童友好城市建设绩效目标表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713001保定市徐水区妇女联合会本级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13062522P00456710206E</w:t>
            </w:r>
          </w:p>
        </w:tc>
        <w:tc>
          <w:tcPr>
            <w:tcW w:w="1587" w:type="dxa"/>
            <w:vAlign w:val="center"/>
          </w:tcPr>
          <w:p>
            <w:pPr>
              <w:pStyle w:val="16"/>
            </w:pPr>
            <w:r>
              <w:t>项目名称</w:t>
            </w:r>
          </w:p>
        </w:tc>
        <w:tc>
          <w:tcPr>
            <w:tcW w:w="4422" w:type="dxa"/>
            <w:gridSpan w:val="3"/>
            <w:vAlign w:val="center"/>
          </w:tcPr>
          <w:p>
            <w:pPr>
              <w:pStyle w:val="17"/>
            </w:pPr>
            <w:r>
              <w:t>儿童友好城市建设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20.00</w:t>
            </w:r>
          </w:p>
        </w:tc>
        <w:tc>
          <w:tcPr>
            <w:tcW w:w="1587" w:type="dxa"/>
            <w:vAlign w:val="center"/>
          </w:tcPr>
          <w:p>
            <w:pPr>
              <w:pStyle w:val="16"/>
            </w:pPr>
            <w:r>
              <w:t>其中：财政    资金</w:t>
            </w:r>
          </w:p>
        </w:tc>
        <w:tc>
          <w:tcPr>
            <w:tcW w:w="1304" w:type="dxa"/>
            <w:vAlign w:val="center"/>
          </w:tcPr>
          <w:p>
            <w:pPr>
              <w:pStyle w:val="17"/>
            </w:pPr>
            <w:r>
              <w:t>20.00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该项目需资金20万元，其中组织培训、调研、专家论证等活动经费5万元；儿童友好城市示范点建设、儿童之间建设等其他建设经费12万元；其他业务经费3万元。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70%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1.促进儿童健康成长，促进儿童事业高质量发展，协调推动各成员单位落实好“十大行动”和“二十项基础性工作”。</w:t>
            </w:r>
          </w:p>
          <w:p>
            <w:pPr>
              <w:pStyle w:val="17"/>
            </w:pPr>
            <w:r>
              <w:t>2.按计划开展学习调研、举办各类活动、邀请专家论证、进行宣传推广、推动儿童之家建设等活动，建成儿童友好城市试点10个。</w:t>
            </w:r>
          </w:p>
          <w:p>
            <w:pPr>
              <w:pStyle w:val="17"/>
            </w:pPr>
            <w:r>
              <w:t>3.3月份支出30%，6月份支出70%，9月份支出90%以上。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儿童友好城市试点数量</w:t>
            </w:r>
          </w:p>
        </w:tc>
        <w:tc>
          <w:tcPr>
            <w:tcW w:w="2891" w:type="dxa"/>
            <w:vAlign w:val="center"/>
          </w:tcPr>
          <w:p>
            <w:pPr>
              <w:pStyle w:val="17"/>
            </w:pPr>
            <w:r>
              <w:t>考察实际试点建设数量是否符合计划要求</w:t>
            </w:r>
          </w:p>
        </w:tc>
        <w:tc>
          <w:tcPr>
            <w:tcW w:w="1276" w:type="dxa"/>
            <w:vAlign w:val="center"/>
          </w:tcPr>
          <w:p>
            <w:pPr>
              <w:pStyle w:val="17"/>
            </w:pPr>
            <w:r>
              <w:t>≥9个</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验收合格率</w:t>
            </w:r>
          </w:p>
        </w:tc>
        <w:tc>
          <w:tcPr>
            <w:tcW w:w="2891" w:type="dxa"/>
            <w:vAlign w:val="center"/>
          </w:tcPr>
          <w:p>
            <w:pPr>
              <w:pStyle w:val="17"/>
            </w:pPr>
            <w:r>
              <w:t>儿童友好城市建设试点验收合格率</w:t>
            </w:r>
          </w:p>
        </w:tc>
        <w:tc>
          <w:tcPr>
            <w:tcW w:w="1276" w:type="dxa"/>
            <w:vAlign w:val="center"/>
          </w:tcPr>
          <w:p>
            <w:pPr>
              <w:pStyle w:val="17"/>
            </w:pPr>
            <w:r>
              <w:t>≥85%</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完工及时率</w:t>
            </w:r>
          </w:p>
        </w:tc>
        <w:tc>
          <w:tcPr>
            <w:tcW w:w="2891" w:type="dxa"/>
            <w:vAlign w:val="center"/>
          </w:tcPr>
          <w:p>
            <w:pPr>
              <w:pStyle w:val="17"/>
            </w:pPr>
            <w:r>
              <w:t>考察试点建设按计划时间完成情况</w:t>
            </w:r>
          </w:p>
        </w:tc>
        <w:tc>
          <w:tcPr>
            <w:tcW w:w="1276" w:type="dxa"/>
            <w:vAlign w:val="center"/>
          </w:tcPr>
          <w:p>
            <w:pPr>
              <w:pStyle w:val="17"/>
            </w:pPr>
            <w:r>
              <w:t>≥85%</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总成本费用</w:t>
            </w:r>
          </w:p>
        </w:tc>
        <w:tc>
          <w:tcPr>
            <w:tcW w:w="2891" w:type="dxa"/>
            <w:vAlign w:val="center"/>
          </w:tcPr>
          <w:p>
            <w:pPr>
              <w:pStyle w:val="17"/>
            </w:pPr>
            <w:r>
              <w:t>总成本支出小于预算数</w:t>
            </w:r>
          </w:p>
        </w:tc>
        <w:tc>
          <w:tcPr>
            <w:tcW w:w="1276" w:type="dxa"/>
            <w:vAlign w:val="center"/>
          </w:tcPr>
          <w:p>
            <w:pPr>
              <w:pStyle w:val="17"/>
            </w:pPr>
            <w:r>
              <w:t>≤20万元</w:t>
            </w:r>
          </w:p>
        </w:tc>
        <w:tc>
          <w:tcPr>
            <w:tcW w:w="1843" w:type="dxa"/>
            <w:vAlign w:val="center"/>
          </w:tcPr>
          <w:p>
            <w:pPr>
              <w:pStyle w:val="17"/>
            </w:pPr>
            <w:r>
              <w:t>根据项目经费请示批示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儿童友好城市试点有效利用率</w:t>
            </w:r>
          </w:p>
        </w:tc>
        <w:tc>
          <w:tcPr>
            <w:tcW w:w="2891" w:type="dxa"/>
            <w:vAlign w:val="center"/>
          </w:tcPr>
          <w:p>
            <w:pPr>
              <w:pStyle w:val="17"/>
            </w:pPr>
            <w:r>
              <w:t>考察儿童友好城市试点利用达到预期效果数量占总数量的比例</w:t>
            </w:r>
          </w:p>
        </w:tc>
        <w:tc>
          <w:tcPr>
            <w:tcW w:w="1276" w:type="dxa"/>
            <w:vAlign w:val="center"/>
          </w:tcPr>
          <w:p>
            <w:pPr>
              <w:pStyle w:val="17"/>
            </w:pPr>
            <w:r>
              <w:t>≥70%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考察服务对象对建成的试点体验满意度情况</w:t>
            </w:r>
          </w:p>
        </w:tc>
        <w:tc>
          <w:tcPr>
            <w:tcW w:w="1276" w:type="dxa"/>
            <w:vAlign w:val="center"/>
          </w:tcPr>
          <w:p>
            <w:pPr>
              <w:pStyle w:val="17"/>
            </w:pPr>
            <w:r>
              <w:t>≥75%</w:t>
            </w:r>
          </w:p>
        </w:tc>
        <w:tc>
          <w:tcPr>
            <w:tcW w:w="1843" w:type="dxa"/>
            <w:vAlign w:val="center"/>
          </w:tcPr>
          <w:p>
            <w:pPr>
              <w:pStyle w:val="17"/>
            </w:pPr>
            <w:r>
              <w:t>根据满意度调查问卷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2.利息收入绩效目标表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713001保定市徐水区妇女联合会本级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13062522P00459810048X</w:t>
            </w:r>
          </w:p>
        </w:tc>
        <w:tc>
          <w:tcPr>
            <w:tcW w:w="1587" w:type="dxa"/>
            <w:vAlign w:val="center"/>
          </w:tcPr>
          <w:p>
            <w:pPr>
              <w:pStyle w:val="16"/>
            </w:pPr>
            <w:r>
              <w:t>项目名称</w:t>
            </w:r>
          </w:p>
        </w:tc>
        <w:tc>
          <w:tcPr>
            <w:tcW w:w="4422" w:type="dxa"/>
            <w:gridSpan w:val="3"/>
            <w:vAlign w:val="center"/>
          </w:tcPr>
          <w:p>
            <w:pPr>
              <w:pStyle w:val="17"/>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0.01</w:t>
            </w:r>
          </w:p>
        </w:tc>
        <w:tc>
          <w:tcPr>
            <w:tcW w:w="1587" w:type="dxa"/>
            <w:vAlign w:val="center"/>
          </w:tcPr>
          <w:p>
            <w:pPr>
              <w:pStyle w:val="16"/>
            </w:pPr>
            <w:r>
              <w:t>其中：财政    资金</w:t>
            </w:r>
          </w:p>
        </w:tc>
        <w:tc>
          <w:tcPr>
            <w:tcW w:w="1304" w:type="dxa"/>
            <w:vAlign w:val="center"/>
          </w:tcPr>
          <w:p>
            <w:pPr>
              <w:pStyle w:val="17"/>
            </w:pPr>
            <w:r>
              <w:t xml:space="preserve"> </w:t>
            </w:r>
          </w:p>
        </w:tc>
        <w:tc>
          <w:tcPr>
            <w:tcW w:w="1276" w:type="dxa"/>
            <w:vAlign w:val="center"/>
          </w:tcPr>
          <w:p>
            <w:pPr>
              <w:pStyle w:val="16"/>
            </w:pPr>
            <w:r>
              <w:t>其他资金</w:t>
            </w:r>
          </w:p>
        </w:tc>
        <w:tc>
          <w:tcPr>
            <w:tcW w:w="1843" w:type="dxa"/>
            <w:vAlign w:val="center"/>
          </w:tcPr>
          <w:p>
            <w:pPr>
              <w:pStyle w:val="17"/>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1.预计本年度利息收支100元，主要用于办公费用。</w:t>
            </w:r>
          </w:p>
          <w:p>
            <w:pPr>
              <w:pStyle w:val="17"/>
            </w:pPr>
            <w:r>
              <w:t>2.12月份支出100%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结息次数</w:t>
            </w:r>
          </w:p>
        </w:tc>
        <w:tc>
          <w:tcPr>
            <w:tcW w:w="2891" w:type="dxa"/>
            <w:vAlign w:val="center"/>
          </w:tcPr>
          <w:p>
            <w:pPr>
              <w:pStyle w:val="17"/>
            </w:pPr>
            <w:r>
              <w:t>本年度结息次数</w:t>
            </w:r>
          </w:p>
        </w:tc>
        <w:tc>
          <w:tcPr>
            <w:tcW w:w="1276" w:type="dxa"/>
            <w:vAlign w:val="center"/>
          </w:tcPr>
          <w:p>
            <w:pPr>
              <w:pStyle w:val="17"/>
            </w:pPr>
            <w:r>
              <w:t>≥3次</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结息准确率</w:t>
            </w:r>
          </w:p>
        </w:tc>
        <w:tc>
          <w:tcPr>
            <w:tcW w:w="2891" w:type="dxa"/>
            <w:vAlign w:val="center"/>
          </w:tcPr>
          <w:p>
            <w:pPr>
              <w:pStyle w:val="17"/>
            </w:pPr>
            <w:r>
              <w:t>反映结息金额的准确率</w:t>
            </w:r>
          </w:p>
        </w:tc>
        <w:tc>
          <w:tcPr>
            <w:tcW w:w="1276" w:type="dxa"/>
            <w:vAlign w:val="center"/>
          </w:tcPr>
          <w:p>
            <w:pPr>
              <w:pStyle w:val="17"/>
            </w:pPr>
            <w:r>
              <w:t>≥90%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结息及时率</w:t>
            </w:r>
          </w:p>
        </w:tc>
        <w:tc>
          <w:tcPr>
            <w:tcW w:w="2891" w:type="dxa"/>
            <w:vAlign w:val="center"/>
          </w:tcPr>
          <w:p>
            <w:pPr>
              <w:pStyle w:val="17"/>
            </w:pPr>
            <w:r>
              <w:t>反映按时结息次数占总次数的比例</w:t>
            </w:r>
          </w:p>
        </w:tc>
        <w:tc>
          <w:tcPr>
            <w:tcW w:w="1276" w:type="dxa"/>
            <w:vAlign w:val="center"/>
          </w:tcPr>
          <w:p>
            <w:pPr>
              <w:pStyle w:val="17"/>
            </w:pPr>
            <w:r>
              <w:t>≥80%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节约成本</w:t>
            </w:r>
          </w:p>
        </w:tc>
        <w:tc>
          <w:tcPr>
            <w:tcW w:w="2891" w:type="dxa"/>
            <w:vAlign w:val="center"/>
          </w:tcPr>
          <w:p>
            <w:pPr>
              <w:pStyle w:val="17"/>
            </w:pPr>
            <w:r>
              <w:t>利息支出占利息收入的比例</w:t>
            </w:r>
          </w:p>
        </w:tc>
        <w:tc>
          <w:tcPr>
            <w:tcW w:w="1276" w:type="dxa"/>
            <w:vAlign w:val="center"/>
          </w:tcPr>
          <w:p>
            <w:pPr>
              <w:pStyle w:val="17"/>
            </w:pPr>
            <w:r>
              <w:t>≤100%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形成持续节约意识</w:t>
            </w:r>
          </w:p>
        </w:tc>
        <w:tc>
          <w:tcPr>
            <w:tcW w:w="2891" w:type="dxa"/>
            <w:vAlign w:val="center"/>
          </w:tcPr>
          <w:p>
            <w:pPr>
              <w:pStyle w:val="17"/>
            </w:pPr>
            <w:r>
              <w:t>反映有效利用利息收入后形成节约意识的持续时间</w:t>
            </w:r>
          </w:p>
        </w:tc>
        <w:tc>
          <w:tcPr>
            <w:tcW w:w="1276" w:type="dxa"/>
            <w:vAlign w:val="center"/>
          </w:tcPr>
          <w:p>
            <w:pPr>
              <w:pStyle w:val="17"/>
            </w:pPr>
            <w:r>
              <w:t>≥12月</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本单位人员的满意率</w:t>
            </w:r>
          </w:p>
        </w:tc>
        <w:tc>
          <w:tcPr>
            <w:tcW w:w="2891" w:type="dxa"/>
            <w:vAlign w:val="center"/>
          </w:tcPr>
          <w:p>
            <w:pPr>
              <w:pStyle w:val="17"/>
            </w:pPr>
            <w:r>
              <w:t>反映本单位人员对利息支出的满意度</w:t>
            </w:r>
          </w:p>
        </w:tc>
        <w:tc>
          <w:tcPr>
            <w:tcW w:w="1276" w:type="dxa"/>
            <w:vAlign w:val="center"/>
          </w:tcPr>
          <w:p>
            <w:pPr>
              <w:pStyle w:val="17"/>
            </w:pPr>
            <w:r>
              <w:t>≥80%</w:t>
            </w:r>
          </w:p>
        </w:tc>
        <w:tc>
          <w:tcPr>
            <w:tcW w:w="1843" w:type="dxa"/>
            <w:vAlign w:val="center"/>
          </w:tcPr>
          <w:p>
            <w:pPr>
              <w:pStyle w:val="17"/>
            </w:pPr>
            <w:r>
              <w:t>根据实际测评情况</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bookmarkStart w:id="2" w:name="_Toc_4_4_0000000006"/>
      <w:r>
        <w:rPr>
          <w:rFonts w:hint="default" w:ascii="方正仿宋_GBK" w:hAnsi="方正仿宋_GBK" w:eastAsia="方正仿宋_GBK" w:cs="方正仿宋_GBK"/>
          <w:color w:val="000000"/>
          <w:sz w:val="28"/>
          <w:lang w:val="en-US"/>
        </w:rPr>
        <w:t xml:space="preserve">    </w:t>
      </w:r>
      <w:r>
        <w:rPr>
          <w:rFonts w:ascii="方正仿宋_GBK" w:hAnsi="方正仿宋_GBK" w:eastAsia="方正仿宋_GBK" w:cs="方正仿宋_GBK"/>
          <w:color w:val="000000"/>
          <w:sz w:val="28"/>
        </w:rPr>
        <w:t>3.省级妇女之家建设资金绩效目标表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212"/>
        <w:gridCol w:w="14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47"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713001保定市徐水区妇女联合会本级</w:t>
            </w:r>
          </w:p>
        </w:tc>
        <w:tc>
          <w:tcPr>
            <w:tcW w:w="1442"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13062522P004592100284</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3981" w:type="dxa"/>
            <w:gridSpan w:val="3"/>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省级妇女之家建设资金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8.50</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8.50</w:t>
            </w:r>
          </w:p>
        </w:tc>
        <w:tc>
          <w:tcPr>
            <w:tcW w:w="1212"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442"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7962" w:type="dxa"/>
            <w:gridSpan w:val="6"/>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主要用于购买妇女之家开展服务和活动所必需的设备，支持对村、社区妇女之家负责人开展培训，用于落实省委、省政府关于村、社区和家庭建设的其他重大决策部署。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7962" w:type="dxa"/>
            <w:gridSpan w:val="6"/>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1.以支持基层妇女之家阵地建设为重点，整合妇女之家建设资源，完善妇女之家教育培训、维权服务等功能，把基层妇联组织建成妇女可信赖可依靠的“妇女之家”。</w:t>
            </w:r>
          </w:p>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2.3月底支出30%，9月底支出60%，12月底支出90%以上</w:t>
            </w:r>
          </w:p>
        </w:tc>
      </w:tr>
    </w:tbl>
    <w:tbl>
      <w:tblPr>
        <w:tblStyle w:val="5"/>
        <w:tblpPr w:leftFromText="180" w:rightFromText="180" w:vertAnchor="text" w:horzAnchor="page" w:tblpX="1427" w:tblpY="4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173"/>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建设省级妇女之家数量</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考察建设符合标准的省级妇女之家数量</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≥1个</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根据保定市妇女联合会《关于确定2022年省级“示范妇女之家”建设点的通知》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通过审核验收的数量</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考察省级妇女之家建设情况达到各项标准通过审核验收的情况</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≥1个</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根据保定市妇女联合会《关于确定2022年省级“示范妇女之家”建设点的通知》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完成建设任务的时间</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考察省级妇女之家建设完成情况</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≤12月底</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总成本费用</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总成本支出小于预算数</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≤8.5万元</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保财行[2021]41号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妇女之家有效利用率</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考察利用妇女之家开展工作达到预期效果次数占总利用次数的比例</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基层妇女群众和妇联干部的满意度</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考察基层妇女群众和妇联干部对妇女之家建设满意度情况</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根据满意度调查情况</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spacing w:line="360" w:lineRule="auto"/>
        <w:ind w:firstLine="643"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default" w:ascii="仿宋" w:hAnsi="仿宋" w:eastAsia="仿宋"/>
          <w:b/>
          <w:sz w:val="32"/>
          <w:szCs w:val="32"/>
          <w:lang w:val="en-US"/>
        </w:rPr>
        <w:t xml:space="preserve"> </w:t>
      </w:r>
    </w:p>
    <w:p>
      <w:pPr>
        <w:jc w:val="center"/>
        <w:outlineLvl w:val="1"/>
        <w:rPr>
          <w:rFonts w:ascii="Times New Roman" w:hAnsi="宋体" w:eastAsia="宋体" w:cs="Times New Roman"/>
          <w:sz w:val="32"/>
        </w:rPr>
      </w:pPr>
      <w:bookmarkStart w:id="3" w:name="_Toc69809617"/>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bookmarkEnd w:id="3"/>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w:t>
            </w:r>
            <w:r>
              <w:rPr>
                <w:rFonts w:ascii="方正小标宋_GBK" w:hAnsi="等线" w:eastAsia="方正小标宋_GBK" w:cs="Times New Roman"/>
                <w:sz w:val="24"/>
              </w:rPr>
              <w:t>徐水区妇女联合会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left="638" w:leftChars="304" w:firstLine="0" w:firstLineChars="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32.45</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32.45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15.9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16.55</w:t>
            </w:r>
          </w:p>
        </w:tc>
      </w:tr>
    </w:tbl>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5C126EC9"/>
    <w:rsid w:val="663D7250"/>
    <w:rsid w:val="6C9D672A"/>
    <w:rsid w:val="6CEE72AF"/>
    <w:rsid w:val="6E8E672F"/>
    <w:rsid w:val="7AB3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5268</Words>
  <Characters>5615</Characters>
  <Lines>13</Lines>
  <Paragraphs>3</Paragraphs>
  <TotalTime>9</TotalTime>
  <ScaleCrop>false</ScaleCrop>
  <LinksUpToDate>false</LinksUpToDate>
  <CharactersWithSpaces>5717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2023-11-14T08:55:35Z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76EAFEA3433E47EF9BBEB116C4FC5C2C</vt:lpwstr>
  </property>
</Properties>
</file>