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sz w:val="44"/>
          <w:szCs w:val="44"/>
        </w:rPr>
      </w:pPr>
      <w:r>
        <w:rPr>
          <w:rFonts w:hint="eastAsia" w:ascii="宋体" w:hAnsi="宋体" w:eastAsia="宋体"/>
          <w:b/>
          <w:sz w:val="44"/>
          <w:szCs w:val="44"/>
        </w:rPr>
        <w:t>保定市徐水区妇女联合会</w:t>
      </w:r>
    </w:p>
    <w:p>
      <w:pPr>
        <w:spacing w:line="360" w:lineRule="auto"/>
        <w:jc w:val="center"/>
        <w:rPr>
          <w:rFonts w:ascii="宋体" w:hAnsi="宋体" w:eastAsia="宋体"/>
          <w:b/>
          <w:sz w:val="44"/>
          <w:szCs w:val="44"/>
        </w:rPr>
      </w:pPr>
      <w:r>
        <w:rPr>
          <w:rFonts w:ascii="宋体" w:hAnsi="宋体" w:eastAsia="宋体"/>
          <w:b/>
          <w:sz w:val="44"/>
          <w:szCs w:val="44"/>
        </w:rPr>
        <w:t>2021年</w:t>
      </w:r>
      <w:r>
        <w:rPr>
          <w:rFonts w:hint="eastAsia" w:ascii="宋体" w:hAnsi="宋体" w:eastAsia="宋体"/>
          <w:b/>
          <w:sz w:val="44"/>
          <w:szCs w:val="44"/>
          <w:lang w:eastAsia="zh-CN"/>
        </w:rPr>
        <w:t>单位</w:t>
      </w:r>
      <w:r>
        <w:rPr>
          <w:rFonts w:ascii="宋体" w:hAnsi="宋体" w:eastAsia="宋体"/>
          <w:b/>
          <w:sz w:val="44"/>
          <w:szCs w:val="44"/>
        </w:rPr>
        <w:t>预算公开说明</w:t>
      </w:r>
    </w:p>
    <w:p>
      <w:pPr>
        <w:tabs>
          <w:tab w:val="left" w:pos="5274"/>
        </w:tabs>
        <w:spacing w:line="360" w:lineRule="auto"/>
        <w:ind w:firstLine="640" w:firstLineChars="200"/>
        <w:rPr>
          <w:rFonts w:ascii="仿宋" w:hAnsi="仿宋" w:eastAsia="仿宋"/>
          <w:sz w:val="32"/>
          <w:szCs w:val="32"/>
        </w:rPr>
      </w:pPr>
      <w:r>
        <w:rPr>
          <w:rFonts w:ascii="仿宋" w:hAnsi="仿宋" w:eastAsia="仿宋"/>
          <w:sz w:val="32"/>
          <w:szCs w:val="32"/>
        </w:rPr>
        <w:tab/>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按照《中华人民共和国预算法</w:t>
      </w:r>
      <w:bookmarkStart w:id="9" w:name="_GoBack"/>
      <w:bookmarkEnd w:id="9"/>
      <w:r>
        <w:rPr>
          <w:rFonts w:hint="eastAsia" w:ascii="仿宋" w:hAnsi="仿宋" w:eastAsia="仿宋"/>
          <w:sz w:val="32"/>
          <w:szCs w:val="32"/>
        </w:rPr>
        <w:t>》、《地方预决算公开操作规程》等文件规定，现将我</w:t>
      </w:r>
      <w:r>
        <w:rPr>
          <w:rFonts w:hint="eastAsia" w:ascii="仿宋" w:hAnsi="仿宋" w:eastAsia="仿宋"/>
          <w:sz w:val="32"/>
          <w:szCs w:val="32"/>
          <w:lang w:eastAsia="zh-CN"/>
        </w:rPr>
        <w:t>单位</w:t>
      </w:r>
      <w:r>
        <w:rPr>
          <w:rFonts w:hint="eastAsia" w:ascii="仿宋" w:hAnsi="仿宋" w:eastAsia="仿宋"/>
          <w:sz w:val="32"/>
          <w:szCs w:val="32"/>
        </w:rPr>
        <w:t>预算信息公开如下：</w:t>
      </w:r>
    </w:p>
    <w:p>
      <w:pPr>
        <w:jc w:val="center"/>
        <w:outlineLvl w:val="0"/>
        <w:rPr>
          <w:rFonts w:ascii="方正小标宋_GBK" w:eastAsia="方正小标宋_GBK"/>
          <w:sz w:val="44"/>
        </w:rPr>
      </w:pPr>
      <w:r>
        <w:rPr>
          <w:rFonts w:hint="eastAsia" w:ascii="方正小标宋_GBK" w:eastAsia="方正小标宋_GBK"/>
          <w:sz w:val="44"/>
        </w:rPr>
        <w:t>第一部分</w:t>
      </w:r>
      <w:r>
        <w:rPr>
          <w:rFonts w:ascii="方正小标宋_GBK" w:eastAsia="方正小标宋_GBK"/>
          <w:sz w:val="44"/>
        </w:rPr>
        <w:t>:</w:t>
      </w:r>
      <w:r>
        <w:rPr>
          <w:rFonts w:hint="eastAsia" w:ascii="方正小标宋_GBK" w:eastAsia="方正小标宋_GBK"/>
          <w:sz w:val="44"/>
          <w:lang w:eastAsia="zh-CN"/>
        </w:rPr>
        <w:t>单位</w:t>
      </w:r>
      <w:r>
        <w:rPr>
          <w:rFonts w:ascii="方正小标宋_GBK" w:eastAsia="方正小标宋_GBK"/>
          <w:sz w:val="44"/>
        </w:rPr>
        <w:t>职责及机构设置情况</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w:t>
      </w:r>
      <w:r>
        <w:rPr>
          <w:rFonts w:hint="eastAsia" w:ascii="仿宋" w:hAnsi="仿宋" w:eastAsia="仿宋"/>
          <w:b/>
          <w:sz w:val="32"/>
          <w:szCs w:val="32"/>
          <w:lang w:eastAsia="zh-CN"/>
        </w:rPr>
        <w:t>单位</w:t>
      </w:r>
      <w:r>
        <w:rPr>
          <w:rFonts w:hint="eastAsia" w:ascii="仿宋" w:hAnsi="仿宋" w:eastAsia="仿宋"/>
          <w:b/>
          <w:sz w:val="32"/>
          <w:szCs w:val="32"/>
        </w:rPr>
        <w:t>职责</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根据《保定市徐水区妇女联合会职能配置、内设机构和人员编制规定》，</w:t>
      </w:r>
      <w:r>
        <w:rPr>
          <w:rFonts w:ascii="仿宋" w:hAnsi="仿宋" w:eastAsia="仿宋"/>
          <w:sz w:val="32"/>
          <w:szCs w:val="32"/>
        </w:rPr>
        <w:t xml:space="preserve"> 保定市徐水区妇女联合会的主要职责是：</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徐水区妇女联合会是党领导下的全区各族各界妇女的群众团体，是党和政府联系妇女群众的桥梁和纽带，是国家政权的重要支柱之一，其主要职责包括：</w:t>
      </w:r>
      <w:r>
        <w:rPr>
          <w:rFonts w:ascii="仿宋" w:hAnsi="仿宋" w:eastAsia="仿宋"/>
          <w:sz w:val="32"/>
          <w:szCs w:val="32"/>
        </w:rPr>
        <w:t xml:space="preserve"> </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一、代表和维护妇女儿童合法权益，促进男女平等。</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二、负责党的路线、方针、政策的宣传，向社会宣传妇女，向妇女宣传社会，充分利用三八妇女节，宣传各种先进典型。</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三、指导各级妇联组织的培训工作，配合组织</w:t>
      </w:r>
      <w:r>
        <w:rPr>
          <w:rFonts w:hint="eastAsia" w:ascii="仿宋" w:hAnsi="仿宋" w:eastAsia="仿宋"/>
          <w:sz w:val="32"/>
          <w:szCs w:val="32"/>
          <w:lang w:eastAsia="zh-CN"/>
        </w:rPr>
        <w:t>单位</w:t>
      </w:r>
      <w:r>
        <w:rPr>
          <w:rFonts w:hint="eastAsia" w:ascii="仿宋" w:hAnsi="仿宋" w:eastAsia="仿宋"/>
          <w:sz w:val="32"/>
          <w:szCs w:val="32"/>
        </w:rPr>
        <w:t>做好妇女干部的培养选拔。</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四、动员组织城乡妇女参与经济建设，组织农村妇女开展双学双比活动，组织城镇妇女开展巾帼建功活动。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五、接待来信来访，为受害妇女提供法律帮助，极大程度的维护妇女合法权益。</w:t>
      </w:r>
      <w:r>
        <w:rPr>
          <w:rFonts w:ascii="仿宋" w:hAnsi="仿宋" w:eastAsia="仿宋"/>
          <w:sz w:val="32"/>
          <w:szCs w:val="32"/>
        </w:rPr>
        <w:t xml:space="preserve"> </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二、机构设置</w:t>
      </w:r>
    </w:p>
    <w:tbl>
      <w:tblPr>
        <w:tblStyle w:val="5"/>
        <w:tblW w:w="100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2"/>
        <w:gridCol w:w="2972"/>
        <w:gridCol w:w="1421"/>
        <w:gridCol w:w="141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blHeader/>
          <w:jc w:val="center"/>
        </w:trPr>
        <w:tc>
          <w:tcPr>
            <w:tcW w:w="992" w:type="dxa"/>
            <w:tcBorders>
              <w:top w:val="single" w:color="auto" w:sz="4" w:space="0"/>
              <w:left w:val="single" w:color="auto" w:sz="4" w:space="0"/>
              <w:bottom w:val="single" w:color="auto" w:sz="4" w:space="0"/>
            </w:tcBorders>
            <w:shd w:val="clear" w:color="auto" w:fill="auto"/>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序号</w:t>
            </w:r>
          </w:p>
        </w:tc>
        <w:tc>
          <w:tcPr>
            <w:tcW w:w="2972"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单位</w:t>
            </w:r>
            <w:r>
              <w:rPr>
                <w:rFonts w:hint="eastAsia" w:ascii="仿宋_GB2312" w:hAnsi="仿宋" w:eastAsia="仿宋_GB2312" w:cs="宋体"/>
                <w:kern w:val="0"/>
                <w:sz w:val="24"/>
                <w:szCs w:val="24"/>
              </w:rPr>
              <w:t>名称</w:t>
            </w:r>
          </w:p>
        </w:tc>
        <w:tc>
          <w:tcPr>
            <w:tcW w:w="1421"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单位</w:t>
            </w:r>
            <w:r>
              <w:rPr>
                <w:rFonts w:hint="eastAsia" w:ascii="仿宋_GB2312" w:hAnsi="仿宋" w:eastAsia="仿宋_GB2312" w:cs="宋体"/>
                <w:kern w:val="0"/>
                <w:sz w:val="24"/>
                <w:szCs w:val="24"/>
              </w:rPr>
              <w:t>性质</w:t>
            </w:r>
          </w:p>
        </w:tc>
        <w:tc>
          <w:tcPr>
            <w:tcW w:w="1418"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lang w:eastAsia="zh-CN"/>
              </w:rPr>
              <w:t>单位</w:t>
            </w:r>
            <w:r>
              <w:rPr>
                <w:rFonts w:hint="eastAsia" w:ascii="仿宋_GB2312" w:hAnsi="仿宋" w:eastAsia="仿宋_GB2312" w:cs="宋体"/>
                <w:kern w:val="0"/>
                <w:sz w:val="24"/>
                <w:szCs w:val="24"/>
              </w:rPr>
              <w:t>规格</w:t>
            </w:r>
          </w:p>
        </w:tc>
        <w:tc>
          <w:tcPr>
            <w:tcW w:w="3260" w:type="dxa"/>
            <w:tcBorders>
              <w:bottom w:val="single" w:color="000000" w:sz="6" w:space="0"/>
            </w:tcBorders>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992" w:type="dxa"/>
            <w:tcBorders>
              <w:top w:val="single" w:color="auto" w:sz="4" w:space="0"/>
              <w:left w:val="single" w:color="auto" w:sz="4" w:space="0"/>
              <w:bottom w:val="single" w:color="auto" w:sz="4" w:space="0"/>
            </w:tcBorders>
            <w:shd w:val="clear" w:color="auto" w:fill="auto"/>
            <w:vAlign w:val="center"/>
          </w:tcPr>
          <w:p>
            <w:pPr>
              <w:jc w:val="center"/>
              <w:rPr>
                <w:rFonts w:ascii="仿宋_GB2312" w:hAnsi="仿宋" w:eastAsia="仿宋_GB2312"/>
                <w:bCs/>
                <w:sz w:val="24"/>
                <w:szCs w:val="24"/>
              </w:rPr>
            </w:pPr>
            <w:r>
              <w:rPr>
                <w:rFonts w:hint="eastAsia" w:ascii="仿宋_GB2312" w:hAnsi="仿宋" w:eastAsia="仿宋_GB2312"/>
                <w:bCs/>
                <w:sz w:val="24"/>
                <w:szCs w:val="24"/>
              </w:rPr>
              <w:t>1</w:t>
            </w:r>
          </w:p>
        </w:tc>
        <w:tc>
          <w:tcPr>
            <w:tcW w:w="2972" w:type="dxa"/>
            <w:tcBorders>
              <w:bottom w:val="single" w:color="auto" w:sz="4" w:space="0"/>
            </w:tcBorders>
            <w:vAlign w:val="center"/>
          </w:tcPr>
          <w:p>
            <w:pPr>
              <w:jc w:val="center"/>
              <w:rPr>
                <w:rFonts w:ascii="仿宋_GB2312" w:hAnsi="仿宋" w:eastAsia="仿宋_GB2312"/>
                <w:bCs/>
                <w:sz w:val="24"/>
                <w:szCs w:val="24"/>
              </w:rPr>
            </w:pPr>
            <w:r>
              <w:rPr>
                <w:rFonts w:hint="eastAsia" w:ascii="仿宋_GB2312" w:hAnsi="仿宋" w:eastAsia="仿宋_GB2312"/>
                <w:bCs/>
                <w:sz w:val="24"/>
                <w:szCs w:val="24"/>
              </w:rPr>
              <w:t>保定市徐水区妇女</w:t>
            </w:r>
            <w:r>
              <w:rPr>
                <w:rFonts w:ascii="仿宋_GB2312" w:hAnsi="仿宋" w:eastAsia="仿宋_GB2312"/>
                <w:bCs/>
                <w:sz w:val="24"/>
                <w:szCs w:val="24"/>
              </w:rPr>
              <w:t>联合会</w:t>
            </w:r>
          </w:p>
        </w:tc>
        <w:tc>
          <w:tcPr>
            <w:tcW w:w="1421"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行政</w:t>
            </w:r>
          </w:p>
        </w:tc>
        <w:tc>
          <w:tcPr>
            <w:tcW w:w="1418"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正科级</w:t>
            </w:r>
          </w:p>
        </w:tc>
        <w:tc>
          <w:tcPr>
            <w:tcW w:w="3260" w:type="dxa"/>
            <w:vAlign w:val="center"/>
          </w:tcPr>
          <w:p>
            <w:pPr>
              <w:jc w:val="center"/>
              <w:rPr>
                <w:rFonts w:ascii="仿宋_GB2312" w:hAnsi="仿宋" w:eastAsia="仿宋_GB2312"/>
                <w:bCs/>
                <w:sz w:val="24"/>
                <w:szCs w:val="24"/>
              </w:rPr>
            </w:pPr>
            <w:r>
              <w:rPr>
                <w:rFonts w:hint="eastAsia" w:ascii="仿宋_GB2312" w:hAnsi="仿宋" w:eastAsia="仿宋_GB2312"/>
                <w:bCs/>
                <w:sz w:val="24"/>
                <w:szCs w:val="24"/>
              </w:rPr>
              <w:t>财政拨款</w:t>
            </w:r>
          </w:p>
        </w:tc>
      </w:tr>
    </w:tbl>
    <w:p>
      <w:pPr>
        <w:spacing w:line="360" w:lineRule="auto"/>
        <w:rPr>
          <w:rFonts w:ascii="仿宋" w:hAnsi="仿宋" w:eastAsia="仿宋"/>
          <w:b/>
          <w:sz w:val="32"/>
          <w:szCs w:val="32"/>
        </w:rPr>
      </w:pPr>
    </w:p>
    <w:p>
      <w:pPr>
        <w:jc w:val="center"/>
        <w:outlineLvl w:val="0"/>
        <w:rPr>
          <w:rFonts w:ascii="方正小标宋_GBK" w:eastAsia="方正小标宋_GBK"/>
          <w:sz w:val="44"/>
        </w:rPr>
      </w:pPr>
      <w:r>
        <w:rPr>
          <w:rFonts w:hint="eastAsia" w:ascii="方正小标宋_GBK" w:eastAsia="方正小标宋_GBK"/>
          <w:sz w:val="44"/>
        </w:rPr>
        <w:t>第二部分：</w:t>
      </w:r>
      <w:r>
        <w:rPr>
          <w:rFonts w:hint="eastAsia" w:ascii="方正小标宋_GBK" w:eastAsia="方正小标宋_GBK"/>
          <w:sz w:val="44"/>
          <w:lang w:eastAsia="zh-CN"/>
        </w:rPr>
        <w:t>单位</w:t>
      </w:r>
      <w:r>
        <w:rPr>
          <w:rFonts w:hint="eastAsia" w:ascii="方正小标宋_GBK" w:eastAsia="方正小标宋_GBK"/>
          <w:sz w:val="44"/>
        </w:rPr>
        <w:t>预算安排的总体情况</w:t>
      </w:r>
      <w:r>
        <w:rPr>
          <w:rFonts w:ascii="方正小标宋_GBK" w:eastAsia="方正小标宋_GBK"/>
          <w:sz w:val="44"/>
        </w:rPr>
        <w:t xml:space="preserve"> </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按照预算管理有关规定，目前我区</w:t>
      </w:r>
      <w:r>
        <w:rPr>
          <w:rFonts w:hint="eastAsia" w:ascii="仿宋" w:hAnsi="仿宋" w:eastAsia="仿宋"/>
          <w:sz w:val="32"/>
          <w:szCs w:val="32"/>
          <w:lang w:eastAsia="zh-CN"/>
        </w:rPr>
        <w:t>单位</w:t>
      </w:r>
      <w:r>
        <w:rPr>
          <w:rFonts w:hint="eastAsia" w:ascii="仿宋" w:hAnsi="仿宋" w:eastAsia="仿宋"/>
          <w:sz w:val="32"/>
          <w:szCs w:val="32"/>
        </w:rPr>
        <w:t>预算的编制实行综合预算制度，即全部收入和支出都反映</w:t>
      </w:r>
      <w:r>
        <w:rPr>
          <w:rFonts w:ascii="仿宋" w:hAnsi="仿宋" w:eastAsia="仿宋"/>
          <w:sz w:val="32"/>
          <w:szCs w:val="32"/>
        </w:rPr>
        <w:t>在</w:t>
      </w:r>
      <w:r>
        <w:rPr>
          <w:rFonts w:hint="eastAsia" w:ascii="仿宋" w:hAnsi="仿宋" w:eastAsia="仿宋"/>
          <w:sz w:val="32"/>
          <w:szCs w:val="32"/>
        </w:rPr>
        <w:t>预算中。我</w:t>
      </w:r>
      <w:r>
        <w:rPr>
          <w:rFonts w:hint="eastAsia" w:ascii="仿宋" w:hAnsi="仿宋" w:eastAsia="仿宋"/>
          <w:sz w:val="32"/>
          <w:szCs w:val="32"/>
          <w:lang w:eastAsia="zh-CN"/>
        </w:rPr>
        <w:t>单位</w:t>
      </w:r>
      <w:r>
        <w:rPr>
          <w:rFonts w:hint="eastAsia" w:ascii="仿宋" w:hAnsi="仿宋" w:eastAsia="仿宋"/>
          <w:sz w:val="32"/>
          <w:szCs w:val="32"/>
        </w:rPr>
        <w:t>及所属事业单位的收支包含在</w:t>
      </w:r>
      <w:r>
        <w:rPr>
          <w:rFonts w:hint="eastAsia" w:ascii="仿宋" w:hAnsi="仿宋" w:eastAsia="仿宋"/>
          <w:sz w:val="32"/>
          <w:szCs w:val="32"/>
          <w:lang w:eastAsia="zh-CN"/>
        </w:rPr>
        <w:t>单位</w:t>
      </w:r>
      <w:r>
        <w:rPr>
          <w:rFonts w:hint="eastAsia" w:ascii="仿宋" w:hAnsi="仿宋" w:eastAsia="仿宋"/>
          <w:sz w:val="32"/>
          <w:szCs w:val="32"/>
        </w:rPr>
        <w:t>预算中。</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一、收入说明</w:t>
      </w:r>
    </w:p>
    <w:p>
      <w:pPr>
        <w:spacing w:line="360" w:lineRule="auto"/>
        <w:ind w:firstLine="640" w:firstLineChars="200"/>
        <w:rPr>
          <w:rFonts w:ascii="仿宋" w:hAnsi="仿宋" w:eastAsia="仿宋"/>
          <w:sz w:val="32"/>
          <w:szCs w:val="32"/>
        </w:rPr>
      </w:pPr>
      <w:r>
        <w:rPr>
          <w:rFonts w:ascii="仿宋" w:hAnsi="仿宋" w:eastAsia="仿宋"/>
          <w:sz w:val="32"/>
          <w:szCs w:val="32"/>
        </w:rPr>
        <w:t>2021年预算收入为96.22万元,其中：一般公共预算收入96.22万元。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二、支出说明</w:t>
      </w:r>
    </w:p>
    <w:p>
      <w:pPr>
        <w:spacing w:line="360" w:lineRule="auto"/>
        <w:ind w:firstLine="640" w:firstLineChars="200"/>
        <w:rPr>
          <w:rFonts w:ascii="仿宋" w:hAnsi="仿宋" w:eastAsia="仿宋"/>
          <w:sz w:val="32"/>
          <w:szCs w:val="32"/>
        </w:rPr>
      </w:pPr>
      <w:r>
        <w:rPr>
          <w:rFonts w:ascii="仿宋" w:hAnsi="仿宋" w:eastAsia="仿宋"/>
          <w:sz w:val="32"/>
          <w:szCs w:val="32"/>
        </w:rPr>
        <w:t>2021年</w:t>
      </w:r>
      <w:r>
        <w:rPr>
          <w:rFonts w:hint="eastAsia" w:ascii="仿宋" w:hAnsi="仿宋" w:eastAsia="仿宋"/>
          <w:sz w:val="32"/>
          <w:szCs w:val="32"/>
          <w:lang w:eastAsia="zh-CN"/>
        </w:rPr>
        <w:t>单位</w:t>
      </w:r>
      <w:r>
        <w:rPr>
          <w:rFonts w:ascii="仿宋" w:hAnsi="仿宋" w:eastAsia="仿宋"/>
          <w:sz w:val="32"/>
          <w:szCs w:val="32"/>
        </w:rPr>
        <w:t>支出预算：96.22万元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基本支出9</w:t>
      </w:r>
      <w:r>
        <w:rPr>
          <w:rFonts w:ascii="仿宋" w:hAnsi="仿宋" w:eastAsia="仿宋"/>
          <w:sz w:val="32"/>
          <w:szCs w:val="32"/>
        </w:rPr>
        <w:t>0.56</w:t>
      </w:r>
      <w:r>
        <w:rPr>
          <w:rFonts w:hint="eastAsia" w:ascii="仿宋" w:hAnsi="仿宋" w:eastAsia="仿宋"/>
          <w:sz w:val="32"/>
          <w:szCs w:val="32"/>
        </w:rPr>
        <w:t>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其中：人员经费80.99万元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日常公用经费9.57万元</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项目支出</w:t>
      </w:r>
      <w:r>
        <w:rPr>
          <w:rFonts w:ascii="仿宋" w:hAnsi="仿宋" w:eastAsia="仿宋"/>
          <w:sz w:val="32"/>
          <w:szCs w:val="32"/>
        </w:rPr>
        <w:t>5.66万元</w:t>
      </w:r>
    </w:p>
    <w:p>
      <w:pPr>
        <w:spacing w:line="360" w:lineRule="auto"/>
        <w:ind w:firstLine="640" w:firstLineChars="200"/>
        <w:rPr>
          <w:rFonts w:ascii="仿宋" w:hAnsi="仿宋" w:eastAsia="仿宋"/>
          <w:sz w:val="32"/>
          <w:szCs w:val="32"/>
        </w:rPr>
      </w:pPr>
      <w:r>
        <w:rPr>
          <w:rFonts w:ascii="仿宋" w:hAnsi="仿宋" w:eastAsia="仿宋"/>
          <w:sz w:val="32"/>
          <w:szCs w:val="32"/>
        </w:rPr>
        <w:t xml:space="preserve">    其中：本级支出5.66万元</w:t>
      </w:r>
    </w:p>
    <w:p>
      <w:pPr>
        <w:spacing w:line="360" w:lineRule="auto"/>
        <w:ind w:firstLine="643" w:firstLineChars="200"/>
        <w:rPr>
          <w:rFonts w:ascii="仿宋" w:hAnsi="仿宋" w:eastAsia="仿宋"/>
          <w:b/>
          <w:sz w:val="32"/>
          <w:szCs w:val="32"/>
        </w:rPr>
      </w:pPr>
      <w:r>
        <w:rPr>
          <w:rFonts w:hint="eastAsia" w:ascii="仿宋" w:hAnsi="仿宋" w:eastAsia="仿宋"/>
          <w:b/>
          <w:sz w:val="32"/>
          <w:szCs w:val="32"/>
        </w:rPr>
        <w:t>三、比上年增减情况</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本年度预算收支安排9</w:t>
      </w:r>
      <w:r>
        <w:rPr>
          <w:rFonts w:ascii="仿宋" w:hAnsi="仿宋" w:eastAsia="仿宋"/>
          <w:sz w:val="32"/>
          <w:szCs w:val="32"/>
        </w:rPr>
        <w:t>6.22</w:t>
      </w:r>
      <w:r>
        <w:rPr>
          <w:rFonts w:hint="eastAsia" w:ascii="仿宋" w:hAnsi="仿宋" w:eastAsia="仿宋"/>
          <w:sz w:val="32"/>
          <w:szCs w:val="32"/>
        </w:rPr>
        <w:t>万元，较上年</w:t>
      </w:r>
      <w:r>
        <w:rPr>
          <w:rFonts w:ascii="仿宋" w:hAnsi="仿宋" w:eastAsia="仿宋"/>
          <w:sz w:val="32"/>
          <w:szCs w:val="32"/>
        </w:rPr>
        <w:t>减少23.14万元。其中:基本支出减少12.94</w:t>
      </w:r>
      <w:r>
        <w:rPr>
          <w:rFonts w:hint="eastAsia" w:ascii="仿宋" w:hAnsi="仿宋" w:eastAsia="仿宋"/>
          <w:sz w:val="32"/>
          <w:szCs w:val="32"/>
        </w:rPr>
        <w:t>万</w:t>
      </w:r>
      <w:r>
        <w:rPr>
          <w:rFonts w:ascii="仿宋" w:hAnsi="仿宋" w:eastAsia="仿宋"/>
          <w:sz w:val="32"/>
          <w:szCs w:val="32"/>
        </w:rPr>
        <w:t>元，主要原因是</w:t>
      </w:r>
      <w:r>
        <w:rPr>
          <w:rFonts w:hint="eastAsia" w:ascii="仿宋" w:hAnsi="仿宋" w:eastAsia="仿宋"/>
          <w:sz w:val="32"/>
          <w:szCs w:val="32"/>
        </w:rPr>
        <w:t>根据工作需要</w:t>
      </w:r>
      <w:r>
        <w:rPr>
          <w:rFonts w:ascii="仿宋" w:hAnsi="仿宋" w:eastAsia="仿宋"/>
          <w:sz w:val="32"/>
          <w:szCs w:val="32"/>
        </w:rPr>
        <w:t>；项目支出减少10.2万元，主要原因是</w:t>
      </w:r>
      <w:r>
        <w:rPr>
          <w:rFonts w:hint="eastAsia" w:ascii="仿宋" w:hAnsi="仿宋" w:eastAsia="仿宋"/>
          <w:sz w:val="32"/>
          <w:szCs w:val="32"/>
        </w:rPr>
        <w:t>减少项目</w:t>
      </w:r>
      <w:r>
        <w:rPr>
          <w:rFonts w:ascii="仿宋" w:hAnsi="仿宋" w:eastAsia="仿宋"/>
          <w:sz w:val="32"/>
          <w:szCs w:val="32"/>
        </w:rPr>
        <w:t>。</w:t>
      </w:r>
    </w:p>
    <w:p>
      <w:pPr>
        <w:spacing w:line="360" w:lineRule="auto"/>
        <w:ind w:firstLine="640" w:firstLineChars="200"/>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第三部分：机关运行经费安排情况</w:t>
      </w:r>
    </w:p>
    <w:p>
      <w:pPr>
        <w:spacing w:line="360" w:lineRule="auto"/>
        <w:ind w:firstLine="640" w:firstLineChars="200"/>
        <w:rPr>
          <w:rFonts w:ascii="仿宋" w:hAnsi="仿宋" w:eastAsia="仿宋"/>
          <w:b/>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机关运行经费安排9.57万元，其中办公费0.9万元，邮电费1.74万元，工会经费、福利费0.83万元，公务用车运行维护费2.7万元</w:t>
      </w:r>
      <w:r>
        <w:rPr>
          <w:rFonts w:hint="eastAsia" w:ascii="仿宋" w:hAnsi="仿宋" w:eastAsia="仿宋"/>
          <w:sz w:val="32"/>
          <w:szCs w:val="32"/>
        </w:rPr>
        <w:t>，</w:t>
      </w:r>
      <w:r>
        <w:rPr>
          <w:rFonts w:ascii="仿宋" w:hAnsi="仿宋" w:eastAsia="仿宋"/>
          <w:sz w:val="32"/>
          <w:szCs w:val="32"/>
        </w:rPr>
        <w:t>其他支出3.4万元。</w:t>
      </w:r>
    </w:p>
    <w:p>
      <w:pPr>
        <w:spacing w:line="360" w:lineRule="auto"/>
        <w:jc w:val="center"/>
        <w:rPr>
          <w:rFonts w:ascii="黑体" w:hAnsi="黑体" w:eastAsia="黑体" w:cs="Times New Roman"/>
          <w:sz w:val="32"/>
          <w:szCs w:val="32"/>
        </w:rPr>
      </w:pP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第四部分：财政拨款“三公”经费预算情况及增减变化原因</w:t>
      </w:r>
    </w:p>
    <w:tbl>
      <w:tblPr>
        <w:tblStyle w:val="5"/>
        <w:tblW w:w="5000" w:type="pct"/>
        <w:tblInd w:w="0" w:type="dxa"/>
        <w:tblLayout w:type="autofit"/>
        <w:tblCellMar>
          <w:top w:w="0" w:type="dxa"/>
          <w:left w:w="108" w:type="dxa"/>
          <w:bottom w:w="0" w:type="dxa"/>
          <w:right w:w="108" w:type="dxa"/>
        </w:tblCellMar>
      </w:tblPr>
      <w:tblGrid>
        <w:gridCol w:w="9515"/>
      </w:tblGrid>
      <w:tr>
        <w:tblPrEx>
          <w:tblCellMar>
            <w:top w:w="0" w:type="dxa"/>
            <w:left w:w="108" w:type="dxa"/>
            <w:bottom w:w="0" w:type="dxa"/>
            <w:right w:w="108" w:type="dxa"/>
          </w:tblCellMar>
        </w:tblPrEx>
        <w:trPr>
          <w:trHeight w:val="405" w:hRule="atLeast"/>
        </w:trPr>
        <w:tc>
          <w:tcPr>
            <w:tcW w:w="5000" w:type="pct"/>
            <w:tcBorders>
              <w:top w:val="nil"/>
              <w:left w:val="nil"/>
              <w:bottom w:val="nil"/>
              <w:right w:val="nil"/>
            </w:tcBorders>
            <w:shd w:val="clear" w:color="auto" w:fill="auto"/>
            <w:noWrap/>
            <w:vAlign w:val="center"/>
          </w:tcPr>
          <w:tbl>
            <w:tblPr>
              <w:tblStyle w:val="5"/>
              <w:tblW w:w="0" w:type="auto"/>
              <w:jc w:val="center"/>
              <w:tblLayout w:type="autofit"/>
              <w:tblCellMar>
                <w:top w:w="0" w:type="dxa"/>
                <w:left w:w="108" w:type="dxa"/>
                <w:bottom w:w="0" w:type="dxa"/>
                <w:right w:w="108" w:type="dxa"/>
              </w:tblCellMar>
            </w:tblPr>
            <w:tblGrid>
              <w:gridCol w:w="2163"/>
              <w:gridCol w:w="1276"/>
              <w:gridCol w:w="1418"/>
              <w:gridCol w:w="836"/>
              <w:gridCol w:w="2397"/>
            </w:tblGrid>
            <w:tr>
              <w:tblPrEx>
                <w:tblCellMar>
                  <w:top w:w="0" w:type="dxa"/>
                  <w:left w:w="108" w:type="dxa"/>
                  <w:bottom w:w="0" w:type="dxa"/>
                  <w:right w:w="108" w:type="dxa"/>
                </w:tblCellMar>
              </w:tblPrEx>
              <w:trPr>
                <w:trHeight w:val="405" w:hRule="atLeast"/>
                <w:jc w:val="center"/>
              </w:trPr>
              <w:tc>
                <w:tcPr>
                  <w:tcW w:w="8090" w:type="dxa"/>
                  <w:gridSpan w:val="5"/>
                  <w:tcBorders>
                    <w:top w:val="nil"/>
                    <w:left w:val="nil"/>
                    <w:bottom w:val="nil"/>
                    <w:right w:val="nil"/>
                  </w:tcBorders>
                  <w:vAlign w:val="center"/>
                </w:tcPr>
                <w:p>
                  <w:pPr>
                    <w:spacing w:line="360" w:lineRule="auto"/>
                    <w:rPr>
                      <w:rFonts w:ascii="黑体" w:hAnsi="黑体" w:eastAsia="黑体" w:cs="宋体"/>
                      <w:kern w:val="0"/>
                      <w:sz w:val="32"/>
                      <w:szCs w:val="32"/>
                    </w:rPr>
                  </w:pPr>
                </w:p>
              </w:tc>
            </w:tr>
            <w:tr>
              <w:tblPrEx>
                <w:tblCellMar>
                  <w:top w:w="0" w:type="dxa"/>
                  <w:left w:w="108" w:type="dxa"/>
                  <w:bottom w:w="0" w:type="dxa"/>
                  <w:right w:w="108" w:type="dxa"/>
                </w:tblCellMar>
              </w:tblPrEx>
              <w:trPr>
                <w:trHeight w:val="221"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right"/>
                    <w:rPr>
                      <w:rFonts w:ascii="宋体" w:hAnsi="宋体" w:cs="宋体"/>
                      <w:kern w:val="0"/>
                      <w:sz w:val="24"/>
                      <w:szCs w:val="24"/>
                    </w:rPr>
                  </w:pPr>
                  <w:r>
                    <w:rPr>
                      <w:rFonts w:hint="eastAsia" w:ascii="宋体" w:hAnsi="宋体" w:cs="宋体"/>
                      <w:kern w:val="0"/>
                      <w:sz w:val="24"/>
                      <w:szCs w:val="24"/>
                    </w:rPr>
                    <w:t>单位：万元</w:t>
                  </w:r>
                </w:p>
              </w:tc>
            </w:tr>
            <w:tr>
              <w:tblPrEx>
                <w:tblCellMar>
                  <w:top w:w="0" w:type="dxa"/>
                  <w:left w:w="108" w:type="dxa"/>
                  <w:bottom w:w="0" w:type="dxa"/>
                  <w:right w:w="108" w:type="dxa"/>
                </w:tblCellMar>
              </w:tblPrEx>
              <w:trPr>
                <w:trHeight w:val="285" w:hRule="atLeast"/>
                <w:jc w:val="center"/>
              </w:trPr>
              <w:tc>
                <w:tcPr>
                  <w:tcW w:w="21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项目名称</w:t>
                  </w:r>
                </w:p>
              </w:tc>
              <w:tc>
                <w:tcPr>
                  <w:tcW w:w="127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2020</w:t>
                  </w:r>
                  <w:r>
                    <w:rPr>
                      <w:rFonts w:hint="eastAsia" w:ascii="仿宋_GB2312" w:hAnsi="宋体" w:eastAsia="仿宋_GB2312" w:cs="宋体"/>
                      <w:b/>
                      <w:kern w:val="0"/>
                      <w:sz w:val="24"/>
                      <w:szCs w:val="24"/>
                    </w:rPr>
                    <w:t>年度预算</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ascii="仿宋_GB2312" w:hAnsi="宋体" w:eastAsia="仿宋_GB2312" w:cs="宋体"/>
                      <w:b/>
                      <w:kern w:val="0"/>
                      <w:sz w:val="24"/>
                      <w:szCs w:val="24"/>
                    </w:rPr>
                    <w:t>2021</w:t>
                  </w:r>
                  <w:r>
                    <w:rPr>
                      <w:rFonts w:hint="eastAsia" w:ascii="仿宋_GB2312" w:hAnsi="宋体" w:eastAsia="仿宋_GB2312" w:cs="宋体"/>
                      <w:b/>
                      <w:kern w:val="0"/>
                      <w:sz w:val="24"/>
                      <w:szCs w:val="24"/>
                    </w:rPr>
                    <w:t>年度预算</w:t>
                  </w:r>
                </w:p>
              </w:tc>
              <w:tc>
                <w:tcPr>
                  <w:tcW w:w="83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增减金额</w:t>
                  </w:r>
                </w:p>
              </w:tc>
              <w:tc>
                <w:tcPr>
                  <w:tcW w:w="239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kern w:val="0"/>
                      <w:sz w:val="24"/>
                      <w:szCs w:val="24"/>
                    </w:rPr>
                  </w:pPr>
                  <w:r>
                    <w:rPr>
                      <w:rFonts w:hint="eastAsia" w:ascii="仿宋_GB2312" w:hAnsi="宋体" w:eastAsia="仿宋_GB2312" w:cs="宋体"/>
                      <w:b/>
                      <w:kern w:val="0"/>
                      <w:sz w:val="24"/>
                      <w:szCs w:val="24"/>
                    </w:rPr>
                    <w:t>变化原因</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因公出国经费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公务用车购置经费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57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公务用车运行经费</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855"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公务接待费支出</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1140" w:hRule="atLeast"/>
                <w:jc w:val="center"/>
              </w:trPr>
              <w:tc>
                <w:tcPr>
                  <w:tcW w:w="2163"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合计</w:t>
                  </w:r>
                </w:p>
              </w:tc>
              <w:tc>
                <w:tcPr>
                  <w:tcW w:w="127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3.6</w:t>
                  </w:r>
                </w:p>
              </w:tc>
              <w:tc>
                <w:tcPr>
                  <w:tcW w:w="1418"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3.6</w:t>
                  </w:r>
                </w:p>
              </w:tc>
              <w:tc>
                <w:tcPr>
                  <w:tcW w:w="83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FF0000"/>
                      <w:kern w:val="0"/>
                      <w:sz w:val="24"/>
                      <w:szCs w:val="24"/>
                    </w:rPr>
                  </w:pPr>
                  <w:r>
                    <w:rPr>
                      <w:rFonts w:hint="eastAsia" w:ascii="仿宋_GB2312" w:hAnsi="宋体" w:eastAsia="仿宋_GB2312" w:cs="宋体"/>
                      <w:color w:val="FF0000"/>
                      <w:kern w:val="0"/>
                      <w:sz w:val="24"/>
                      <w:szCs w:val="24"/>
                    </w:rPr>
                    <w:t>0</w:t>
                  </w:r>
                </w:p>
              </w:tc>
              <w:tc>
                <w:tcPr>
                  <w:tcW w:w="2397"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无变化</w:t>
                  </w:r>
                </w:p>
              </w:tc>
            </w:tr>
            <w:tr>
              <w:tblPrEx>
                <w:tblCellMar>
                  <w:top w:w="0" w:type="dxa"/>
                  <w:left w:w="108" w:type="dxa"/>
                  <w:bottom w:w="0" w:type="dxa"/>
                  <w:right w:w="108" w:type="dxa"/>
                </w:tblCellMar>
              </w:tblPrEx>
              <w:trPr>
                <w:trHeight w:val="285" w:hRule="atLeast"/>
                <w:jc w:val="center"/>
              </w:trPr>
              <w:tc>
                <w:tcPr>
                  <w:tcW w:w="2163" w:type="dxa"/>
                  <w:tcBorders>
                    <w:top w:val="nil"/>
                    <w:left w:val="nil"/>
                    <w:bottom w:val="nil"/>
                    <w:right w:val="nil"/>
                  </w:tcBorders>
                  <w:vAlign w:val="center"/>
                </w:tcPr>
                <w:p>
                  <w:pPr>
                    <w:widowControl/>
                    <w:jc w:val="left"/>
                    <w:rPr>
                      <w:rFonts w:ascii="宋体" w:hAnsi="宋体" w:cs="宋体"/>
                      <w:kern w:val="0"/>
                      <w:sz w:val="24"/>
                      <w:szCs w:val="24"/>
                    </w:rPr>
                  </w:pPr>
                </w:p>
              </w:tc>
              <w:tc>
                <w:tcPr>
                  <w:tcW w:w="1276" w:type="dxa"/>
                  <w:tcBorders>
                    <w:top w:val="nil"/>
                    <w:left w:val="nil"/>
                    <w:bottom w:val="nil"/>
                    <w:right w:val="nil"/>
                  </w:tcBorders>
                  <w:vAlign w:val="center"/>
                </w:tcPr>
                <w:p>
                  <w:pPr>
                    <w:widowControl/>
                    <w:jc w:val="left"/>
                    <w:rPr>
                      <w:rFonts w:ascii="宋体" w:hAnsi="宋体" w:cs="宋体"/>
                      <w:kern w:val="0"/>
                      <w:sz w:val="24"/>
                      <w:szCs w:val="24"/>
                    </w:rPr>
                  </w:pPr>
                </w:p>
              </w:tc>
              <w:tc>
                <w:tcPr>
                  <w:tcW w:w="1418" w:type="dxa"/>
                  <w:tcBorders>
                    <w:top w:val="nil"/>
                    <w:left w:val="nil"/>
                    <w:bottom w:val="nil"/>
                    <w:right w:val="nil"/>
                  </w:tcBorders>
                  <w:vAlign w:val="center"/>
                </w:tcPr>
                <w:p>
                  <w:pPr>
                    <w:widowControl/>
                    <w:jc w:val="left"/>
                    <w:rPr>
                      <w:rFonts w:ascii="宋体" w:hAnsi="宋体" w:cs="宋体"/>
                      <w:kern w:val="0"/>
                      <w:sz w:val="24"/>
                      <w:szCs w:val="24"/>
                    </w:rPr>
                  </w:pPr>
                </w:p>
              </w:tc>
              <w:tc>
                <w:tcPr>
                  <w:tcW w:w="836" w:type="dxa"/>
                  <w:tcBorders>
                    <w:top w:val="nil"/>
                    <w:left w:val="nil"/>
                    <w:bottom w:val="nil"/>
                    <w:right w:val="nil"/>
                  </w:tcBorders>
                  <w:vAlign w:val="center"/>
                </w:tcPr>
                <w:p>
                  <w:pPr>
                    <w:widowControl/>
                    <w:jc w:val="left"/>
                    <w:rPr>
                      <w:rFonts w:ascii="宋体" w:hAnsi="宋体" w:cs="宋体"/>
                      <w:kern w:val="0"/>
                      <w:sz w:val="24"/>
                      <w:szCs w:val="24"/>
                    </w:rPr>
                  </w:pPr>
                </w:p>
              </w:tc>
              <w:tc>
                <w:tcPr>
                  <w:tcW w:w="2397" w:type="dxa"/>
                  <w:tcBorders>
                    <w:top w:val="nil"/>
                    <w:left w:val="nil"/>
                    <w:bottom w:val="nil"/>
                    <w:right w:val="nil"/>
                  </w:tcBorders>
                  <w:vAlign w:val="center"/>
                </w:tcPr>
                <w:p>
                  <w:pPr>
                    <w:widowControl/>
                    <w:jc w:val="left"/>
                    <w:rPr>
                      <w:rFonts w:ascii="宋体" w:hAnsi="宋体" w:cs="宋体"/>
                      <w:kern w:val="0"/>
                      <w:sz w:val="24"/>
                      <w:szCs w:val="24"/>
                    </w:rPr>
                  </w:pPr>
                </w:p>
              </w:tc>
            </w:tr>
          </w:tbl>
          <w:p>
            <w:pPr>
              <w:widowControl/>
              <w:spacing w:line="520" w:lineRule="exact"/>
              <w:ind w:right="480"/>
              <w:rPr>
                <w:rFonts w:ascii="仿宋" w:hAnsi="仿宋" w:eastAsia="仿宋" w:cs="宋体"/>
                <w:kern w:val="0"/>
                <w:sz w:val="24"/>
                <w:szCs w:val="24"/>
              </w:rPr>
            </w:pPr>
          </w:p>
        </w:tc>
      </w:tr>
    </w:tbl>
    <w:p>
      <w:pPr>
        <w:spacing w:line="360" w:lineRule="auto"/>
        <w:rPr>
          <w:rFonts w:ascii="黑体" w:hAnsi="黑体" w:eastAsia="黑体" w:cs="Times New Roman"/>
          <w:sz w:val="32"/>
          <w:szCs w:val="32"/>
        </w:rPr>
      </w:pPr>
    </w:p>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第五部分：预算绩效信息</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lang w:eastAsia="zh-CN"/>
        </w:rPr>
        <w:t>单位</w:t>
      </w:r>
      <w:r>
        <w:rPr>
          <w:rFonts w:hint="eastAsia" w:ascii="方正小标宋_GBK" w:eastAsia="方正小标宋_GBK"/>
          <w:sz w:val="44"/>
        </w:rPr>
        <w:t>整体</w:t>
      </w:r>
      <w:r>
        <w:rPr>
          <w:rFonts w:ascii="方正小标宋_GBK" w:eastAsia="方正小标宋_GBK"/>
          <w:sz w:val="44"/>
        </w:rPr>
        <w:t>绩效目标</w:t>
      </w:r>
    </w:p>
    <w:p>
      <w:pPr>
        <w:spacing w:before="156" w:beforeLines="50" w:after="156" w:afterLines="50"/>
        <w:ind w:firstLine="560" w:firstLineChars="200"/>
        <w:jc w:val="left"/>
        <w:outlineLvl w:val="1"/>
        <w:rPr>
          <w:rFonts w:ascii="Times New Roman" w:hAnsi="宋体" w:eastAsia="宋体" w:cs="Times New Roman"/>
          <w:sz w:val="28"/>
        </w:rPr>
      </w:pPr>
      <w:bookmarkStart w:id="0" w:name="_Toc66973521"/>
      <w:r>
        <w:rPr>
          <w:rFonts w:hint="eastAsia" w:ascii="方正黑体_GBK" w:hAnsi="等线" w:eastAsia="方正黑体_GBK" w:cs="Times New Roman"/>
          <w:sz w:val="28"/>
        </w:rPr>
        <w:t>一、总体绩效目标</w:t>
      </w:r>
      <w:bookmarkEnd w:id="0"/>
      <w:r>
        <w:rPr>
          <w:rFonts w:ascii="方正黑体_GBK" w:hAnsi="等线" w:eastAsia="方正黑体_GBK" w:cs="Times New Roman"/>
          <w:sz w:val="28"/>
        </w:rPr>
        <w:fldChar w:fldCharType="begin"/>
      </w:r>
      <w:r>
        <w:rPr>
          <w:rFonts w:ascii="方正黑体_GBK" w:hAnsi="等线" w:eastAsia="方正黑体_GBK" w:cs="Times New Roman"/>
          <w:sz w:val="28"/>
        </w:rPr>
        <w:instrText xml:space="preserve"> </w:instrText>
      </w:r>
      <w:r>
        <w:rPr>
          <w:rFonts w:hint="eastAsia" w:ascii="方正黑体_GBK" w:hAnsi="等线" w:eastAsia="方正黑体_GBK" w:cs="Times New Roman"/>
          <w:sz w:val="28"/>
        </w:rPr>
        <w:instrText xml:space="preserve">TC 总体绩效目标 \f A \l 1</w:instrText>
      </w:r>
      <w:r>
        <w:rPr>
          <w:rFonts w:ascii="方正黑体_GBK" w:hAnsi="等线" w:eastAsia="方正黑体_GBK" w:cs="Times New Roman"/>
          <w:sz w:val="28"/>
        </w:rPr>
        <w:instrText xml:space="preserve"> </w:instrText>
      </w:r>
      <w:r>
        <w:rPr>
          <w:rFonts w:ascii="方正黑体_GBK" w:hAnsi="等线" w:eastAsia="方正黑体_GBK" w:cs="Times New Roman"/>
          <w:sz w:val="28"/>
        </w:rPr>
        <w:fldChar w:fldCharType="end"/>
      </w:r>
    </w:p>
    <w:p>
      <w:pPr>
        <w:spacing w:line="500" w:lineRule="exact"/>
        <w:ind w:firstLine="640" w:firstLineChars="200"/>
        <w:jc w:val="left"/>
        <w:rPr>
          <w:rFonts w:ascii="仿宋" w:hAnsi="仿宋" w:eastAsia="仿宋"/>
          <w:sz w:val="32"/>
          <w:szCs w:val="32"/>
        </w:rPr>
      </w:pPr>
      <w:r>
        <w:rPr>
          <w:rFonts w:ascii="仿宋" w:hAnsi="仿宋" w:eastAsia="仿宋"/>
          <w:sz w:val="32"/>
          <w:szCs w:val="32"/>
        </w:rPr>
        <w:t>以习近平新时代中国特色社会主义思想为指导，围绕区委区政府中心工作，充分发挥引领、服务、联系职能，团结动员广大妇女为建设经济强区、幸福徐水区做出新贡献。紧紧围绕全区人居环境整治行动，深化美丽庭院创建，开展家庭文明建设，以好的家风支撑起好的社会风气，建设巾帼创业创新服务体系，为广大妇女积极投身“双创”提供服务。依法维护妇女合法权益，引导妇女群众自觉</w:t>
      </w:r>
      <w:r>
        <w:rPr>
          <w:rFonts w:hint="eastAsia" w:ascii="仿宋" w:hAnsi="仿宋" w:eastAsia="仿宋"/>
          <w:sz w:val="32"/>
          <w:szCs w:val="32"/>
          <w:lang w:eastAsia="zh-CN"/>
        </w:rPr>
        <w:t>尊</w:t>
      </w:r>
      <w:r>
        <w:rPr>
          <w:rFonts w:ascii="仿宋" w:hAnsi="仿宋" w:eastAsia="仿宋"/>
          <w:sz w:val="32"/>
          <w:szCs w:val="32"/>
        </w:rPr>
        <w:t>法学法守法用法。救助困境儿童，制定并推动妇女儿童发展规划顺利实施。指导乡镇妇联完善运行机制，提升工作水平。打造省级示范妇女之家，为妇女儿童提供针对性服务。</w:t>
      </w:r>
    </w:p>
    <w:p>
      <w:pPr>
        <w:spacing w:line="500" w:lineRule="exact"/>
        <w:ind w:firstLine="640" w:firstLineChars="200"/>
        <w:jc w:val="left"/>
        <w:rPr>
          <w:rFonts w:ascii="仿宋" w:hAnsi="仿宋" w:eastAsia="仿宋"/>
          <w:sz w:val="32"/>
          <w:szCs w:val="32"/>
        </w:rPr>
      </w:pPr>
    </w:p>
    <w:p>
      <w:pPr>
        <w:spacing w:before="156" w:beforeLines="50" w:after="156" w:afterLines="50" w:line="500" w:lineRule="exact"/>
        <w:ind w:firstLine="640" w:firstLineChars="200"/>
        <w:jc w:val="left"/>
        <w:outlineLvl w:val="1"/>
        <w:rPr>
          <w:rFonts w:ascii="仿宋" w:hAnsi="仿宋" w:eastAsia="仿宋"/>
          <w:sz w:val="32"/>
          <w:szCs w:val="32"/>
        </w:rPr>
      </w:pPr>
      <w:bookmarkStart w:id="1" w:name="_Toc66973522"/>
      <w:r>
        <w:rPr>
          <w:rFonts w:ascii="仿宋" w:hAnsi="仿宋" w:eastAsia="仿宋"/>
          <w:sz w:val="32"/>
          <w:szCs w:val="32"/>
        </w:rPr>
        <w:t>二、分项绩效目标</w:t>
      </w:r>
      <w:bookmarkEnd w:id="1"/>
      <w:r>
        <w:rPr>
          <w:rFonts w:ascii="仿宋" w:hAnsi="仿宋" w:eastAsia="仿宋"/>
          <w:sz w:val="32"/>
          <w:szCs w:val="32"/>
        </w:rPr>
        <w:fldChar w:fldCharType="begin"/>
      </w:r>
      <w:r>
        <w:rPr>
          <w:rFonts w:ascii="仿宋" w:hAnsi="仿宋" w:eastAsia="仿宋"/>
          <w:sz w:val="32"/>
          <w:szCs w:val="32"/>
        </w:rPr>
        <w:instrText xml:space="preserve"> TC 分项绩效目标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（一）团结动员妇女参加经济社会建设</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绩效目标：贯彻落实区委部署，引导全区妇女听党话、跟党走，发扬</w:t>
      </w:r>
      <w:r>
        <w:rPr>
          <w:rFonts w:ascii="仿宋" w:hAnsi="仿宋" w:eastAsia="仿宋"/>
          <w:sz w:val="32"/>
          <w:szCs w:val="32"/>
        </w:rPr>
        <w:t>“</w:t>
      </w:r>
      <w:r>
        <w:rPr>
          <w:rFonts w:hint="eastAsia" w:ascii="仿宋" w:hAnsi="仿宋" w:eastAsia="仿宋"/>
          <w:sz w:val="32"/>
          <w:szCs w:val="32"/>
        </w:rPr>
        <w:t>四自</w:t>
      </w:r>
      <w:r>
        <w:rPr>
          <w:rFonts w:ascii="仿宋" w:hAnsi="仿宋" w:eastAsia="仿宋"/>
          <w:sz w:val="32"/>
          <w:szCs w:val="32"/>
        </w:rPr>
        <w:t>”</w:t>
      </w:r>
      <w:r>
        <w:rPr>
          <w:rFonts w:hint="eastAsia" w:ascii="仿宋" w:hAnsi="仿宋" w:eastAsia="仿宋"/>
          <w:sz w:val="32"/>
          <w:szCs w:val="32"/>
        </w:rPr>
        <w:t>精神，围绕</w:t>
      </w:r>
      <w:r>
        <w:rPr>
          <w:rFonts w:ascii="仿宋" w:hAnsi="仿宋" w:eastAsia="仿宋"/>
          <w:sz w:val="32"/>
          <w:szCs w:val="32"/>
        </w:rPr>
        <w:t>“</w:t>
      </w:r>
      <w:r>
        <w:rPr>
          <w:rFonts w:hint="eastAsia" w:ascii="仿宋" w:hAnsi="仿宋" w:eastAsia="仿宋"/>
          <w:sz w:val="32"/>
          <w:szCs w:val="32"/>
        </w:rPr>
        <w:t>五位一体</w:t>
      </w:r>
      <w:r>
        <w:rPr>
          <w:rFonts w:ascii="仿宋" w:hAnsi="仿宋" w:eastAsia="仿宋"/>
          <w:sz w:val="32"/>
          <w:szCs w:val="32"/>
        </w:rPr>
        <w:t>”</w:t>
      </w:r>
      <w:r>
        <w:rPr>
          <w:rFonts w:hint="eastAsia" w:ascii="仿宋" w:hAnsi="仿宋" w:eastAsia="仿宋"/>
          <w:sz w:val="32"/>
          <w:szCs w:val="32"/>
        </w:rPr>
        <w:t>总体布局和</w:t>
      </w:r>
      <w:r>
        <w:rPr>
          <w:rFonts w:ascii="仿宋" w:hAnsi="仿宋" w:eastAsia="仿宋"/>
          <w:sz w:val="32"/>
          <w:szCs w:val="32"/>
        </w:rPr>
        <w:t>“</w:t>
      </w:r>
      <w:r>
        <w:rPr>
          <w:rFonts w:hint="eastAsia" w:ascii="仿宋" w:hAnsi="仿宋" w:eastAsia="仿宋"/>
          <w:sz w:val="32"/>
          <w:szCs w:val="32"/>
        </w:rPr>
        <w:t>四个全面</w:t>
      </w:r>
      <w:r>
        <w:rPr>
          <w:rFonts w:ascii="仿宋" w:hAnsi="仿宋" w:eastAsia="仿宋"/>
          <w:sz w:val="32"/>
          <w:szCs w:val="32"/>
        </w:rPr>
        <w:t>”</w:t>
      </w:r>
      <w:r>
        <w:rPr>
          <w:rFonts w:hint="eastAsia" w:ascii="仿宋" w:hAnsi="仿宋" w:eastAsia="仿宋"/>
          <w:sz w:val="32"/>
          <w:szCs w:val="32"/>
        </w:rPr>
        <w:t>战略布局，全面提高妇女素质和创业创新能力，为建设经济强区美丽徐水做贡献。</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绩效指标：支持创建和培育巾帼示范基地</w:t>
      </w:r>
      <w:r>
        <w:rPr>
          <w:rFonts w:ascii="仿宋" w:hAnsi="仿宋" w:eastAsia="仿宋"/>
          <w:sz w:val="32"/>
          <w:szCs w:val="32"/>
        </w:rPr>
        <w:t>2</w:t>
      </w:r>
      <w:r>
        <w:rPr>
          <w:rFonts w:hint="eastAsia" w:ascii="仿宋" w:hAnsi="仿宋" w:eastAsia="仿宋"/>
          <w:sz w:val="32"/>
          <w:szCs w:val="32"/>
        </w:rPr>
        <w:t>个，培训妇女</w:t>
      </w:r>
      <w:r>
        <w:rPr>
          <w:rFonts w:ascii="仿宋" w:hAnsi="仿宋" w:eastAsia="仿宋"/>
          <w:sz w:val="32"/>
          <w:szCs w:val="32"/>
        </w:rPr>
        <w:t>2000</w:t>
      </w:r>
      <w:r>
        <w:rPr>
          <w:rFonts w:hint="eastAsia" w:ascii="仿宋" w:hAnsi="仿宋" w:eastAsia="仿宋"/>
          <w:sz w:val="32"/>
          <w:szCs w:val="32"/>
        </w:rPr>
        <w:t>人；开展美丽庭院创建活动，组织讲师团在全区妇女讲习所开展培训</w:t>
      </w:r>
      <w:r>
        <w:rPr>
          <w:rFonts w:ascii="仿宋" w:hAnsi="仿宋" w:eastAsia="仿宋"/>
          <w:sz w:val="32"/>
          <w:szCs w:val="32"/>
        </w:rPr>
        <w:t>50</w:t>
      </w:r>
      <w:r>
        <w:rPr>
          <w:rFonts w:hint="eastAsia" w:ascii="仿宋" w:hAnsi="仿宋" w:eastAsia="仿宋"/>
          <w:sz w:val="32"/>
          <w:szCs w:val="32"/>
        </w:rPr>
        <w:t>课时以上，巾帼志愿者人数达到</w:t>
      </w:r>
      <w:r>
        <w:rPr>
          <w:rFonts w:ascii="仿宋" w:hAnsi="仿宋" w:eastAsia="仿宋"/>
          <w:sz w:val="32"/>
          <w:szCs w:val="32"/>
        </w:rPr>
        <w:t>100</w:t>
      </w:r>
      <w:r>
        <w:rPr>
          <w:rFonts w:hint="eastAsia" w:ascii="仿宋" w:hAnsi="仿宋" w:eastAsia="仿宋"/>
          <w:sz w:val="32"/>
          <w:szCs w:val="32"/>
        </w:rPr>
        <w:t>人。</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（二）维护妇女儿童合法权益促进妇女儿童发展</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绩效目标：关注涉及妇女切身利益的热点、难点问题，及时提出对策建议；强化维权服务，帮扶困境群体。</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绩效指标：建设</w:t>
      </w:r>
      <w:r>
        <w:rPr>
          <w:rFonts w:ascii="仿宋" w:hAnsi="仿宋" w:eastAsia="仿宋"/>
          <w:sz w:val="32"/>
          <w:szCs w:val="32"/>
        </w:rPr>
        <w:t>200</w:t>
      </w:r>
      <w:r>
        <w:rPr>
          <w:rFonts w:hint="eastAsia" w:ascii="仿宋" w:hAnsi="仿宋" w:eastAsia="仿宋"/>
          <w:sz w:val="32"/>
          <w:szCs w:val="32"/>
        </w:rPr>
        <w:t>个以上婚调室，维权骨干培训满意率达到</w:t>
      </w:r>
      <w:r>
        <w:rPr>
          <w:rFonts w:ascii="仿宋" w:hAnsi="仿宋" w:eastAsia="仿宋"/>
          <w:sz w:val="32"/>
          <w:szCs w:val="32"/>
        </w:rPr>
        <w:t>75%</w:t>
      </w:r>
      <w:r>
        <w:rPr>
          <w:rFonts w:hint="eastAsia" w:ascii="仿宋" w:hAnsi="仿宋" w:eastAsia="仿宋"/>
          <w:sz w:val="32"/>
          <w:szCs w:val="32"/>
        </w:rPr>
        <w:t>以上。对</w:t>
      </w:r>
      <w:r>
        <w:rPr>
          <w:rFonts w:ascii="仿宋" w:hAnsi="仿宋" w:eastAsia="仿宋"/>
          <w:sz w:val="32"/>
          <w:szCs w:val="32"/>
        </w:rPr>
        <w:t>50</w:t>
      </w:r>
      <w:r>
        <w:rPr>
          <w:rFonts w:hint="eastAsia" w:ascii="仿宋" w:hAnsi="仿宋" w:eastAsia="仿宋"/>
          <w:sz w:val="32"/>
          <w:szCs w:val="32"/>
        </w:rPr>
        <w:t>名困境儿童给予紧急资金救助。</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（三）妇联综合业务管理水平进一步提高</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目标：加强妇联基层组织建设和机关建设、机关党建，做好机关基础设施建设与维护，推进机关信息化建设，做好区政府妇儿工委办公室工作，做好区委、区政府交办的各项工作，为妇女儿童事业发展提供有力保障。</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绩效指标：建设</w:t>
      </w:r>
      <w:r>
        <w:rPr>
          <w:rFonts w:ascii="仿宋" w:hAnsi="仿宋" w:eastAsia="仿宋"/>
          <w:sz w:val="32"/>
          <w:szCs w:val="32"/>
        </w:rPr>
        <w:t>3</w:t>
      </w:r>
      <w:r>
        <w:rPr>
          <w:rFonts w:hint="eastAsia" w:ascii="仿宋" w:hAnsi="仿宋" w:eastAsia="仿宋"/>
          <w:sz w:val="32"/>
          <w:szCs w:val="32"/>
        </w:rPr>
        <w:t>个省级妇女之家示范点，加强妇女之家基层阵地建设。做好区政府妇儿工委办公室工作，建设</w:t>
      </w:r>
      <w:r>
        <w:rPr>
          <w:rFonts w:ascii="仿宋" w:hAnsi="仿宋" w:eastAsia="仿宋"/>
          <w:sz w:val="32"/>
          <w:szCs w:val="32"/>
        </w:rPr>
        <w:t>6</w:t>
      </w:r>
      <w:r>
        <w:rPr>
          <w:rFonts w:hint="eastAsia" w:ascii="仿宋" w:hAnsi="仿宋" w:eastAsia="仿宋"/>
          <w:sz w:val="32"/>
          <w:szCs w:val="32"/>
        </w:rPr>
        <w:t>个儿童之家示范点。</w:t>
      </w:r>
    </w:p>
    <w:p>
      <w:pPr>
        <w:spacing w:line="500" w:lineRule="exact"/>
        <w:ind w:firstLine="640" w:firstLineChars="200"/>
        <w:jc w:val="left"/>
        <w:rPr>
          <w:rFonts w:ascii="仿宋" w:hAnsi="仿宋" w:eastAsia="仿宋"/>
          <w:sz w:val="32"/>
          <w:szCs w:val="32"/>
        </w:rPr>
      </w:pPr>
    </w:p>
    <w:p>
      <w:pPr>
        <w:spacing w:before="156" w:beforeLines="50" w:after="156" w:afterLines="50" w:line="500" w:lineRule="exact"/>
        <w:ind w:firstLine="640" w:firstLineChars="200"/>
        <w:jc w:val="left"/>
        <w:outlineLvl w:val="1"/>
        <w:rPr>
          <w:rFonts w:ascii="仿宋" w:hAnsi="仿宋" w:eastAsia="仿宋"/>
          <w:sz w:val="32"/>
          <w:szCs w:val="32"/>
        </w:rPr>
      </w:pPr>
      <w:bookmarkStart w:id="2" w:name="_Toc66973523"/>
      <w:r>
        <w:rPr>
          <w:rFonts w:ascii="仿宋" w:hAnsi="仿宋" w:eastAsia="仿宋"/>
          <w:sz w:val="32"/>
          <w:szCs w:val="32"/>
        </w:rPr>
        <w:t>三、工作保障措施</w:t>
      </w:r>
      <w:bookmarkEnd w:id="2"/>
      <w:r>
        <w:rPr>
          <w:rFonts w:ascii="仿宋" w:hAnsi="仿宋" w:eastAsia="仿宋"/>
          <w:sz w:val="32"/>
          <w:szCs w:val="32"/>
        </w:rPr>
        <w:fldChar w:fldCharType="begin"/>
      </w:r>
      <w:r>
        <w:rPr>
          <w:rFonts w:ascii="仿宋" w:hAnsi="仿宋" w:eastAsia="仿宋"/>
          <w:sz w:val="32"/>
          <w:szCs w:val="32"/>
        </w:rPr>
        <w:instrText xml:space="preserve"> TC 工作保障措施 \f A \l 1 </w:instrText>
      </w:r>
      <w:r>
        <w:rPr>
          <w:rFonts w:ascii="仿宋" w:hAnsi="仿宋" w:eastAsia="仿宋"/>
          <w:sz w:val="32"/>
          <w:szCs w:val="32"/>
        </w:rPr>
        <w:fldChar w:fldCharType="end"/>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（一）完善制度建设。认真梳理并进一步健全预算绩效管理制度，不断完善工作机制和工作流程，确保</w:t>
      </w:r>
      <w:r>
        <w:rPr>
          <w:rFonts w:hint="eastAsia" w:ascii="仿宋" w:hAnsi="仿宋" w:eastAsia="仿宋"/>
          <w:sz w:val="32"/>
          <w:szCs w:val="32"/>
          <w:lang w:eastAsia="zh-CN"/>
        </w:rPr>
        <w:t>单位</w:t>
      </w:r>
      <w:r>
        <w:rPr>
          <w:rFonts w:hint="eastAsia" w:ascii="仿宋" w:hAnsi="仿宋" w:eastAsia="仿宋"/>
          <w:sz w:val="32"/>
          <w:szCs w:val="32"/>
        </w:rPr>
        <w:t>预算绩效管理工作有规可循、有章可依。</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（二）加强支出管理。通过优化支出结构、编细编实预算、加快履行政府采购手续、尽快启动项目、及时支付资金，确保支出进度达标。</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（三）加强绩效运行监控。按要求开展绩效运行监控，细化监控内容，完善监控方式，发现问题及时采取措施，着力提升财政资金使用绩效，确保绩效目标如期保质实现。</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（四）做好绩效自评。按要求开展上年度</w:t>
      </w:r>
      <w:r>
        <w:rPr>
          <w:rFonts w:hint="eastAsia" w:ascii="仿宋" w:hAnsi="仿宋" w:eastAsia="仿宋"/>
          <w:sz w:val="32"/>
          <w:szCs w:val="32"/>
          <w:lang w:eastAsia="zh-CN"/>
        </w:rPr>
        <w:t>单位</w:t>
      </w:r>
      <w:r>
        <w:rPr>
          <w:rFonts w:hint="eastAsia" w:ascii="仿宋" w:hAnsi="仿宋" w:eastAsia="仿宋"/>
          <w:sz w:val="32"/>
          <w:szCs w:val="32"/>
        </w:rPr>
        <w:t>预算绩效自评和重点评价工作，对评价中发现的问题及时整改，调整优化支出结构，提高财政资金使用效益。</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（五）规范财务资产管理。完善财务管理制度，严格审批程序，加强固定资产登记、使用和报废处置管理，做到支出合理，物尽其用。</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六）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line="500" w:lineRule="exact"/>
        <w:ind w:firstLine="640" w:firstLineChars="200"/>
        <w:jc w:val="left"/>
        <w:rPr>
          <w:rFonts w:ascii="仿宋" w:hAnsi="仿宋" w:eastAsia="仿宋"/>
          <w:sz w:val="32"/>
          <w:szCs w:val="32"/>
        </w:rPr>
      </w:pPr>
      <w:r>
        <w:rPr>
          <w:rFonts w:hint="eastAsia" w:ascii="仿宋" w:hAnsi="仿宋" w:eastAsia="仿宋"/>
          <w:sz w:val="32"/>
          <w:szCs w:val="32"/>
        </w:rPr>
        <w:t>（七）加强宣传培训调研。加强人员培训，提高本</w:t>
      </w:r>
      <w:r>
        <w:rPr>
          <w:rFonts w:hint="eastAsia" w:ascii="仿宋" w:hAnsi="仿宋" w:eastAsia="仿宋"/>
          <w:sz w:val="32"/>
          <w:szCs w:val="32"/>
          <w:lang w:eastAsia="zh-CN"/>
        </w:rPr>
        <w:t>单位</w:t>
      </w:r>
      <w:r>
        <w:rPr>
          <w:rFonts w:hint="eastAsia" w:ascii="仿宋" w:hAnsi="仿宋" w:eastAsia="仿宋"/>
          <w:sz w:val="32"/>
          <w:szCs w:val="32"/>
        </w:rPr>
        <w:t>职工业务素质；加强调研，提出优化财政资金配置、提高资金使用效益的意见建议；加大宣传力度，强化预算绩效管理意识，促进预算绩效管理水平进一步提升。</w:t>
      </w:r>
    </w:p>
    <w:p>
      <w:pPr>
        <w:spacing w:line="500" w:lineRule="exact"/>
        <w:ind w:firstLine="560" w:firstLineChars="200"/>
        <w:jc w:val="left"/>
        <w:rPr>
          <w:rFonts w:ascii="Times New Roman" w:hAnsi="等线" w:eastAsia="方正仿宋_GBK" w:cs="Times New Roman"/>
          <w:sz w:val="28"/>
        </w:rPr>
      </w:pPr>
    </w:p>
    <w:p>
      <w:pPr>
        <w:spacing w:line="360" w:lineRule="auto"/>
        <w:ind w:firstLine="640" w:firstLineChars="200"/>
        <w:rPr>
          <w:rFonts w:ascii="仿宋" w:hAnsi="仿宋" w:eastAsia="仿宋"/>
          <w:sz w:val="32"/>
          <w:szCs w:val="32"/>
        </w:rPr>
      </w:pPr>
    </w:p>
    <w:p>
      <w:pPr>
        <w:jc w:val="center"/>
        <w:outlineLvl w:val="0"/>
        <w:rPr>
          <w:rFonts w:ascii="方正书宋_GBK" w:eastAsia="方正书宋_GBK"/>
        </w:rPr>
      </w:pPr>
      <w:r>
        <w:rPr>
          <w:rFonts w:hint="eastAsia" w:ascii="方正小标宋_GBK" w:eastAsia="方正小标宋_GBK"/>
          <w:sz w:val="44"/>
        </w:rPr>
        <w:t>预算项目绩效目标</w:t>
      </w:r>
      <w:r>
        <w:rPr>
          <w:rFonts w:ascii="方正书宋_GBK" w:eastAsia="方正书宋_GBK"/>
        </w:rPr>
        <w:t xml:space="preserve"> </w:t>
      </w:r>
    </w:p>
    <w:p>
      <w:pPr>
        <w:ind w:firstLine="562" w:firstLineChars="200"/>
        <w:jc w:val="left"/>
        <w:outlineLvl w:val="3"/>
        <w:rPr>
          <w:rFonts w:ascii="Times New Roman" w:hAnsi="宋体" w:eastAsia="宋体" w:cs="Times New Roman"/>
          <w:b/>
          <w:sz w:val="28"/>
        </w:rPr>
      </w:pPr>
      <w:bookmarkStart w:id="3" w:name="_Toc66973524"/>
      <w:r>
        <w:rPr>
          <w:rFonts w:ascii="方正仿宋_GBK" w:hAnsi="等线" w:eastAsia="方正仿宋_GBK" w:cs="Times New Roman"/>
          <w:b/>
          <w:sz w:val="28"/>
        </w:rPr>
        <w:t>1.基层组织建设绩效目标表</w:t>
      </w:r>
      <w:bookmarkEnd w:id="3"/>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1、基层组织建设绩效目标表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13062521FBIVRHKGAH092</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基层组织建设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该资金用于妇联基层组织建设、阵地和队伍的建设.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1.妇联基层组织的组织、阵地、队伍建设等得到加强。</w:t>
            </w:r>
          </w:p>
          <w:p>
            <w:pPr>
              <w:spacing w:line="300" w:lineRule="exact"/>
              <w:jc w:val="left"/>
              <w:rPr>
                <w:rFonts w:ascii="方正书宋_GBK" w:hAnsi="等线" w:eastAsia="方正书宋_GBK" w:cs="Times New Roman"/>
              </w:rPr>
            </w:pPr>
            <w:r>
              <w:rPr>
                <w:rFonts w:ascii="方正书宋_GBK" w:hAnsi="等线" w:eastAsia="方正书宋_GBK" w:cs="Times New Roman"/>
              </w:rPr>
              <w:t>2.，妇联干部工作能力和服务水平提高。</w:t>
            </w:r>
          </w:p>
          <w:p>
            <w:pPr>
              <w:spacing w:line="300" w:lineRule="exact"/>
              <w:jc w:val="left"/>
              <w:rPr>
                <w:rFonts w:ascii="方正书宋_GBK" w:hAnsi="等线" w:eastAsia="方正书宋_GBK" w:cs="Times New Roman"/>
              </w:rPr>
            </w:pPr>
            <w:r>
              <w:rPr>
                <w:rFonts w:ascii="方正书宋_GBK" w:hAnsi="等线" w:eastAsia="方正书宋_GBK" w:cs="Times New Roman"/>
              </w:rPr>
              <w:t>3.提高干部工作效率</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创建示范基层组织数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创建达到冀妇发〔2015〕10号文件要求标准的示范组织数量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示范基地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建立规模化示范基地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按照要求和计划完成项目</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合理利用资金</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提高资金使用效率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创建基层组织达标情况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4" w:name="_Toc66973525"/>
      <w:r>
        <w:rPr>
          <w:rFonts w:ascii="方正仿宋_GBK" w:hAnsi="等线" w:eastAsia="方正仿宋_GBK" w:cs="Times New Roman"/>
          <w:b/>
          <w:sz w:val="28"/>
        </w:rPr>
        <w:t>2.妇女儿童工作委员会办公室日常工作绩效目标表</w:t>
      </w:r>
      <w:bookmarkEnd w:id="4"/>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2、妇女儿童工作委员会办公室日常工作绩效目标表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13062521HUTAM5YIR6P9P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妇女儿童工作委员会办公室日常工作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6600.00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该资金用于妇女儿童工作委员会办公室运转经费。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1.协助区政府妇儿工委发展中长期规划，并推动实施、进行检测评估</w:t>
            </w:r>
          </w:p>
          <w:p>
            <w:pPr>
              <w:spacing w:line="300" w:lineRule="exact"/>
              <w:jc w:val="left"/>
              <w:rPr>
                <w:rFonts w:ascii="方正书宋_GBK" w:hAnsi="等线" w:eastAsia="方正书宋_GBK" w:cs="Times New Roman"/>
              </w:rPr>
            </w:pPr>
            <w:r>
              <w:rPr>
                <w:rFonts w:ascii="方正书宋_GBK" w:hAnsi="等线" w:eastAsia="方正书宋_GBK" w:cs="Times New Roman"/>
              </w:rPr>
              <w:t>2.协调和推动成员单位做好维护妇女儿童权益，实施妇女儿童发展规划工作。</w:t>
            </w:r>
          </w:p>
          <w:p>
            <w:pPr>
              <w:spacing w:line="300" w:lineRule="exact"/>
              <w:jc w:val="left"/>
              <w:rPr>
                <w:rFonts w:ascii="方正书宋_GBK" w:hAnsi="等线" w:eastAsia="方正书宋_GBK" w:cs="Times New Roman"/>
              </w:rPr>
            </w:pPr>
            <w:r>
              <w:rPr>
                <w:rFonts w:ascii="方正书宋_GBK" w:hAnsi="等线" w:eastAsia="方正书宋_GBK" w:cs="Times New Roman"/>
              </w:rPr>
              <w:t>3.开展调查研究，为委员会决策妇女儿童发展中的重大问题提供依据。</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调查妇女儿童日常工作</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指导乡镇妇儿工委工作次数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法律援助妇女侵权案件率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法律援助妇女侵权案件代理数量占总数的比率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按时间节点完成</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按计划实施</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培训达标人数占培训人数的比率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≥80%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5" w:name="_Toc66973526"/>
      <w:r>
        <w:rPr>
          <w:rFonts w:ascii="方正仿宋_GBK" w:hAnsi="等线" w:eastAsia="方正仿宋_GBK" w:cs="Times New Roman"/>
          <w:b/>
          <w:sz w:val="28"/>
        </w:rPr>
        <w:t>3.庆祝三八妇女节绩效目标表</w:t>
      </w:r>
      <w:bookmarkEnd w:id="5"/>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3、庆祝三八妇女节绩效目标表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13062521OK6VPD8UCNX8P</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庆祝三八妇女节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该资金用于庆三八妇女节表彰大会。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6</w:t>
            </w:r>
            <w:r>
              <w:rPr>
                <w:rFonts w:ascii="方正书宋_GBK" w:hAnsi="等线" w:eastAsia="方正书宋_GBK" w:cs="Times New Roman"/>
              </w:rPr>
              <w:t>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hint="eastAsia" w:ascii="方正书宋_GBK" w:hAnsi="等线" w:eastAsia="方正书宋_GBK" w:cs="Times New Roman"/>
              </w:rPr>
              <w:t>10</w:t>
            </w:r>
            <w:r>
              <w:rPr>
                <w:rFonts w:ascii="方正书宋_GBK" w:hAnsi="等线" w:eastAsia="方正书宋_GBK" w:cs="Times New Roman"/>
              </w:rPr>
              <w:t>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1.妇联基层组织的组织、阵地、队伍建设等得到加强。</w:t>
            </w:r>
          </w:p>
          <w:p>
            <w:pPr>
              <w:spacing w:line="300" w:lineRule="exact"/>
              <w:jc w:val="left"/>
              <w:rPr>
                <w:rFonts w:ascii="方正书宋_GBK" w:hAnsi="等线" w:eastAsia="方正书宋_GBK" w:cs="Times New Roman"/>
              </w:rPr>
            </w:pPr>
            <w:r>
              <w:rPr>
                <w:rFonts w:ascii="方正书宋_GBK" w:hAnsi="等线" w:eastAsia="方正书宋_GBK" w:cs="Times New Roman"/>
              </w:rPr>
              <w:t>2.妇联干部工作能力和服务水平提高。</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创建区级示范妇女之家数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反映基层妇联工作阵地建设情况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召开纪念表彰大会</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反应表彰先进集体数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≥100个/名</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按时完成治理任务</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按照工作安排完成治理任务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控制成本支出</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hint="eastAsia" w:ascii="方正书宋_GBK" w:hAnsi="等线" w:eastAsia="方正书宋_GBK" w:cs="Times New Roman"/>
                <w:lang w:eastAsia="zh-CN"/>
              </w:rPr>
              <w:t>厉</w:t>
            </w:r>
            <w:r>
              <w:rPr>
                <w:rFonts w:ascii="方正书宋_GBK" w:hAnsi="等线" w:eastAsia="方正书宋_GBK" w:cs="Times New Roman"/>
              </w:rPr>
              <w:t>行节约控制支出</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可持续影响指标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建设区级示范妇女之家数量占所有参与家庭的数量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建设区级示范妇女之家达标率100%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依据工作方案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6" w:name="_Toc66973527"/>
      <w:r>
        <w:rPr>
          <w:rFonts w:ascii="方正仿宋_GBK" w:hAnsi="等线" w:eastAsia="方正仿宋_GBK" w:cs="Times New Roman"/>
          <w:b/>
          <w:sz w:val="28"/>
        </w:rPr>
        <w:t>4.庆祝六一儿童节绩效目标表</w:t>
      </w:r>
      <w:bookmarkEnd w:id="6"/>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4、庆祝六一儿童节绩效目标表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13062521Q4B2HV8OI9SPL</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庆祝六一儿童节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用于六一儿童节期间慰问贫困儿童。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1.帮助权益受到侵害和困难的妇女儿童解决困难和问题</w:t>
            </w:r>
          </w:p>
          <w:p>
            <w:pPr>
              <w:spacing w:line="300" w:lineRule="exact"/>
              <w:jc w:val="left"/>
              <w:rPr>
                <w:rFonts w:ascii="方正书宋_GBK" w:hAnsi="等线" w:eastAsia="方正书宋_GBK" w:cs="Times New Roman"/>
              </w:rPr>
            </w:pPr>
            <w:r>
              <w:rPr>
                <w:rFonts w:ascii="方正书宋_GBK" w:hAnsi="等线" w:eastAsia="方正书宋_GBK" w:cs="Times New Roman"/>
              </w:rPr>
              <w:t>2.帮助权益受到侵害和困难的妇女儿童解决困难和问题开展普法宣传教育。</w:t>
            </w:r>
          </w:p>
          <w:p>
            <w:pPr>
              <w:spacing w:line="300" w:lineRule="exact"/>
              <w:jc w:val="left"/>
              <w:rPr>
                <w:rFonts w:ascii="方正书宋_GBK" w:hAnsi="等线" w:eastAsia="方正书宋_GBK" w:cs="Times New Roman"/>
              </w:rPr>
            </w:pPr>
            <w:r>
              <w:rPr>
                <w:rFonts w:ascii="方正书宋_GBK" w:hAnsi="等线" w:eastAsia="方正书宋_GBK" w:cs="Times New Roman"/>
              </w:rPr>
              <w:t>3.提高广大妇女儿童的维权意识和维权能力，维护妇女儿童合法权益。</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救助慰问贫困女童数</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反应救助慰问贫困女童情况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≥50名</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建设区级示范儿童之家</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建设区级示范儿童之家数量</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≥20个</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工作任务完成及时率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工作任务完成及时率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完成率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当年任务完成情况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≥95%</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建设示范儿童之家达标情况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00" w:lineRule="exact"/>
        <w:jc w:val="left"/>
        <w:rPr>
          <w:rFonts w:ascii="等线" w:hAnsi="等线" w:eastAsia="等线"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ascii="等线" w:hAnsi="等线" w:eastAsia="等线" w:cs="Times New Roman"/>
        </w:rPr>
      </w:pPr>
    </w:p>
    <w:p>
      <w:pPr>
        <w:ind w:firstLine="562" w:firstLineChars="200"/>
        <w:jc w:val="left"/>
        <w:outlineLvl w:val="3"/>
        <w:rPr>
          <w:rFonts w:ascii="Times New Roman" w:hAnsi="宋体" w:eastAsia="宋体" w:cs="Times New Roman"/>
          <w:b/>
          <w:sz w:val="28"/>
        </w:rPr>
      </w:pPr>
      <w:bookmarkStart w:id="7" w:name="_Toc66973528"/>
      <w:r>
        <w:rPr>
          <w:rFonts w:ascii="方正仿宋_GBK" w:hAnsi="等线" w:eastAsia="方正仿宋_GBK" w:cs="Times New Roman"/>
          <w:b/>
          <w:sz w:val="28"/>
        </w:rPr>
        <w:t>5.美丽庭院创建绩效目标表</w:t>
      </w:r>
      <w:bookmarkEnd w:id="7"/>
      <w:r>
        <w:rPr>
          <w:rFonts w:ascii="方正仿宋_GBK" w:hAnsi="等线" w:eastAsia="方正仿宋_GBK" w:cs="Times New Roman"/>
          <w:b/>
          <w:sz w:val="28"/>
        </w:rPr>
        <w:fldChar w:fldCharType="begin"/>
      </w:r>
      <w:r>
        <w:rPr>
          <w:rFonts w:ascii="方正仿宋_GBK" w:hAnsi="等线" w:eastAsia="方正仿宋_GBK" w:cs="Times New Roman"/>
          <w:b/>
          <w:sz w:val="28"/>
        </w:rPr>
        <w:instrText xml:space="preserve"> TC 5、美丽庭院创建绩效目标表 \f C \l 1 </w:instrText>
      </w:r>
      <w:r>
        <w:rPr>
          <w:rFonts w:ascii="方正仿宋_GBK" w:hAnsi="等线" w:eastAsia="方正仿宋_GBK" w:cs="Times New Roman"/>
          <w:b/>
          <w:sz w:val="28"/>
        </w:rPr>
        <w:fldChar w:fldCharType="end"/>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书宋_GBK" w:hAnsi="等线" w:eastAsia="方正书宋_GBK" w:cs="Times New Roman"/>
                <w:b/>
              </w:rPr>
            </w:pPr>
            <w:r>
              <w:rPr>
                <w:rFonts w:ascii="方正书宋_GBK" w:hAnsi="等线" w:eastAsia="方正书宋_GBK" w:cs="Times New Roman"/>
                <w:b/>
              </w:rPr>
              <w:t>713001妇联本级</w:t>
            </w:r>
          </w:p>
        </w:tc>
        <w:tc>
          <w:tcPr>
            <w:tcW w:w="1701"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rPr>
            </w:pPr>
            <w:r>
              <w:rPr>
                <w:rFonts w:ascii="方正书宋_GBK" w:hAnsi="等线" w:eastAsia="方正书宋_GBK" w:cs="Times New Roman"/>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项目编码</w:t>
            </w:r>
          </w:p>
        </w:tc>
        <w:tc>
          <w:tcPr>
            <w:tcW w:w="2410" w:type="dxa"/>
            <w:gridSpan w:val="2"/>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13062521QXIP6PX663G5Q</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4281" w:type="dxa"/>
            <w:gridSpan w:val="3"/>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美丽庭院创建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预算规模及资金用途</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预算数</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其中：财政资金</w:t>
            </w:r>
          </w:p>
        </w:tc>
        <w:tc>
          <w:tcPr>
            <w:tcW w:w="130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15000.00</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其他资金</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vAlign w:val="center"/>
          </w:tcPr>
          <w:p>
            <w:pPr>
              <w:spacing w:line="300" w:lineRule="exact"/>
              <w:jc w:val="left"/>
              <w:outlineLvl w:val="3"/>
              <w:rPr>
                <w:rFonts w:ascii="等线" w:hAnsi="等线" w:eastAsia="等线" w:cs="Times New Roman"/>
              </w:rPr>
            </w:pPr>
          </w:p>
        </w:tc>
        <w:tc>
          <w:tcPr>
            <w:tcW w:w="8278" w:type="dxa"/>
            <w:gridSpan w:val="6"/>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该资金用于美丽庭院创建支出。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资金支出计划（%）</w:t>
            </w:r>
          </w:p>
        </w:tc>
        <w:tc>
          <w:tcPr>
            <w:tcW w:w="2410"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3月底</w:t>
            </w:r>
          </w:p>
        </w:tc>
        <w:tc>
          <w:tcPr>
            <w:tcW w:w="1587"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6月底</w:t>
            </w:r>
          </w:p>
        </w:tc>
        <w:tc>
          <w:tcPr>
            <w:tcW w:w="130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10月底</w:t>
            </w:r>
          </w:p>
        </w:tc>
        <w:tc>
          <w:tcPr>
            <w:tcW w:w="2977"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12月底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vAlign w:val="center"/>
          </w:tcPr>
          <w:p>
            <w:pPr>
              <w:spacing w:line="300" w:lineRule="exact"/>
              <w:jc w:val="left"/>
              <w:outlineLvl w:val="3"/>
              <w:rPr>
                <w:rFonts w:ascii="等线" w:hAnsi="等线" w:eastAsia="等线" w:cs="Times New Roman"/>
              </w:rPr>
            </w:pPr>
          </w:p>
        </w:tc>
        <w:tc>
          <w:tcPr>
            <w:tcW w:w="2410"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p>
        </w:tc>
        <w:tc>
          <w:tcPr>
            <w:tcW w:w="1587"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30.00%</w:t>
            </w:r>
          </w:p>
        </w:tc>
        <w:tc>
          <w:tcPr>
            <w:tcW w:w="1304" w:type="dxa"/>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60.00%</w:t>
            </w:r>
          </w:p>
        </w:tc>
        <w:tc>
          <w:tcPr>
            <w:tcW w:w="2977" w:type="dxa"/>
            <w:gridSpan w:val="2"/>
            <w:tcBorders>
              <w:bottom w:val="single" w:color="000000" w:sz="6" w:space="0"/>
            </w:tcBorders>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绩效目标</w:t>
            </w:r>
          </w:p>
        </w:tc>
        <w:tc>
          <w:tcPr>
            <w:tcW w:w="8278" w:type="dxa"/>
            <w:gridSpan w:val="6"/>
            <w:tcBorders>
              <w:bottom w:val="nil"/>
            </w:tcBorders>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1.提高妇女科技素质</w:t>
            </w:r>
          </w:p>
          <w:p>
            <w:pPr>
              <w:spacing w:line="300" w:lineRule="exact"/>
              <w:jc w:val="left"/>
              <w:rPr>
                <w:rFonts w:ascii="方正书宋_GBK" w:hAnsi="等线" w:eastAsia="方正书宋_GBK" w:cs="Times New Roman"/>
              </w:rPr>
            </w:pPr>
            <w:r>
              <w:rPr>
                <w:rFonts w:ascii="方正书宋_GBK" w:hAnsi="等线" w:eastAsia="方正书宋_GBK" w:cs="Times New Roman"/>
              </w:rPr>
              <w:t>2.提高妇女农业经营管理能力</w:t>
            </w:r>
          </w:p>
          <w:p>
            <w:pPr>
              <w:spacing w:line="300" w:lineRule="exact"/>
              <w:jc w:val="left"/>
              <w:rPr>
                <w:rFonts w:ascii="方正书宋_GBK" w:hAnsi="等线" w:eastAsia="方正书宋_GBK" w:cs="Times New Roman"/>
              </w:rPr>
            </w:pPr>
            <w:r>
              <w:rPr>
                <w:rFonts w:ascii="方正书宋_GBK" w:hAnsi="等线" w:eastAsia="方正书宋_GBK" w:cs="Times New Roman"/>
              </w:rPr>
              <w:t>3.促进妇女创业就业</w:t>
            </w:r>
          </w:p>
        </w:tc>
      </w:tr>
    </w:tbl>
    <w:p>
      <w:pPr>
        <w:spacing w:line="14" w:lineRule="exact"/>
        <w:jc w:val="center"/>
        <w:rPr>
          <w:rFonts w:ascii="Times New Roman" w:hAnsi="宋体" w:eastAsia="宋体" w:cs="Times New Roman"/>
        </w:rPr>
      </w:pPr>
      <w:r>
        <w:rPr>
          <w:rFonts w:ascii="方正书宋_GBK" w:hAnsi="等线" w:eastAsia="方正书宋_GBK" w:cs="Times New Roman"/>
        </w:rPr>
        <w:t xml:space="preserve"> </w:t>
      </w:r>
    </w:p>
    <w:tbl>
      <w:tblPr>
        <w:tblStyle w:val="5"/>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一级指标</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二级指标</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三级指标</w:t>
            </w:r>
          </w:p>
        </w:tc>
        <w:tc>
          <w:tcPr>
            <w:tcW w:w="289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绩效指标描述</w:t>
            </w:r>
          </w:p>
        </w:tc>
        <w:tc>
          <w:tcPr>
            <w:tcW w:w="1276"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w:t>
            </w:r>
          </w:p>
        </w:tc>
        <w:tc>
          <w:tcPr>
            <w:tcW w:w="1701"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产出指标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数量指标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改造提升美丽乡村样板村数量</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反应改造提升美丽乡村情况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质量指标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项目（工程）验收合格率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反映项目完成情况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时效指标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及时率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按照要求和计划完成任务</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成本指标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总成本</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总成本控制</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≥90%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效益指标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美丽乡村样板村建设达标率</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反应美丽乡村样板村建设达标情况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hAnsi="等线" w:eastAsia="方正书宋_GBK" w:cs="Times New Roman"/>
              </w:rPr>
            </w:pP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社会效益指标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村容村貌改善情况</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反应村貌改善情况</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hAnsi="等线" w:eastAsia="方正书宋_GBK" w:cs="Times New Roman"/>
              </w:rPr>
            </w:pPr>
            <w:r>
              <w:rPr>
                <w:rFonts w:ascii="方正书宋_GBK" w:hAnsi="等线" w:eastAsia="方正书宋_GBK" w:cs="Times New Roman"/>
              </w:rPr>
              <w:t>满意度指标</w:t>
            </w:r>
          </w:p>
        </w:tc>
        <w:tc>
          <w:tcPr>
            <w:tcW w:w="1134"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服务对象满意度指标</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群众满意度</w:t>
            </w:r>
          </w:p>
        </w:tc>
        <w:tc>
          <w:tcPr>
            <w:tcW w:w="289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群众满意数量占总数的比例。</w:t>
            </w:r>
          </w:p>
        </w:tc>
        <w:tc>
          <w:tcPr>
            <w:tcW w:w="1276"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≥100%</w:t>
            </w:r>
          </w:p>
        </w:tc>
        <w:tc>
          <w:tcPr>
            <w:tcW w:w="1701" w:type="dxa"/>
            <w:shd w:val="clear" w:color="auto" w:fill="auto"/>
            <w:vAlign w:val="center"/>
          </w:tcPr>
          <w:p>
            <w:pPr>
              <w:spacing w:line="300" w:lineRule="exact"/>
              <w:jc w:val="left"/>
              <w:rPr>
                <w:rFonts w:ascii="方正书宋_GBK" w:hAnsi="等线" w:eastAsia="方正书宋_GBK" w:cs="Times New Roman"/>
              </w:rPr>
            </w:pPr>
            <w:r>
              <w:rPr>
                <w:rFonts w:ascii="方正书宋_GBK" w:hAnsi="等线" w:eastAsia="方正书宋_GBK" w:cs="Times New Roman"/>
              </w:rPr>
              <w:t>根据工作方案</w:t>
            </w:r>
          </w:p>
        </w:tc>
      </w:tr>
    </w:tbl>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sectPr>
          <w:pgSz w:w="11907" w:h="16839"/>
          <w:pgMar w:top="1984" w:right="1304" w:bottom="1134" w:left="1304" w:header="851" w:footer="992" w:gutter="0"/>
          <w:cols w:space="425" w:num="1"/>
          <w:docGrid w:type="lines" w:linePitch="312" w:charSpace="0"/>
        </w:sectPr>
      </w:pPr>
    </w:p>
    <w:p/>
    <w:p>
      <w:pPr>
        <w:jc w:val="center"/>
        <w:outlineLvl w:val="0"/>
        <w:rPr>
          <w:rFonts w:ascii="方正小标宋_GBK" w:eastAsia="方正小标宋_GBK"/>
          <w:sz w:val="44"/>
        </w:rPr>
      </w:pPr>
      <w:r>
        <w:rPr>
          <w:rFonts w:hint="eastAsia" w:ascii="方正小标宋_GBK" w:eastAsia="方正小标宋_GBK"/>
          <w:sz w:val="44"/>
        </w:rPr>
        <w:t>第六部分：政府采购预算情况</w:t>
      </w:r>
    </w:p>
    <w:p>
      <w:pPr>
        <w:spacing w:line="360" w:lineRule="auto"/>
        <w:ind w:firstLine="640" w:firstLineChars="200"/>
        <w:rPr>
          <w:rFonts w:ascii="仿宋" w:hAnsi="仿宋" w:eastAsia="仿宋"/>
          <w:sz w:val="32"/>
          <w:szCs w:val="32"/>
        </w:rPr>
      </w:pPr>
      <w:r>
        <w:rPr>
          <w:rFonts w:ascii="仿宋" w:hAnsi="仿宋" w:eastAsia="仿宋"/>
          <w:sz w:val="32"/>
          <w:szCs w:val="32"/>
        </w:rPr>
        <w:t>2021年，我</w:t>
      </w:r>
      <w:r>
        <w:rPr>
          <w:rFonts w:hint="eastAsia" w:ascii="仿宋" w:hAnsi="仿宋" w:eastAsia="仿宋"/>
          <w:sz w:val="32"/>
          <w:szCs w:val="32"/>
          <w:lang w:eastAsia="zh-CN"/>
        </w:rPr>
        <w:t>单位</w:t>
      </w:r>
      <w:r>
        <w:rPr>
          <w:rFonts w:ascii="仿宋" w:hAnsi="仿宋" w:eastAsia="仿宋"/>
          <w:sz w:val="32"/>
          <w:szCs w:val="32"/>
        </w:rPr>
        <w:t>无政府采购预算，空表列示。</w:t>
      </w:r>
    </w:p>
    <w:p>
      <w:pPr>
        <w:spacing w:line="360" w:lineRule="auto"/>
        <w:ind w:firstLine="640" w:firstLineChars="200"/>
        <w:rPr>
          <w:rFonts w:ascii="仿宋" w:hAnsi="仿宋" w:eastAsia="仿宋"/>
          <w:sz w:val="32"/>
          <w:szCs w:val="32"/>
        </w:rPr>
      </w:pPr>
      <w:r>
        <w:rPr>
          <w:rFonts w:hint="eastAsia" w:ascii="仿宋" w:hAnsi="仿宋" w:eastAsia="仿宋"/>
          <w:sz w:val="32"/>
          <w:szCs w:val="32"/>
        </w:rPr>
        <w:t>附</w:t>
      </w:r>
      <w:r>
        <w:rPr>
          <w:rFonts w:hint="eastAsia" w:ascii="仿宋" w:hAnsi="仿宋" w:eastAsia="仿宋"/>
          <w:sz w:val="32"/>
          <w:szCs w:val="32"/>
          <w:lang w:eastAsia="zh-CN"/>
        </w:rPr>
        <w:t>单位</w:t>
      </w:r>
      <w:r>
        <w:rPr>
          <w:rFonts w:hint="eastAsia" w:ascii="仿宋" w:hAnsi="仿宋" w:eastAsia="仿宋"/>
          <w:sz w:val="32"/>
          <w:szCs w:val="32"/>
        </w:rPr>
        <w:t>政府采购预算表空表。</w:t>
      </w:r>
    </w:p>
    <w:p>
      <w:pPr>
        <w:spacing w:line="360" w:lineRule="auto"/>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p>
    <w:p>
      <w:pPr>
        <w:jc w:val="center"/>
        <w:outlineLvl w:val="1"/>
        <w:rPr>
          <w:rFonts w:ascii="Times New Roman" w:hAnsi="宋体" w:eastAsia="宋体" w:cs="Times New Roman"/>
          <w:sz w:val="32"/>
        </w:rPr>
      </w:pPr>
      <w:bookmarkStart w:id="8" w:name="_Toc69809617"/>
      <w:r>
        <w:rPr>
          <w:rFonts w:hint="eastAsia" w:ascii="方正小标宋_GBK" w:hAnsi="等线" w:eastAsia="方正小标宋_GBK" w:cs="Times New Roman"/>
          <w:sz w:val="32"/>
          <w:lang w:eastAsia="zh-CN"/>
        </w:rPr>
        <w:t>单位</w:t>
      </w:r>
      <w:r>
        <w:rPr>
          <w:rFonts w:ascii="方正小标宋_GBK" w:hAnsi="等线" w:eastAsia="方正小标宋_GBK" w:cs="Times New Roman"/>
          <w:sz w:val="32"/>
        </w:rPr>
        <w:t>政府采购预算</w:t>
      </w:r>
      <w:bookmarkEnd w:id="8"/>
    </w:p>
    <w:tbl>
      <w:tblPr>
        <w:tblStyle w:val="5"/>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hAnsi="等线" w:eastAsia="方正小标宋_GBK" w:cs="Times New Roman"/>
                <w:sz w:val="24"/>
              </w:rPr>
            </w:pPr>
            <w:r>
              <w:rPr>
                <w:rFonts w:hint="eastAsia" w:ascii="方正小标宋_GBK" w:hAnsi="等线" w:eastAsia="方正小标宋_GBK" w:cs="Times New Roman"/>
                <w:sz w:val="24"/>
              </w:rPr>
              <w:t>保定市</w:t>
            </w:r>
            <w:r>
              <w:rPr>
                <w:rFonts w:ascii="方正小标宋_GBK" w:hAnsi="等线" w:eastAsia="方正小标宋_GBK" w:cs="Times New Roman"/>
                <w:sz w:val="24"/>
              </w:rPr>
              <w:t>徐水区妇女联合会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hAnsi="等线" w:eastAsia="方正书宋_GBK" w:cs="Times New Roman"/>
                <w:sz w:val="24"/>
              </w:rPr>
            </w:pPr>
            <w:r>
              <w:rPr>
                <w:rFonts w:ascii="方正书宋_GBK" w:hAnsi="等线" w:eastAsia="方正书宋_GBK" w:cs="Times New Roman"/>
                <w:sz w:val="24"/>
              </w:rPr>
              <w:t>单位：</w:t>
            </w:r>
            <w:r>
              <w:rPr>
                <w:rFonts w:hint="eastAsia" w:ascii="方正书宋_GBK" w:hAnsi="等线" w:eastAsia="方正书宋_GBK" w:cs="Times New Roman"/>
                <w:sz w:val="24"/>
              </w:rPr>
              <w:t>万</w:t>
            </w:r>
            <w:r>
              <w:rPr>
                <w:rFonts w:ascii="方正书宋_GBK" w:hAnsi="等线" w:eastAsia="方正书宋_GBK" w:cs="Times New Roman"/>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数量</w:t>
            </w:r>
          </w:p>
        </w:tc>
        <w:tc>
          <w:tcPr>
            <w:tcW w:w="907" w:type="dxa"/>
            <w:vMerge w:val="restart"/>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单价</w:t>
            </w:r>
          </w:p>
        </w:tc>
        <w:tc>
          <w:tcPr>
            <w:tcW w:w="6804" w:type="dxa"/>
            <w:gridSpan w:val="6"/>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政府采购金额（当年</w:t>
            </w:r>
            <w:r>
              <w:rPr>
                <w:rFonts w:hint="eastAsia" w:ascii="方正书宋_GBK" w:hAnsi="等线" w:eastAsia="方正书宋_GBK" w:cs="Times New Roman"/>
                <w:b/>
                <w:lang w:eastAsia="zh-CN"/>
              </w:rPr>
              <w:t>单位</w:t>
            </w:r>
            <w:r>
              <w:rPr>
                <w:rFonts w:ascii="方正书宋_GBK" w:hAnsi="等线" w:eastAsia="方正书宋_GBK" w:cs="Times New Roman"/>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项目名称</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预算资金</w:t>
            </w: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531"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709"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907" w:type="dxa"/>
            <w:vMerge w:val="continue"/>
            <w:shd w:val="clear" w:color="auto" w:fill="auto"/>
            <w:vAlign w:val="center"/>
          </w:tcPr>
          <w:p>
            <w:pPr>
              <w:spacing w:line="300" w:lineRule="exact"/>
              <w:jc w:val="left"/>
              <w:outlineLvl w:val="1"/>
              <w:rPr>
                <w:rFonts w:ascii="Times New Roman" w:hAnsi="等线" w:eastAsia="方正仿宋_GBK" w:cs="Times New Roman"/>
                <w:sz w:val="28"/>
              </w:rPr>
            </w:pP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合计</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一般公共预算拨款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基金预算拨款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财政专户核拨</w:t>
            </w:r>
          </w:p>
        </w:tc>
        <w:tc>
          <w:tcPr>
            <w:tcW w:w="113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hAnsi="等线" w:eastAsia="方正书宋_GBK" w:cs="Times New Roman"/>
                <w:b/>
              </w:rPr>
            </w:pPr>
            <w:r>
              <w:rPr>
                <w:rFonts w:ascii="方正书宋_GBK" w:hAnsi="等线" w:eastAsia="方正书宋_GBK" w:cs="Times New Roman"/>
                <w:b/>
              </w:rPr>
              <w:t>合  计</w:t>
            </w: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1531" w:type="dxa"/>
            <w:shd w:val="clear" w:color="auto" w:fill="auto"/>
            <w:vAlign w:val="center"/>
          </w:tcPr>
          <w:p>
            <w:pPr>
              <w:spacing w:line="300" w:lineRule="exact"/>
              <w:jc w:val="left"/>
              <w:rPr>
                <w:rFonts w:ascii="方正书宋_GBK" w:hAnsi="等线" w:eastAsia="方正书宋_GBK" w:cs="Times New Roman"/>
                <w:b/>
              </w:rPr>
            </w:pPr>
          </w:p>
        </w:tc>
        <w:tc>
          <w:tcPr>
            <w:tcW w:w="709" w:type="dxa"/>
            <w:shd w:val="clear" w:color="auto" w:fill="auto"/>
            <w:vAlign w:val="center"/>
          </w:tcPr>
          <w:p>
            <w:pPr>
              <w:spacing w:line="300" w:lineRule="exact"/>
              <w:jc w:val="center"/>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907"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c>
          <w:tcPr>
            <w:tcW w:w="1134" w:type="dxa"/>
            <w:shd w:val="clear" w:color="auto" w:fill="auto"/>
            <w:vAlign w:val="center"/>
          </w:tcPr>
          <w:p>
            <w:pPr>
              <w:spacing w:line="300" w:lineRule="exact"/>
              <w:jc w:val="right"/>
              <w:rPr>
                <w:rFonts w:ascii="方正书宋_GBK" w:hAnsi="等线"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531" w:type="dxa"/>
            <w:shd w:val="clear" w:color="auto" w:fill="auto"/>
            <w:vAlign w:val="center"/>
          </w:tcPr>
          <w:p>
            <w:pPr>
              <w:spacing w:line="300" w:lineRule="exact"/>
              <w:jc w:val="left"/>
              <w:rPr>
                <w:rFonts w:ascii="方正书宋_GBK" w:hAnsi="等线" w:cs="Times New Roman"/>
              </w:rPr>
            </w:pPr>
          </w:p>
        </w:tc>
        <w:tc>
          <w:tcPr>
            <w:tcW w:w="1531" w:type="dxa"/>
            <w:shd w:val="clear" w:color="auto" w:fill="auto"/>
            <w:vAlign w:val="center"/>
          </w:tcPr>
          <w:p>
            <w:pPr>
              <w:spacing w:line="300" w:lineRule="exact"/>
              <w:jc w:val="left"/>
              <w:rPr>
                <w:rFonts w:ascii="方正书宋_GBK" w:hAnsi="等线" w:eastAsia="方正书宋_GBK" w:cs="Times New Roman"/>
              </w:rPr>
            </w:pPr>
          </w:p>
        </w:tc>
        <w:tc>
          <w:tcPr>
            <w:tcW w:w="709" w:type="dxa"/>
            <w:shd w:val="clear" w:color="auto" w:fill="auto"/>
            <w:vAlign w:val="center"/>
          </w:tcPr>
          <w:p>
            <w:pPr>
              <w:spacing w:line="300" w:lineRule="exact"/>
              <w:jc w:val="center"/>
              <w:rPr>
                <w:rFonts w:ascii="方正书宋_GBK" w:hAnsi="等线"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907"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c>
          <w:tcPr>
            <w:tcW w:w="1134" w:type="dxa"/>
            <w:shd w:val="clear" w:color="auto" w:fill="auto"/>
            <w:vAlign w:val="center"/>
          </w:tcPr>
          <w:p>
            <w:pPr>
              <w:spacing w:line="300" w:lineRule="exact"/>
              <w:jc w:val="right"/>
              <w:rPr>
                <w:rFonts w:ascii="方正书宋_GBK" w:hAnsi="等线" w:eastAsia="方正书宋_GBK" w:cs="Times New Roman"/>
              </w:rPr>
            </w:pPr>
          </w:p>
        </w:tc>
      </w:tr>
    </w:tbl>
    <w:p>
      <w:pPr>
        <w:rPr>
          <w:rFonts w:ascii="等线" w:hAnsi="等线" w:eastAsia="等线" w:cs="Times New Roman"/>
        </w:rPr>
      </w:pPr>
    </w:p>
    <w:p>
      <w:pPr>
        <w:spacing w:line="360" w:lineRule="auto"/>
        <w:rPr>
          <w:rFonts w:ascii="仿宋" w:hAnsi="仿宋" w:eastAsia="仿宋"/>
          <w:sz w:val="32"/>
          <w:szCs w:val="32"/>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仿宋" w:hAnsi="仿宋" w:eastAsia="仿宋"/>
          <w:sz w:val="32"/>
          <w:szCs w:val="32"/>
        </w:rPr>
      </w:pPr>
    </w:p>
    <w:p>
      <w:pPr>
        <w:jc w:val="center"/>
        <w:outlineLvl w:val="0"/>
        <w:rPr>
          <w:rFonts w:ascii="方正小标宋_GBK" w:eastAsia="方正小标宋_GBK"/>
          <w:sz w:val="44"/>
        </w:rPr>
      </w:pPr>
      <w:r>
        <w:rPr>
          <w:rFonts w:hint="eastAsia" w:ascii="方正小标宋_GBK" w:eastAsia="方正小标宋_GBK"/>
          <w:sz w:val="44"/>
        </w:rPr>
        <w:t>第七部分：国有资产信息</w:t>
      </w:r>
    </w:p>
    <w:p>
      <w:pPr>
        <w:spacing w:line="360" w:lineRule="auto"/>
        <w:ind w:left="638" w:leftChars="304" w:firstLine="0" w:firstLineChars="0"/>
        <w:rPr>
          <w:rFonts w:ascii="仿宋" w:hAnsi="仿宋" w:eastAsia="仿宋"/>
          <w:sz w:val="32"/>
          <w:szCs w:val="32"/>
        </w:rPr>
      </w:pPr>
      <w:r>
        <w:rPr>
          <w:rFonts w:hint="eastAsia" w:ascii="仿宋" w:hAnsi="仿宋" w:eastAsia="仿宋"/>
          <w:sz w:val="32"/>
          <w:szCs w:val="32"/>
        </w:rPr>
        <w:t>上年末我</w:t>
      </w:r>
      <w:r>
        <w:rPr>
          <w:rFonts w:hint="eastAsia" w:ascii="仿宋" w:hAnsi="仿宋" w:eastAsia="仿宋"/>
          <w:sz w:val="32"/>
          <w:szCs w:val="32"/>
          <w:lang w:eastAsia="zh-CN"/>
        </w:rPr>
        <w:t>单位</w:t>
      </w:r>
      <w:r>
        <w:rPr>
          <w:rFonts w:hint="eastAsia" w:ascii="仿宋" w:hAnsi="仿宋" w:eastAsia="仿宋"/>
          <w:sz w:val="32"/>
          <w:szCs w:val="32"/>
        </w:rPr>
        <w:t>固定资产总金额为3</w:t>
      </w:r>
      <w:r>
        <w:rPr>
          <w:rFonts w:ascii="仿宋" w:hAnsi="仿宋" w:eastAsia="仿宋"/>
          <w:sz w:val="32"/>
          <w:szCs w:val="32"/>
        </w:rPr>
        <w:t>0.73</w:t>
      </w:r>
      <w:r>
        <w:rPr>
          <w:rFonts w:hint="eastAsia" w:ascii="仿宋" w:hAnsi="仿宋" w:eastAsia="仿宋"/>
          <w:sz w:val="32"/>
          <w:szCs w:val="32"/>
        </w:rPr>
        <w:t>万元（详见下表）。</w:t>
      </w:r>
      <w:r>
        <w:rPr>
          <w:rFonts w:ascii="仿宋" w:hAnsi="仿宋" w:eastAsia="仿宋"/>
          <w:sz w:val="32"/>
          <w:szCs w:val="32"/>
        </w:rPr>
        <w:t xml:space="preserve"> </w:t>
      </w: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本年度无国有资产购置计划，拟购置金额为</w:t>
      </w:r>
      <w:r>
        <w:rPr>
          <w:rFonts w:ascii="仿宋" w:hAnsi="仿宋" w:eastAsia="仿宋"/>
          <w:sz w:val="32"/>
          <w:szCs w:val="32"/>
        </w:rPr>
        <w:t>0。</w:t>
      </w:r>
    </w:p>
    <w:tbl>
      <w:tblPr>
        <w:tblStyle w:val="5"/>
        <w:tblW w:w="10084" w:type="dxa"/>
        <w:jc w:val="center"/>
        <w:tblLayout w:type="autofit"/>
        <w:tblCellMar>
          <w:top w:w="0" w:type="dxa"/>
          <w:left w:w="108" w:type="dxa"/>
          <w:bottom w:w="0" w:type="dxa"/>
          <w:right w:w="108" w:type="dxa"/>
        </w:tblCellMar>
      </w:tblPr>
      <w:tblGrid>
        <w:gridCol w:w="4788"/>
        <w:gridCol w:w="1035"/>
        <w:gridCol w:w="4261"/>
      </w:tblGrid>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nil"/>
              <w:right w:val="nil"/>
            </w:tcBorders>
            <w:shd w:val="clear" w:color="auto" w:fill="auto"/>
            <w:noWrap/>
            <w:vAlign w:val="center"/>
          </w:tcPr>
          <w:p>
            <w:pPr>
              <w:widowControl/>
              <w:jc w:val="center"/>
              <w:rPr>
                <w:rFonts w:ascii="宋体" w:hAnsi="宋体" w:cs="宋体"/>
                <w:kern w:val="0"/>
                <w:sz w:val="28"/>
                <w:szCs w:val="28"/>
              </w:rPr>
            </w:pPr>
            <w:r>
              <w:rPr>
                <w:rFonts w:hint="eastAsia" w:ascii="宋体" w:hAnsi="宋体"/>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10084" w:type="dxa"/>
            <w:gridSpan w:val="3"/>
            <w:tcBorders>
              <w:top w:val="nil"/>
              <w:left w:val="nil"/>
              <w:bottom w:val="single" w:color="auto" w:sz="4" w:space="0"/>
              <w:right w:val="nil"/>
            </w:tcBorders>
            <w:shd w:val="clear" w:color="auto" w:fill="auto"/>
            <w:noWrap/>
            <w:vAlign w:val="center"/>
          </w:tcPr>
          <w:p>
            <w:pPr>
              <w:widowControl/>
              <w:jc w:val="center"/>
              <w:rPr>
                <w:rFonts w:ascii="仿宋_GB2312" w:hAnsi="仿宋" w:eastAsia="仿宋_GB2312" w:cs="宋体"/>
                <w:kern w:val="0"/>
                <w:sz w:val="28"/>
                <w:szCs w:val="28"/>
              </w:rPr>
            </w:pPr>
            <w:r>
              <w:rPr>
                <w:rFonts w:hint="eastAsia" w:ascii="仿宋_GB2312" w:hAnsi="仿宋" w:eastAsia="仿宋_GB2312" w:cs="宋体"/>
                <w:bCs/>
                <w:kern w:val="0"/>
                <w:sz w:val="32"/>
                <w:szCs w:val="32"/>
              </w:rPr>
              <w:t xml:space="preserve">                           </w:t>
            </w:r>
            <w:r>
              <w:rPr>
                <w:rFonts w:hint="eastAsia" w:ascii="仿宋_GB2312" w:hAnsi="仿宋" w:eastAsia="仿宋_GB2312" w:cs="宋体"/>
                <w:bCs/>
                <w:kern w:val="0"/>
                <w:sz w:val="28"/>
                <w:szCs w:val="28"/>
              </w:rPr>
              <w:t>截止时间：</w:t>
            </w:r>
            <w:r>
              <w:rPr>
                <w:rFonts w:ascii="仿宋_GB2312" w:hAnsi="仿宋" w:eastAsia="仿宋_GB2312" w:cs="宋体"/>
                <w:bCs/>
                <w:color w:val="FF0000"/>
                <w:kern w:val="0"/>
                <w:sz w:val="28"/>
                <w:szCs w:val="28"/>
              </w:rPr>
              <w:t>2020</w:t>
            </w:r>
            <w:r>
              <w:rPr>
                <w:rFonts w:hint="eastAsia" w:ascii="仿宋_GB2312" w:hAnsi="仿宋" w:eastAsia="仿宋_GB2312" w:cs="宋体"/>
                <w:bCs/>
                <w:color w:val="FF0000"/>
                <w:kern w:val="0"/>
                <w:sz w:val="28"/>
                <w:szCs w:val="28"/>
              </w:rPr>
              <w:t>年12月31日</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项　　目</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数量</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价值（单位：万元）</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bCs/>
                <w:kern w:val="0"/>
                <w:sz w:val="24"/>
                <w:szCs w:val="24"/>
              </w:rPr>
            </w:pPr>
            <w:r>
              <w:rPr>
                <w:rFonts w:hint="eastAsia" w:ascii="仿宋_GB2312" w:hAnsi="仿宋" w:eastAsia="仿宋_GB2312" w:cs="宋体"/>
                <w:b/>
                <w:bCs/>
                <w:kern w:val="0"/>
                <w:sz w:val="24"/>
                <w:szCs w:val="24"/>
              </w:rPr>
              <w:t>固定资产总额</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w:t>
            </w: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b/>
                <w:kern w:val="0"/>
                <w:sz w:val="24"/>
                <w:szCs w:val="24"/>
              </w:rPr>
            </w:pPr>
            <w:r>
              <w:rPr>
                <w:rFonts w:hint="eastAsia" w:ascii="仿宋_GB2312" w:hAnsi="仿宋" w:eastAsia="仿宋_GB2312" w:cs="宋体"/>
                <w:b/>
                <w:kern w:val="0"/>
                <w:sz w:val="24"/>
                <w:szCs w:val="24"/>
              </w:rPr>
              <w:t>30.73</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1、房屋（平方米）</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其中：办公用房（平方米）</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2、车辆（台、辆）</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15.</w:t>
            </w:r>
            <w:r>
              <w:rPr>
                <w:rFonts w:ascii="仿宋_GB2312" w:hAnsi="仿宋" w:eastAsia="仿宋_GB2312" w:cs="宋体"/>
                <w:kern w:val="0"/>
                <w:sz w:val="24"/>
                <w:szCs w:val="24"/>
              </w:rPr>
              <w:t>9</w:t>
            </w:r>
          </w:p>
        </w:tc>
      </w:tr>
      <w:tr>
        <w:tblPrEx>
          <w:tblCellMar>
            <w:top w:w="0" w:type="dxa"/>
            <w:left w:w="108" w:type="dxa"/>
            <w:bottom w:w="0" w:type="dxa"/>
            <w:right w:w="108" w:type="dxa"/>
          </w:tblCellMar>
        </w:tblPrEx>
        <w:trPr>
          <w:trHeight w:val="510" w:hRule="atLeast"/>
          <w:jc w:val="center"/>
        </w:trPr>
        <w:tc>
          <w:tcPr>
            <w:tcW w:w="478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3、单价在50万元以上的设备(台、套)</w:t>
            </w:r>
          </w:p>
        </w:tc>
        <w:tc>
          <w:tcPr>
            <w:tcW w:w="103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其中：单价50万元（含）以上的通用设备</w:t>
            </w:r>
          </w:p>
        </w:tc>
        <w:tc>
          <w:tcPr>
            <w:tcW w:w="103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单价100万元（含）以上的专用设备</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仿宋" w:eastAsia="仿宋_GB2312" w:cs="宋体"/>
                <w:kern w:val="0"/>
                <w:sz w:val="24"/>
                <w:szCs w:val="24"/>
              </w:rPr>
            </w:pPr>
          </w:p>
        </w:tc>
      </w:tr>
      <w:tr>
        <w:tblPrEx>
          <w:tblCellMar>
            <w:top w:w="0" w:type="dxa"/>
            <w:left w:w="108" w:type="dxa"/>
            <w:bottom w:w="0" w:type="dxa"/>
            <w:right w:w="108" w:type="dxa"/>
          </w:tblCellMar>
        </w:tblPrEx>
        <w:trPr>
          <w:trHeight w:val="510" w:hRule="atLeast"/>
          <w:jc w:val="center"/>
        </w:trPr>
        <w:tc>
          <w:tcPr>
            <w:tcW w:w="478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仿宋_GB2312" w:hAnsi="仿宋" w:eastAsia="仿宋_GB2312" w:cs="宋体"/>
                <w:kern w:val="0"/>
                <w:sz w:val="24"/>
                <w:szCs w:val="24"/>
              </w:rPr>
            </w:pPr>
            <w:r>
              <w:rPr>
                <w:rFonts w:hint="eastAsia" w:ascii="仿宋_GB2312" w:hAnsi="仿宋" w:eastAsia="仿宋_GB2312" w:cs="宋体"/>
                <w:kern w:val="0"/>
                <w:sz w:val="24"/>
                <w:szCs w:val="24"/>
              </w:rPr>
              <w:t xml:space="preserve">  4、其他固定资产</w:t>
            </w:r>
          </w:p>
        </w:tc>
        <w:tc>
          <w:tcPr>
            <w:tcW w:w="1035"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p>
        </w:tc>
        <w:tc>
          <w:tcPr>
            <w:tcW w:w="4261"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仿宋" w:eastAsia="仿宋_GB2312" w:cs="宋体"/>
                <w:kern w:val="0"/>
                <w:sz w:val="24"/>
                <w:szCs w:val="24"/>
              </w:rPr>
            </w:pPr>
            <w:r>
              <w:rPr>
                <w:rFonts w:hint="eastAsia" w:ascii="仿宋_GB2312" w:hAnsi="仿宋" w:eastAsia="仿宋_GB2312" w:cs="宋体"/>
                <w:kern w:val="0"/>
                <w:sz w:val="24"/>
                <w:szCs w:val="24"/>
              </w:rPr>
              <w:t>14.83</w:t>
            </w:r>
          </w:p>
        </w:tc>
      </w:tr>
    </w:tbl>
    <w:p>
      <w:pPr>
        <w:spacing w:line="360" w:lineRule="auto"/>
        <w:rPr>
          <w:rFonts w:ascii="黑体" w:hAnsi="黑体" w:eastAsia="黑体" w:cs="Times New Roman"/>
          <w:sz w:val="32"/>
          <w:szCs w:val="32"/>
        </w:rPr>
      </w:pPr>
    </w:p>
    <w:p>
      <w:pPr>
        <w:jc w:val="center"/>
        <w:outlineLvl w:val="0"/>
        <w:rPr>
          <w:rFonts w:ascii="方正小标宋_GBK" w:eastAsia="方正小标宋_GBK"/>
          <w:sz w:val="44"/>
        </w:rPr>
      </w:pPr>
    </w:p>
    <w:p>
      <w:pPr>
        <w:jc w:val="center"/>
        <w:outlineLvl w:val="0"/>
        <w:rPr>
          <w:rFonts w:ascii="方正小标宋_GBK" w:eastAsia="方正小标宋_GBK"/>
          <w:sz w:val="44"/>
        </w:rPr>
      </w:pPr>
    </w:p>
    <w:p>
      <w:pPr>
        <w:jc w:val="center"/>
        <w:outlineLvl w:val="0"/>
        <w:rPr>
          <w:rFonts w:ascii="方正小标宋_GBK" w:eastAsia="方正小标宋_GBK"/>
          <w:sz w:val="44"/>
        </w:rPr>
      </w:pPr>
      <w:r>
        <w:rPr>
          <w:rFonts w:hint="eastAsia" w:ascii="方正小标宋_GBK" w:eastAsia="方正小标宋_GBK"/>
          <w:sz w:val="44"/>
        </w:rPr>
        <w:t>第八部分：名词解释</w:t>
      </w:r>
    </w:p>
    <w:p>
      <w:pPr>
        <w:spacing w:line="360" w:lineRule="auto"/>
        <w:ind w:firstLine="640" w:firstLineChars="200"/>
        <w:rPr>
          <w:rFonts w:ascii="仿宋" w:hAnsi="仿宋" w:eastAsia="仿宋"/>
          <w:sz w:val="32"/>
          <w:szCs w:val="32"/>
        </w:rPr>
      </w:pPr>
      <w:r>
        <w:rPr>
          <w:rFonts w:ascii="仿宋" w:hAnsi="仿宋" w:eastAsia="仿宋"/>
          <w:sz w:val="32"/>
          <w:szCs w:val="32"/>
        </w:rPr>
        <w:t>1、一般公共预算财政拨款收入：指区级财政当年拨付的资金。</w:t>
      </w:r>
    </w:p>
    <w:p>
      <w:pPr>
        <w:spacing w:line="360" w:lineRule="auto"/>
        <w:ind w:firstLine="640" w:firstLineChars="200"/>
        <w:rPr>
          <w:rFonts w:ascii="仿宋" w:hAnsi="仿宋" w:eastAsia="仿宋"/>
          <w:sz w:val="32"/>
          <w:szCs w:val="32"/>
        </w:rPr>
      </w:pPr>
      <w:r>
        <w:rPr>
          <w:rFonts w:ascii="仿宋" w:hAnsi="仿宋" w:eastAsia="仿宋"/>
          <w:sz w:val="32"/>
          <w:szCs w:val="32"/>
        </w:rPr>
        <w:t>2、其他收入：指除上述“财政拨款收入”、“事业收入”等以外的收入。</w:t>
      </w:r>
    </w:p>
    <w:p>
      <w:pPr>
        <w:spacing w:line="360" w:lineRule="auto"/>
        <w:ind w:firstLine="640" w:firstLineChars="200"/>
        <w:rPr>
          <w:rFonts w:ascii="仿宋" w:hAnsi="仿宋" w:eastAsia="仿宋"/>
          <w:sz w:val="32"/>
          <w:szCs w:val="32"/>
        </w:rPr>
      </w:pPr>
      <w:r>
        <w:rPr>
          <w:rFonts w:ascii="仿宋" w:hAnsi="仿宋" w:eastAsia="仿宋"/>
          <w:sz w:val="32"/>
          <w:szCs w:val="32"/>
        </w:rPr>
        <w:t>3、基本支出：指为保障机构正常运转、完成日常工作任务而发生的人员支出和公用支出。</w:t>
      </w:r>
    </w:p>
    <w:p>
      <w:pPr>
        <w:spacing w:line="360" w:lineRule="auto"/>
        <w:ind w:firstLine="640" w:firstLineChars="200"/>
        <w:rPr>
          <w:rFonts w:ascii="仿宋" w:hAnsi="仿宋" w:eastAsia="仿宋"/>
          <w:sz w:val="32"/>
          <w:szCs w:val="32"/>
        </w:rPr>
      </w:pPr>
      <w:r>
        <w:rPr>
          <w:rFonts w:ascii="仿宋" w:hAnsi="仿宋" w:eastAsia="仿宋"/>
          <w:sz w:val="32"/>
          <w:szCs w:val="32"/>
        </w:rPr>
        <w:t>4、项目支出：指在基本支出之外为完成特定行政任务和事业发展目标所发生的支出。</w:t>
      </w:r>
    </w:p>
    <w:p>
      <w:pPr>
        <w:spacing w:line="360" w:lineRule="auto"/>
        <w:ind w:firstLine="640" w:firstLineChars="200"/>
        <w:rPr>
          <w:rFonts w:ascii="仿宋" w:hAnsi="仿宋" w:eastAsia="仿宋"/>
          <w:sz w:val="32"/>
          <w:szCs w:val="32"/>
        </w:rPr>
      </w:pPr>
      <w:r>
        <w:rPr>
          <w:rFonts w:ascii="仿宋" w:hAnsi="仿宋" w:eastAsia="仿宋"/>
          <w:sz w:val="32"/>
          <w:szCs w:val="32"/>
        </w:rPr>
        <w:t>5、“三公”经费：纳入区级财政预算管理的“三公”经费，是指区级</w:t>
      </w:r>
      <w:r>
        <w:rPr>
          <w:rFonts w:hint="eastAsia" w:ascii="仿宋" w:hAnsi="仿宋" w:eastAsia="仿宋"/>
          <w:sz w:val="32"/>
          <w:szCs w:val="32"/>
          <w:lang w:eastAsia="zh-CN"/>
        </w:rPr>
        <w:t>单位</w:t>
      </w:r>
      <w:r>
        <w:rPr>
          <w:rFonts w:ascii="仿宋" w:hAnsi="仿宋" w:eastAsia="仿宋"/>
          <w:sz w:val="32"/>
          <w:szCs w:val="32"/>
        </w:rPr>
        <w:t>用财政拨款安排的因公出国（境）费、公务用车购置及运行费和公务接待费。其中，因公出国（境）费反映</w:t>
      </w:r>
      <w:r>
        <w:rPr>
          <w:rFonts w:hint="eastAsia" w:ascii="仿宋" w:hAnsi="仿宋" w:eastAsia="仿宋"/>
          <w:sz w:val="32"/>
          <w:szCs w:val="32"/>
          <w:lang w:eastAsia="zh-CN"/>
        </w:rPr>
        <w:t>单位</w:t>
      </w:r>
      <w:r>
        <w:rPr>
          <w:rFonts w:ascii="仿宋" w:hAnsi="仿宋" w:eastAsia="仿宋"/>
          <w:sz w:val="32"/>
          <w:szCs w:val="32"/>
        </w:rPr>
        <w:t>公务出国（境）的住宿费、旅费、伙食补助费、杂费、培训费等支出；公务用车购置及运行费反映</w:t>
      </w:r>
      <w:r>
        <w:rPr>
          <w:rFonts w:hint="eastAsia" w:ascii="仿宋" w:hAnsi="仿宋" w:eastAsia="仿宋"/>
          <w:sz w:val="32"/>
          <w:szCs w:val="32"/>
          <w:lang w:eastAsia="zh-CN"/>
        </w:rPr>
        <w:t>单位</w:t>
      </w:r>
      <w:r>
        <w:rPr>
          <w:rFonts w:ascii="仿宋" w:hAnsi="仿宋" w:eastAsia="仿宋"/>
          <w:sz w:val="32"/>
          <w:szCs w:val="32"/>
        </w:rPr>
        <w:t>公务用车购置费及租用费、燃料费、维修费、过路过桥费、保险费、安全奖励费用等支出；公务接待费反映</w:t>
      </w:r>
      <w:r>
        <w:rPr>
          <w:rFonts w:hint="eastAsia" w:ascii="仿宋" w:hAnsi="仿宋" w:eastAsia="仿宋"/>
          <w:sz w:val="32"/>
          <w:szCs w:val="32"/>
          <w:lang w:eastAsia="zh-CN"/>
        </w:rPr>
        <w:t>单位</w:t>
      </w:r>
      <w:r>
        <w:rPr>
          <w:rFonts w:ascii="仿宋" w:hAnsi="仿宋" w:eastAsia="仿宋"/>
          <w:sz w:val="32"/>
          <w:szCs w:val="32"/>
        </w:rPr>
        <w:t>按规定开支的各类公务接待（含外宾接待）支出。</w:t>
      </w:r>
    </w:p>
    <w:p>
      <w:pPr>
        <w:spacing w:line="360" w:lineRule="auto"/>
        <w:ind w:firstLine="640" w:firstLineChars="200"/>
        <w:rPr>
          <w:rFonts w:ascii="仿宋" w:hAnsi="仿宋" w:eastAsia="仿宋"/>
          <w:sz w:val="32"/>
          <w:szCs w:val="32"/>
        </w:rPr>
      </w:pPr>
      <w:r>
        <w:rPr>
          <w:rFonts w:ascii="仿宋" w:hAnsi="仿宋" w:eastAsia="仿宋"/>
          <w:sz w:val="32"/>
          <w:szCs w:val="32"/>
        </w:rPr>
        <w:t>6、机关运行费：为保障行政</w:t>
      </w:r>
      <w:r>
        <w:rPr>
          <w:rFonts w:hint="eastAsia" w:ascii="仿宋" w:hAnsi="仿宋" w:eastAsia="仿宋"/>
          <w:sz w:val="32"/>
          <w:szCs w:val="32"/>
          <w:lang w:eastAsia="zh-CN"/>
        </w:rPr>
        <w:t>单位</w:t>
      </w:r>
      <w:r>
        <w:rPr>
          <w:rFonts w:ascii="仿宋" w:hAnsi="仿宋" w:eastAsia="仿宋"/>
          <w:sz w:val="32"/>
          <w:szCs w:val="32"/>
        </w:rPr>
        <w:t>（含参照公务员法管理的事业</w:t>
      </w:r>
      <w:r>
        <w:rPr>
          <w:rFonts w:hint="eastAsia" w:ascii="仿宋" w:hAnsi="仿宋" w:eastAsia="仿宋"/>
          <w:sz w:val="32"/>
          <w:szCs w:val="32"/>
          <w:lang w:eastAsia="zh-CN"/>
        </w:rPr>
        <w:t>单位</w:t>
      </w:r>
      <w:r>
        <w:rPr>
          <w:rFonts w:ascii="仿宋" w:hAnsi="仿宋" w:eastAsia="仿宋"/>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360" w:lineRule="auto"/>
        <w:jc w:val="center"/>
        <w:rPr>
          <w:rFonts w:ascii="黑体" w:hAnsi="黑体" w:eastAsia="黑体" w:cs="Times New Roman"/>
          <w:sz w:val="32"/>
          <w:szCs w:val="32"/>
        </w:rPr>
      </w:pPr>
    </w:p>
    <w:p>
      <w:pPr>
        <w:jc w:val="center"/>
        <w:outlineLvl w:val="0"/>
        <w:rPr>
          <w:rFonts w:ascii="方正小标宋_GBK" w:eastAsia="方正小标宋_GBK"/>
          <w:sz w:val="44"/>
        </w:rPr>
      </w:pPr>
      <w:r>
        <w:rPr>
          <w:rFonts w:hint="eastAsia" w:ascii="方正小标宋_GBK" w:eastAsia="方正小标宋_GBK"/>
          <w:sz w:val="44"/>
        </w:rPr>
        <w:t>第九部分：其他需说明的事项</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eastAsia="zh-CN"/>
        </w:rPr>
        <w:t>单位</w:t>
      </w:r>
      <w:r>
        <w:rPr>
          <w:rFonts w:hint="eastAsia" w:ascii="仿宋" w:hAnsi="仿宋" w:eastAsia="仿宋"/>
          <w:sz w:val="32"/>
          <w:szCs w:val="32"/>
        </w:rPr>
        <w:t>无其他需说明的事项。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172596"/>
      <w:docPartObj>
        <w:docPartGallery w:val="autotext"/>
      </w:docPartObj>
    </w:sdtPr>
    <w:sdtContent>
      <w:p>
        <w:pPr>
          <w:pStyle w:val="3"/>
          <w:jc w:val="center"/>
        </w:pPr>
        <w:r>
          <w:fldChar w:fldCharType="begin"/>
        </w:r>
        <w:r>
          <w:instrText xml:space="preserve">PAGE   \* MERGEFORMAT</w:instrText>
        </w:r>
        <w:r>
          <w:fldChar w:fldCharType="separate"/>
        </w:r>
        <w:r>
          <w:rPr>
            <w:lang w:val="zh-CN"/>
          </w:rPr>
          <w:t>14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RkZGI3ZjhmMWVmM2U0NGJhNWVlZmQ2MDBlMjlhZGIifQ=="/>
  </w:docVars>
  <w:rsids>
    <w:rsidRoot w:val="00055F1F"/>
    <w:rsid w:val="00013B8A"/>
    <w:rsid w:val="00044FBC"/>
    <w:rsid w:val="00055F1F"/>
    <w:rsid w:val="000577EF"/>
    <w:rsid w:val="00057F18"/>
    <w:rsid w:val="000A445D"/>
    <w:rsid w:val="000C178B"/>
    <w:rsid w:val="00131DEC"/>
    <w:rsid w:val="00136AB3"/>
    <w:rsid w:val="001462BD"/>
    <w:rsid w:val="00152380"/>
    <w:rsid w:val="001638BE"/>
    <w:rsid w:val="00164810"/>
    <w:rsid w:val="00172C7A"/>
    <w:rsid w:val="00176D0E"/>
    <w:rsid w:val="00181777"/>
    <w:rsid w:val="001B4688"/>
    <w:rsid w:val="001B6235"/>
    <w:rsid w:val="001F4875"/>
    <w:rsid w:val="00212335"/>
    <w:rsid w:val="002918C6"/>
    <w:rsid w:val="00291EF3"/>
    <w:rsid w:val="00296524"/>
    <w:rsid w:val="002E01F6"/>
    <w:rsid w:val="002F1ACB"/>
    <w:rsid w:val="002F530F"/>
    <w:rsid w:val="00305E97"/>
    <w:rsid w:val="00310532"/>
    <w:rsid w:val="0032782B"/>
    <w:rsid w:val="00340B3D"/>
    <w:rsid w:val="0034253A"/>
    <w:rsid w:val="003669CF"/>
    <w:rsid w:val="00367A30"/>
    <w:rsid w:val="003A06D2"/>
    <w:rsid w:val="003A4557"/>
    <w:rsid w:val="003A6366"/>
    <w:rsid w:val="003C2317"/>
    <w:rsid w:val="003C442E"/>
    <w:rsid w:val="003D1092"/>
    <w:rsid w:val="003D37CD"/>
    <w:rsid w:val="003E5531"/>
    <w:rsid w:val="003E555C"/>
    <w:rsid w:val="003E6AF3"/>
    <w:rsid w:val="0040243C"/>
    <w:rsid w:val="00406BD1"/>
    <w:rsid w:val="00426C19"/>
    <w:rsid w:val="00450FD9"/>
    <w:rsid w:val="00453CE0"/>
    <w:rsid w:val="00467CF7"/>
    <w:rsid w:val="00470736"/>
    <w:rsid w:val="00470BBB"/>
    <w:rsid w:val="0048611E"/>
    <w:rsid w:val="004876E5"/>
    <w:rsid w:val="004B6929"/>
    <w:rsid w:val="004E2F43"/>
    <w:rsid w:val="004E3572"/>
    <w:rsid w:val="004F3C52"/>
    <w:rsid w:val="00510A1E"/>
    <w:rsid w:val="005158E2"/>
    <w:rsid w:val="00524204"/>
    <w:rsid w:val="0053771A"/>
    <w:rsid w:val="00550049"/>
    <w:rsid w:val="00553F7E"/>
    <w:rsid w:val="00570142"/>
    <w:rsid w:val="00586C35"/>
    <w:rsid w:val="005B1B6F"/>
    <w:rsid w:val="005B6CCB"/>
    <w:rsid w:val="005C54AA"/>
    <w:rsid w:val="005C7B89"/>
    <w:rsid w:val="005E0AB2"/>
    <w:rsid w:val="00611A41"/>
    <w:rsid w:val="0062788A"/>
    <w:rsid w:val="00641F8A"/>
    <w:rsid w:val="0066383B"/>
    <w:rsid w:val="006A0E98"/>
    <w:rsid w:val="006A6FA2"/>
    <w:rsid w:val="006B5117"/>
    <w:rsid w:val="006C62DF"/>
    <w:rsid w:val="006F5104"/>
    <w:rsid w:val="006F6549"/>
    <w:rsid w:val="00735B02"/>
    <w:rsid w:val="007657C8"/>
    <w:rsid w:val="00767A77"/>
    <w:rsid w:val="00771E49"/>
    <w:rsid w:val="00782208"/>
    <w:rsid w:val="00791938"/>
    <w:rsid w:val="007A5999"/>
    <w:rsid w:val="007C7FD7"/>
    <w:rsid w:val="007F3746"/>
    <w:rsid w:val="00833132"/>
    <w:rsid w:val="00845C67"/>
    <w:rsid w:val="0086454E"/>
    <w:rsid w:val="008672EA"/>
    <w:rsid w:val="00883067"/>
    <w:rsid w:val="00891680"/>
    <w:rsid w:val="008A0099"/>
    <w:rsid w:val="008A0B5F"/>
    <w:rsid w:val="008B5402"/>
    <w:rsid w:val="008B5BDF"/>
    <w:rsid w:val="008D11BC"/>
    <w:rsid w:val="0090527E"/>
    <w:rsid w:val="00905BB7"/>
    <w:rsid w:val="0090620C"/>
    <w:rsid w:val="00912DA4"/>
    <w:rsid w:val="009302B8"/>
    <w:rsid w:val="009305C6"/>
    <w:rsid w:val="00953868"/>
    <w:rsid w:val="009752AE"/>
    <w:rsid w:val="00982F3D"/>
    <w:rsid w:val="00983232"/>
    <w:rsid w:val="009A278A"/>
    <w:rsid w:val="009B6368"/>
    <w:rsid w:val="009F63C4"/>
    <w:rsid w:val="00A16957"/>
    <w:rsid w:val="00A6155C"/>
    <w:rsid w:val="00A74ABE"/>
    <w:rsid w:val="00A8079E"/>
    <w:rsid w:val="00A90328"/>
    <w:rsid w:val="00A92D66"/>
    <w:rsid w:val="00AA4262"/>
    <w:rsid w:val="00AB5A90"/>
    <w:rsid w:val="00AB7449"/>
    <w:rsid w:val="00AE4AA5"/>
    <w:rsid w:val="00AE7FA9"/>
    <w:rsid w:val="00B147EB"/>
    <w:rsid w:val="00B22155"/>
    <w:rsid w:val="00B76AA9"/>
    <w:rsid w:val="00B80FAB"/>
    <w:rsid w:val="00B81C88"/>
    <w:rsid w:val="00BA5C83"/>
    <w:rsid w:val="00BC6A7D"/>
    <w:rsid w:val="00BD4829"/>
    <w:rsid w:val="00BD6002"/>
    <w:rsid w:val="00BD719F"/>
    <w:rsid w:val="00BF5442"/>
    <w:rsid w:val="00C068CF"/>
    <w:rsid w:val="00C177A5"/>
    <w:rsid w:val="00C35FEE"/>
    <w:rsid w:val="00C50535"/>
    <w:rsid w:val="00C6153C"/>
    <w:rsid w:val="00C906EF"/>
    <w:rsid w:val="00CC7D74"/>
    <w:rsid w:val="00D02F97"/>
    <w:rsid w:val="00D45530"/>
    <w:rsid w:val="00D45A0E"/>
    <w:rsid w:val="00D45D23"/>
    <w:rsid w:val="00D723D1"/>
    <w:rsid w:val="00D80C60"/>
    <w:rsid w:val="00D8525F"/>
    <w:rsid w:val="00DA0C4D"/>
    <w:rsid w:val="00DA590A"/>
    <w:rsid w:val="00DA5DA7"/>
    <w:rsid w:val="00DE3935"/>
    <w:rsid w:val="00DE6B32"/>
    <w:rsid w:val="00DF26B8"/>
    <w:rsid w:val="00E12C68"/>
    <w:rsid w:val="00E2325B"/>
    <w:rsid w:val="00E24075"/>
    <w:rsid w:val="00E270C9"/>
    <w:rsid w:val="00E35F38"/>
    <w:rsid w:val="00E46F27"/>
    <w:rsid w:val="00E509CC"/>
    <w:rsid w:val="00E56DC0"/>
    <w:rsid w:val="00E71A04"/>
    <w:rsid w:val="00E90DA6"/>
    <w:rsid w:val="00E96342"/>
    <w:rsid w:val="00EA2FEA"/>
    <w:rsid w:val="00EA56CB"/>
    <w:rsid w:val="00EA7853"/>
    <w:rsid w:val="00EF0052"/>
    <w:rsid w:val="00F000B1"/>
    <w:rsid w:val="00F012D3"/>
    <w:rsid w:val="00F044C3"/>
    <w:rsid w:val="00F10D04"/>
    <w:rsid w:val="00F169E3"/>
    <w:rsid w:val="00F35D4B"/>
    <w:rsid w:val="00F3648C"/>
    <w:rsid w:val="00F3746B"/>
    <w:rsid w:val="00F572CB"/>
    <w:rsid w:val="00F621AF"/>
    <w:rsid w:val="00F8024E"/>
    <w:rsid w:val="00F82447"/>
    <w:rsid w:val="00F868E5"/>
    <w:rsid w:val="00FB2F32"/>
    <w:rsid w:val="00FC3191"/>
    <w:rsid w:val="00FE0F1F"/>
    <w:rsid w:val="00FF61F3"/>
    <w:rsid w:val="2DB47421"/>
    <w:rsid w:val="2E6E061E"/>
    <w:rsid w:val="3B667B8C"/>
    <w:rsid w:val="45AD37C5"/>
    <w:rsid w:val="4CCA5543"/>
    <w:rsid w:val="63AF690B"/>
    <w:rsid w:val="7769516A"/>
    <w:rsid w:val="780B0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5AA-A9AE-422D-A7DC-4E6F522CC2B9}">
  <ds:schemaRefs/>
</ds:datastoreItem>
</file>

<file path=docProps/app.xml><?xml version="1.0" encoding="utf-8"?>
<Properties xmlns="http://schemas.openxmlformats.org/officeDocument/2006/extended-properties" xmlns:vt="http://schemas.openxmlformats.org/officeDocument/2006/docPropsVTypes">
  <Template>Normal</Template>
  <Pages>14</Pages>
  <Words>5131</Words>
  <Characters>5628</Characters>
  <Lines>47</Lines>
  <Paragraphs>13</Paragraphs>
  <TotalTime>704</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2019-02-15T06:58:00Z</dcterms:created>
  <dc:creator>Windows 用户</dc:creator>
  <cp:lastModifiedBy>Administrator</cp:lastModifiedBy>
  <cp:lastPrinted>2021-04-14T02:06:00Z</cp:lastPrinted>
  <dcterms:modified xsi:type="dcterms:W3CDTF">2024-06-05T03:21:16Z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91DF3398E73F42558F1DA403874682C5</vt:lpwstr>
  </property>
</Properties>
</file>