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保定市徐水区行政审批局</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rPr>
        <w:t>单位本级</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单位本级</w:t>
      </w:r>
      <w:r>
        <w:rPr>
          <w:rFonts w:ascii="方正小标宋_GBK" w:eastAsia="方正小标宋_GBK"/>
          <w:sz w:val="44"/>
        </w:rPr>
        <w:t>职责及机构设置情况</w:t>
      </w:r>
    </w:p>
    <w:p>
      <w:pPr>
        <w:pStyle w:val="10"/>
        <w:numPr>
          <w:ilvl w:val="0"/>
          <w:numId w:val="1"/>
        </w:numPr>
        <w:spacing w:line="360" w:lineRule="auto"/>
        <w:ind w:firstLineChars="0"/>
        <w:rPr>
          <w:rFonts w:ascii="仿宋" w:hAnsi="仿宋" w:eastAsia="仿宋"/>
          <w:b/>
          <w:sz w:val="32"/>
          <w:szCs w:val="32"/>
        </w:rPr>
      </w:pPr>
      <w:r>
        <w:rPr>
          <w:rFonts w:hint="eastAsia" w:ascii="仿宋" w:hAnsi="仿宋" w:eastAsia="仿宋"/>
          <w:b/>
          <w:sz w:val="32"/>
          <w:szCs w:val="32"/>
        </w:rPr>
        <w:t>单位</w:t>
      </w:r>
      <w:r>
        <w:rPr>
          <w:rFonts w:ascii="仿宋" w:hAnsi="仿宋" w:eastAsia="仿宋"/>
          <w:b/>
          <w:sz w:val="32"/>
          <w:szCs w:val="32"/>
        </w:rPr>
        <w:t>本级</w:t>
      </w:r>
      <w:r>
        <w:rPr>
          <w:rFonts w:hint="eastAsia" w:ascii="仿宋" w:hAnsi="仿宋" w:eastAsia="仿宋"/>
          <w:b/>
          <w:sz w:val="32"/>
          <w:szCs w:val="32"/>
        </w:rPr>
        <w:t>职责</w:t>
      </w:r>
    </w:p>
    <w:p>
      <w:pPr>
        <w:pStyle w:val="11"/>
        <w:ind w:left="735" w:leftChars="350" w:firstLine="420" w:firstLineChars="150"/>
      </w:pPr>
      <w:r>
        <w:t>根据《保定市徐水区行政审批局职能配置、内设机构和人员编制规定》（徐办字[2019]23号）规定，保定市徐水区行政审批局主要职责是：</w:t>
      </w:r>
    </w:p>
    <w:p>
      <w:pPr>
        <w:pStyle w:val="11"/>
        <w:ind w:left="735" w:leftChars="350" w:firstLine="420" w:firstLineChars="150"/>
      </w:pPr>
      <w:r>
        <w:t>（一）依据《保定市徐水区行政许可事项目录》，将区发展和改革局、区财政局、区教育和体育局、民政局、区住房和城乡建设局、区城市管理综合行政执法局、区司法局、区人力资源和社会保障局、区交通运输局、区水利局、区农业农村局、市自然资源和规划局徐水区分局、区卫生健康局、区市场监督管理局、区文化广电和旅游局、区工业和信息化局等部门承担的行政审批事项划入区行政审批局。由行政审批局依法履行相关行政许可职责，集中行使行政审批权，并根据实际情况做出调整。对划入的行政事项进行流程再造、环节优化。</w:t>
      </w:r>
    </w:p>
    <w:p>
      <w:pPr>
        <w:pStyle w:val="11"/>
        <w:ind w:left="840" w:leftChars="400" w:firstLine="420" w:firstLineChars="150"/>
        <w:jc w:val="both"/>
      </w:pPr>
      <w:r>
        <w:t>（二）贯彻执行国家、省、市“放管服”改革、行政审批制度改革、政务服务管理、公共资源交易、社会信用体系建设有关方针政策和法律法规。起草有关政府规章，制定有关政策，协调指导并监督实施。</w:t>
      </w:r>
    </w:p>
    <w:p>
      <w:pPr>
        <w:pStyle w:val="11"/>
        <w:ind w:left="945" w:leftChars="450" w:firstLine="0"/>
      </w:pPr>
      <w:r>
        <w:t>（三）组织协调全区“放管服”改革工作，指导、督促贯彻落实国家、省、市关于“放管服”改革重要领域、关键环节重大政策措施，承担区推进政府职能转变和“放管服”改革协调小组的日常工作。</w:t>
      </w:r>
    </w:p>
    <w:p>
      <w:pPr>
        <w:pStyle w:val="11"/>
        <w:ind w:left="2083" w:firstLine="0"/>
      </w:pPr>
      <w:r>
        <w:t>（四）负责投资项目、企业注册、市场服务、公共事务、文教卫体、社会事务、住建交通、城市管理、农林</w:t>
      </w:r>
      <w:r>
        <w:rPr>
          <w:rFonts w:hint="eastAsia"/>
          <w:lang w:eastAsia="zh-CN"/>
        </w:rPr>
        <w:t>蓄</w:t>
      </w:r>
      <w:bookmarkStart w:id="1" w:name="_GoBack"/>
      <w:bookmarkEnd w:id="1"/>
      <w:r>
        <w:t>水、经贸商务等方面行政审批事项的办理及相关行政性收费，并承担相应的法律责任。</w:t>
      </w:r>
    </w:p>
    <w:p>
      <w:pPr>
        <w:pStyle w:val="11"/>
        <w:ind w:left="2083" w:firstLine="0"/>
      </w:pPr>
      <w:r>
        <w:t>（五）指导协调全区行政审批制度改革工作。建立健全全区乡（镇）、村两级审批服务事项管理卫星通信。建立、监督、指导镇（乡）、村便民服务站点相关工作；协调推进行政审批标准化建设；承担区行政审批制度改革领导小组的日常工作。</w:t>
      </w:r>
    </w:p>
    <w:p>
      <w:pPr>
        <w:pStyle w:val="11"/>
        <w:ind w:left="2083" w:firstLine="0"/>
      </w:pPr>
      <w:r>
        <w:t>（六）指导协调全区政务服务管理工作。负责优化政务服务供给，降低制度性交易成本，提升政务服务效能；负责推进审批服务便民化；负责探索建立审批与监管的有效衔接机制；指导协调区有关部门为民、法人或者其他组织提供规范、高效、优质的政务服务。</w:t>
      </w:r>
    </w:p>
    <w:p>
      <w:pPr>
        <w:pStyle w:val="11"/>
        <w:ind w:left="2083" w:firstLine="0"/>
      </w:pPr>
      <w:r>
        <w:t>（七）负责职责范围内区本级行政许可事项和相关行政服务事项的办理及相关行政事业性收费；负责协调和监督管理区本级暂未划转行政审批服务事项和公共服务事项的集中统一办理；推进重点项目审批服务的综合协调和督办；组织相关</w:t>
      </w:r>
      <w:r>
        <w:rPr>
          <w:rFonts w:hint="eastAsia"/>
          <w:lang w:eastAsia="zh-CN"/>
        </w:rPr>
        <w:t>部门</w:t>
      </w:r>
      <w:r>
        <w:t>开展审批服务事项的联合办理和联合会办；研究推进并联审理服务工作。</w:t>
      </w:r>
    </w:p>
    <w:p>
      <w:pPr>
        <w:pStyle w:val="11"/>
        <w:ind w:left="2083" w:firstLine="0"/>
      </w:pPr>
      <w:r>
        <w:t>（八）负责依法组织和实施对全区国家机关、事业单位和社会团体委托的货物、工程、服务等项目的政府采购工作。协调指导全区公共资源交易工作。负责拟订全区公共资源交易目录；负责推进公共资源交易电子服务系统建设；负责推进全区公共资源交易领域信用体系建设；指导全区并监督区本级公共资源交易项目场内交易活动的监督工作，将违法违规问题移送有关部门处理；协调开展区本级公共资源交易活动的联运执法。</w:t>
      </w:r>
    </w:p>
    <w:p>
      <w:pPr>
        <w:pStyle w:val="11"/>
        <w:ind w:left="1785" w:leftChars="850" w:firstLine="280" w:firstLineChars="100"/>
      </w:pPr>
      <w:r>
        <w:t>（九）统筹推进全区“互联网+政务服务”工作，构建全区一体化政务服务平台。推进政务服务事项网上办理，形成管理机构、实体大厅、网上平台“三位一体”的政务管理模式；推进全区电子证照库建设；推进全区政务服务平台规范化、标准化、集约化建设和互联互通、数据共享。</w:t>
      </w:r>
    </w:p>
    <w:p>
      <w:pPr>
        <w:pStyle w:val="11"/>
        <w:ind w:left="2083" w:firstLine="0"/>
      </w:pPr>
      <w:r>
        <w:t>（十）建立健全全区政务服务、行政审批服务效能可量化的考核评价制度；负责进驻公共服务、便民服务、中介服务的规范和管理；负责对进进驻部门进行综合考评；负责对行政审批窗口工作人员的日常管理和绩效考核；负责全区政务服务、公共资源交易投诉举报的承办、转办和督办工作。</w:t>
      </w:r>
    </w:p>
    <w:p>
      <w:pPr>
        <w:pStyle w:val="11"/>
        <w:ind w:left="2083" w:firstLine="0"/>
      </w:pPr>
      <w:r>
        <w:t>（十一）承办区政府交办的其他工作。</w:t>
      </w:r>
    </w:p>
    <w:p>
      <w:pPr>
        <w:pStyle w:val="10"/>
        <w:spacing w:line="360" w:lineRule="auto"/>
        <w:ind w:left="1363" w:firstLine="0" w:firstLineChars="0"/>
        <w:rPr>
          <w:rFonts w:ascii="仿宋" w:hAnsi="仿宋" w:eastAsia="仿宋"/>
          <w:b/>
          <w:sz w:val="32"/>
          <w:szCs w:val="32"/>
        </w:rPr>
      </w:pP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w:t>
            </w:r>
            <w:r>
              <w:rPr>
                <w:rFonts w:ascii="仿宋_GB2312" w:hAnsi="仿宋" w:eastAsia="仿宋_GB2312"/>
                <w:bCs/>
                <w:sz w:val="24"/>
                <w:szCs w:val="24"/>
              </w:rPr>
              <w:t>市</w:t>
            </w:r>
            <w:r>
              <w:rPr>
                <w:rFonts w:hint="eastAsia" w:ascii="仿宋_GB2312" w:hAnsi="仿宋" w:eastAsia="仿宋_GB2312"/>
                <w:bCs/>
                <w:sz w:val="24"/>
                <w:szCs w:val="24"/>
              </w:rPr>
              <w:t>徐</w:t>
            </w:r>
            <w:r>
              <w:rPr>
                <w:rFonts w:ascii="仿宋_GB2312" w:hAnsi="仿宋" w:eastAsia="仿宋_GB2312"/>
                <w:bCs/>
                <w:sz w:val="24"/>
                <w:szCs w:val="24"/>
              </w:rPr>
              <w:t>水区行政审批局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2022年预算收入为1191.84万元,其中：一般公共预算收入1191.84万元，基金预算收入0万元，财政专户收入0万元，其他来源收入0万元。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rPr>
        <w:t>单位</w:t>
      </w:r>
      <w:r>
        <w:rPr>
          <w:rFonts w:ascii="仿宋" w:hAnsi="仿宋" w:eastAsia="仿宋"/>
          <w:sz w:val="32"/>
          <w:szCs w:val="32"/>
        </w:rPr>
        <w:t>支出预算：1191.84万元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906.96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其中：人员经费801.06万元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日常公用经费105.9万元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284.88万元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其中：本级支出284.88万元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1191.84</w:t>
      </w:r>
      <w:r>
        <w:rPr>
          <w:rFonts w:hint="eastAsia" w:ascii="仿宋" w:hAnsi="仿宋" w:eastAsia="仿宋"/>
          <w:sz w:val="32"/>
          <w:szCs w:val="32"/>
        </w:rPr>
        <w:t>万元，较上年增加753.55</w:t>
      </w:r>
      <w:r>
        <w:rPr>
          <w:rFonts w:ascii="仿宋" w:hAnsi="仿宋" w:eastAsia="仿宋"/>
          <w:sz w:val="32"/>
          <w:szCs w:val="32"/>
        </w:rPr>
        <w:t>万元。其中:基本支出增加728.90万元，主要原因是</w:t>
      </w:r>
      <w:r>
        <w:rPr>
          <w:rFonts w:hint="eastAsia" w:ascii="仿宋" w:hAnsi="仿宋" w:eastAsia="仿宋"/>
          <w:sz w:val="32"/>
          <w:szCs w:val="32"/>
        </w:rPr>
        <w:t>人员</w:t>
      </w:r>
      <w:r>
        <w:rPr>
          <w:rFonts w:ascii="仿宋" w:hAnsi="仿宋" w:eastAsia="仿宋"/>
          <w:sz w:val="32"/>
          <w:szCs w:val="32"/>
        </w:rPr>
        <w:t>增加；项目支出增加</w:t>
      </w:r>
      <w:r>
        <w:rPr>
          <w:rFonts w:hint="eastAsia" w:ascii="仿宋" w:hAnsi="仿宋" w:eastAsia="仿宋"/>
          <w:sz w:val="32"/>
          <w:szCs w:val="32"/>
        </w:rPr>
        <w:t>24.65</w:t>
      </w:r>
      <w:r>
        <w:rPr>
          <w:rFonts w:ascii="仿宋" w:hAnsi="仿宋" w:eastAsia="仿宋"/>
          <w:sz w:val="32"/>
          <w:szCs w:val="32"/>
        </w:rPr>
        <w:t>万元，主要原因是</w:t>
      </w:r>
      <w:r>
        <w:rPr>
          <w:rFonts w:hint="eastAsia" w:ascii="仿宋" w:hAnsi="仿宋" w:eastAsia="仿宋"/>
          <w:sz w:val="32"/>
          <w:szCs w:val="32"/>
        </w:rPr>
        <w:t>增加</w:t>
      </w:r>
      <w:r>
        <w:rPr>
          <w:rFonts w:ascii="仿宋" w:hAnsi="仿宋" w:eastAsia="仿宋"/>
          <w:sz w:val="32"/>
          <w:szCs w:val="32"/>
        </w:rPr>
        <w:t>企业公章免费刻制经费</w:t>
      </w:r>
      <w:r>
        <w:rPr>
          <w:rFonts w:hint="eastAsia" w:ascii="仿宋" w:hAnsi="仿宋" w:eastAsia="仿宋"/>
          <w:sz w:val="32"/>
          <w:szCs w:val="32"/>
        </w:rPr>
        <w:t>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机关运行经费安排105.90万元，其中办公费6.70万元，邮电费7.57万元，工会经费、福利费3.61万元，公务用车运行维护费2.43万元</w:t>
      </w:r>
      <w:r>
        <w:rPr>
          <w:rFonts w:hint="eastAsia" w:ascii="仿宋" w:hAnsi="仿宋" w:eastAsia="仿宋"/>
          <w:sz w:val="32"/>
          <w:szCs w:val="32"/>
        </w:rPr>
        <w:t>，</w:t>
      </w:r>
      <w:r>
        <w:rPr>
          <w:rFonts w:ascii="仿宋" w:hAnsi="仿宋" w:eastAsia="仿宋"/>
          <w:sz w:val="32"/>
          <w:szCs w:val="32"/>
        </w:rPr>
        <w:t>其他支出85.59万元。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w:t>
                  </w:r>
                  <w:r>
                    <w:rPr>
                      <w:rFonts w:hint="eastAsia" w:ascii="仿宋_GB2312" w:hAnsi="宋体" w:eastAsia="仿宋_GB2312" w:cs="宋体"/>
                      <w:kern w:val="0"/>
                      <w:sz w:val="24"/>
                      <w:szCs w:val="24"/>
                    </w:rPr>
                    <w:t>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0.57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压减支出</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0.15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0.85</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压减</w:t>
                  </w:r>
                  <w:r>
                    <w:rPr>
                      <w:rFonts w:ascii="仿宋_GB2312" w:hAnsi="宋体" w:eastAsia="仿宋_GB2312" w:cs="宋体"/>
                      <w:kern w:val="0"/>
                      <w:sz w:val="24"/>
                      <w:szCs w:val="24"/>
                    </w:rPr>
                    <w:t>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2.58</w:t>
                  </w: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1.43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压减</w:t>
                  </w:r>
                  <w:r>
                    <w:rPr>
                      <w:rFonts w:ascii="仿宋_GB2312" w:hAnsi="宋体" w:eastAsia="仿宋_GB2312" w:cs="宋体"/>
                      <w:kern w:val="0"/>
                      <w:sz w:val="24"/>
                      <w:szCs w:val="24"/>
                    </w:rPr>
                    <w:t>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jc w:val="center"/>
        <w:outlineLvl w:val="0"/>
        <w:rPr>
          <w:rFonts w:ascii="仿宋" w:hAnsi="仿宋" w:eastAsia="仿宋"/>
          <w:sz w:val="32"/>
          <w:szCs w:val="32"/>
        </w:rPr>
      </w:pPr>
      <w:r>
        <w:rPr>
          <w:rFonts w:hint="eastAsia" w:ascii="仿宋" w:hAnsi="仿宋" w:eastAsia="仿宋"/>
          <w:sz w:val="32"/>
          <w:szCs w:val="32"/>
        </w:rPr>
        <w:t xml:space="preserve">   以习近平新时代中国特色社会主义思想为指导，贯彻落实中央、省委、市委和区委关于行政审批工作、政务服务管理工作的方针政策和决策部署，坚持和加强党对行政审批工作、政务服务管理工作的集中统一领导。坚持以人民为中心理念，紧紧围绕全区工作思路，持续深化“放管服”改革，全面提升行政审批、政务服务管理水平，进一步提高公共资源交易平台服务水平，加快完善社会信用体系建设，创新推动智慧政务建设，推进全区“互联网</w:t>
      </w:r>
      <w:r>
        <w:rPr>
          <w:rFonts w:ascii="仿宋" w:hAnsi="仿宋" w:eastAsia="仿宋"/>
          <w:sz w:val="32"/>
          <w:szCs w:val="32"/>
        </w:rPr>
        <w:t>+政务服务”工作，构建全区一体化政务服务平台，加强事项监管，强化效能监督，完善综合业务、事务管理，推动政务服务提档升级再</w:t>
      </w:r>
      <w:r>
        <w:rPr>
          <w:rFonts w:hint="eastAsia" w:ascii="仿宋" w:hAnsi="仿宋" w:eastAsia="仿宋"/>
          <w:sz w:val="32"/>
          <w:szCs w:val="32"/>
        </w:rPr>
        <w:t>加速，为构筑市场化、法治化、国际化营商环境提供强大动力。</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退役军人专岗人员提高待遇资金</w:t>
      </w:r>
      <w:r>
        <w:rPr>
          <w:rFonts w:hint="eastAsia" w:ascii="仿宋" w:hAnsi="仿宋" w:eastAsia="仿宋"/>
          <w:sz w:val="32"/>
          <w:szCs w:val="32"/>
        </w:rPr>
        <w:t>绩效</w:t>
      </w:r>
      <w:r>
        <w:rPr>
          <w:rFonts w:ascii="仿宋" w:hAnsi="仿宋" w:eastAsia="仿宋"/>
          <w:sz w:val="32"/>
          <w:szCs w:val="32"/>
        </w:rPr>
        <w:t>目标表</w:t>
      </w:r>
    </w:p>
    <w:tbl>
      <w:tblPr>
        <w:tblStyle w:val="5"/>
        <w:tblW w:w="48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
        <w:gridCol w:w="665"/>
        <w:gridCol w:w="1024"/>
        <w:gridCol w:w="1203"/>
        <w:gridCol w:w="1742"/>
        <w:gridCol w:w="577"/>
        <w:gridCol w:w="353"/>
        <w:gridCol w:w="934"/>
        <w:gridCol w:w="755"/>
        <w:gridCol w:w="1737"/>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883" w:type="pct"/>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117" w:type="pct"/>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883" w:type="pct"/>
            <w:gridSpan w:val="10"/>
            <w:vMerge w:val="continue"/>
            <w:vAlign w:val="center"/>
          </w:tcPr>
          <w:p>
            <w:pPr>
              <w:widowControl/>
              <w:jc w:val="left"/>
              <w:rPr>
                <w:rFonts w:ascii="Arial" w:hAnsi="Arial" w:eastAsia="宋体" w:cs="Arial"/>
                <w:color w:val="000000"/>
                <w:kern w:val="0"/>
                <w:sz w:val="36"/>
                <w:szCs w:val="36"/>
              </w:rPr>
            </w:pPr>
          </w:p>
        </w:tc>
        <w:tc>
          <w:tcPr>
            <w:tcW w:w="117" w:type="pct"/>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887" w:type="pct"/>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1543" w:type="pct"/>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13062522P00456610454F</w:t>
            </w:r>
          </w:p>
        </w:tc>
        <w:tc>
          <w:tcPr>
            <w:tcW w:w="304" w:type="pc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1984" w:type="pct"/>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退役军人专岗人员提高待遇资金</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887" w:type="pct"/>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1543" w:type="pct"/>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304" w:type="pc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1984" w:type="pct"/>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2430" w:type="pct"/>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2288" w:type="pct"/>
            <w:gridSpan w:val="5"/>
            <w:shd w:val="clear" w:color="auto" w:fill="auto"/>
            <w:noWrap/>
          </w:tcPr>
          <w:p>
            <w:pPr>
              <w:widowControl/>
              <w:jc w:val="left"/>
              <w:rPr>
                <w:rFonts w:ascii="Arial" w:hAnsi="Arial" w:eastAsia="宋体" w:cs="Arial"/>
                <w:b/>
                <w:bCs/>
                <w:kern w:val="0"/>
                <w:sz w:val="22"/>
              </w:rPr>
            </w:pPr>
          </w:p>
        </w:tc>
        <w:tc>
          <w:tcPr>
            <w:tcW w:w="117" w:type="pct"/>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350" w:type="pct"/>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4368" w:type="pct"/>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117" w:type="pct"/>
            <w:shd w:val="clear" w:color="auto" w:fill="auto"/>
            <w:noWrap/>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350" w:type="pct"/>
            <w:vMerge w:val="continue"/>
            <w:vAlign w:val="center"/>
          </w:tcPr>
          <w:p>
            <w:pPr>
              <w:widowControl/>
              <w:jc w:val="left"/>
              <w:rPr>
                <w:rFonts w:ascii="Arial" w:hAnsi="Arial" w:eastAsia="宋体" w:cs="Arial"/>
                <w:b/>
                <w:bCs/>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3831" w:type="pct"/>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确保全区稳定，保障退役军人专岗人员更好发挥作用。</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350" w:type="pct"/>
            <w:vMerge w:val="continue"/>
            <w:vAlign w:val="center"/>
          </w:tcPr>
          <w:p>
            <w:pPr>
              <w:widowControl/>
              <w:jc w:val="left"/>
              <w:rPr>
                <w:rFonts w:ascii="Arial" w:hAnsi="Arial" w:eastAsia="宋体" w:cs="Arial"/>
                <w:b/>
                <w:bCs/>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3831" w:type="pct"/>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按月支出，3月份支出25%，6月份支出50%，9月份支出75%，12月份支出100%</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7</w:t>
            </w:r>
          </w:p>
        </w:tc>
        <w:tc>
          <w:tcPr>
            <w:tcW w:w="350"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537"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631"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912"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981" w:type="pct"/>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397"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909"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117" w:type="pct"/>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350" w:type="pct"/>
            <w:vMerge w:val="continue"/>
            <w:vAlign w:val="center"/>
          </w:tcPr>
          <w:p>
            <w:pPr>
              <w:widowControl/>
              <w:jc w:val="left"/>
              <w:rPr>
                <w:rFonts w:ascii="Calibri" w:hAnsi="Calibri" w:eastAsia="宋体" w:cs="Calibri"/>
                <w:color w:val="000000"/>
                <w:kern w:val="0"/>
                <w:sz w:val="22"/>
              </w:rPr>
            </w:pPr>
          </w:p>
        </w:tc>
        <w:tc>
          <w:tcPr>
            <w:tcW w:w="537" w:type="pct"/>
            <w:vMerge w:val="continue"/>
            <w:vAlign w:val="center"/>
          </w:tcPr>
          <w:p>
            <w:pPr>
              <w:widowControl/>
              <w:jc w:val="left"/>
              <w:rPr>
                <w:rFonts w:ascii="Calibri" w:hAnsi="Calibri" w:eastAsia="宋体" w:cs="Calibri"/>
                <w:color w:val="000000"/>
                <w:kern w:val="0"/>
                <w:sz w:val="22"/>
              </w:rPr>
            </w:pPr>
          </w:p>
        </w:tc>
        <w:tc>
          <w:tcPr>
            <w:tcW w:w="631" w:type="pct"/>
            <w:vMerge w:val="continue"/>
            <w:vAlign w:val="center"/>
          </w:tcPr>
          <w:p>
            <w:pPr>
              <w:widowControl/>
              <w:jc w:val="left"/>
              <w:rPr>
                <w:rFonts w:ascii="Calibri" w:hAnsi="Calibri" w:eastAsia="宋体" w:cs="Calibri"/>
                <w:color w:val="000000"/>
                <w:kern w:val="0"/>
                <w:sz w:val="22"/>
              </w:rPr>
            </w:pPr>
          </w:p>
        </w:tc>
        <w:tc>
          <w:tcPr>
            <w:tcW w:w="912" w:type="pct"/>
            <w:vMerge w:val="continue"/>
            <w:vAlign w:val="center"/>
          </w:tcPr>
          <w:p>
            <w:pPr>
              <w:widowControl/>
              <w:jc w:val="left"/>
              <w:rPr>
                <w:rFonts w:ascii="Calibri" w:hAnsi="Calibri" w:eastAsia="宋体" w:cs="Calibri"/>
                <w:color w:val="000000"/>
                <w:kern w:val="0"/>
                <w:sz w:val="22"/>
              </w:rPr>
            </w:pPr>
          </w:p>
        </w:tc>
        <w:tc>
          <w:tcPr>
            <w:tcW w:w="30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187"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49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397" w:type="pct"/>
            <w:vMerge w:val="continue"/>
            <w:vAlign w:val="center"/>
          </w:tcPr>
          <w:p>
            <w:pPr>
              <w:widowControl/>
              <w:jc w:val="left"/>
              <w:rPr>
                <w:rFonts w:ascii="Calibri" w:hAnsi="Calibri" w:eastAsia="宋体" w:cs="Calibri"/>
                <w:color w:val="000000"/>
                <w:kern w:val="0"/>
                <w:sz w:val="22"/>
              </w:rPr>
            </w:pPr>
          </w:p>
        </w:tc>
        <w:tc>
          <w:tcPr>
            <w:tcW w:w="909" w:type="pct"/>
            <w:vMerge w:val="continue"/>
            <w:vAlign w:val="center"/>
          </w:tcPr>
          <w:p>
            <w:pPr>
              <w:widowControl/>
              <w:jc w:val="left"/>
              <w:rPr>
                <w:rFonts w:ascii="Calibri" w:hAnsi="Calibri" w:eastAsia="宋体" w:cs="Calibri"/>
                <w:color w:val="000000"/>
                <w:kern w:val="0"/>
                <w:sz w:val="22"/>
              </w:rPr>
            </w:pPr>
          </w:p>
        </w:tc>
        <w:tc>
          <w:tcPr>
            <w:tcW w:w="117" w:type="pct"/>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9</w:t>
            </w:r>
          </w:p>
        </w:tc>
        <w:tc>
          <w:tcPr>
            <w:tcW w:w="350"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631"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专岗人员人数</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专岗人员人数</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人</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350" w:type="pct"/>
            <w:vMerge w:val="continue"/>
            <w:vAlign w:val="center"/>
          </w:tcPr>
          <w:p>
            <w:pPr>
              <w:widowControl/>
              <w:jc w:val="left"/>
              <w:rPr>
                <w:rFonts w:ascii="Calibri" w:hAnsi="Calibri" w:eastAsia="宋体" w:cs="Calibri"/>
                <w:color w:val="000000"/>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631"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补贴发生足额率</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足额发放补贴人数占全部人数比例</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350" w:type="pct"/>
            <w:vMerge w:val="continue"/>
            <w:vAlign w:val="center"/>
          </w:tcPr>
          <w:p>
            <w:pPr>
              <w:widowControl/>
              <w:jc w:val="left"/>
              <w:rPr>
                <w:rFonts w:ascii="Calibri" w:hAnsi="Calibri" w:eastAsia="宋体" w:cs="Calibri"/>
                <w:color w:val="000000"/>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631"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资金及时发生率</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该笔资金投入后是否能够按照规定时间</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350" w:type="pct"/>
            <w:vMerge w:val="continue"/>
            <w:vAlign w:val="center"/>
          </w:tcPr>
          <w:p>
            <w:pPr>
              <w:widowControl/>
              <w:jc w:val="left"/>
              <w:rPr>
                <w:rFonts w:ascii="Calibri" w:hAnsi="Calibri" w:eastAsia="宋体" w:cs="Calibri"/>
                <w:color w:val="000000"/>
                <w:kern w:val="0"/>
                <w:sz w:val="22"/>
              </w:rPr>
            </w:pP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631"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项目支出金额</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在预算金额内支付</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1.8</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万元</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35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631"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拥军优属保障率</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未发生相关上访的比率</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35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537"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631"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退役军人专岗人员满意度</w:t>
            </w:r>
          </w:p>
        </w:tc>
        <w:tc>
          <w:tcPr>
            <w:tcW w:w="912"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项目相关的退役军人专岗人员满意度</w:t>
            </w:r>
          </w:p>
        </w:tc>
        <w:tc>
          <w:tcPr>
            <w:tcW w:w="30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18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490"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397"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c>
          <w:tcPr>
            <w:tcW w:w="909"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117" w:type="pct"/>
            <w:shd w:val="clear" w:color="auto" w:fill="auto"/>
            <w:noWrap/>
          </w:tcPr>
          <w:p>
            <w:pPr>
              <w:widowControl/>
              <w:jc w:val="left"/>
              <w:rPr>
                <w:rFonts w:ascii="Calibri" w:hAnsi="Calibri" w:eastAsia="宋体" w:cs="Calibri"/>
                <w:color w:val="000000"/>
                <w:kern w:val="0"/>
                <w:sz w:val="22"/>
              </w:rPr>
            </w:pP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r>
        <w:rPr>
          <w:rFonts w:hint="eastAsia"/>
        </w:rPr>
        <w:t>2、其他</w:t>
      </w:r>
      <w:r>
        <w:t>收入</w:t>
      </w:r>
      <w:r>
        <w:rPr>
          <w:rFonts w:hint="eastAsia"/>
        </w:rPr>
        <w:t>绩效</w:t>
      </w:r>
      <w:r>
        <w:t>目标表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
        <w:gridCol w:w="677"/>
        <w:gridCol w:w="971"/>
        <w:gridCol w:w="971"/>
        <w:gridCol w:w="1306"/>
        <w:gridCol w:w="553"/>
        <w:gridCol w:w="365"/>
        <w:gridCol w:w="887"/>
        <w:gridCol w:w="719"/>
        <w:gridCol w:w="1553"/>
        <w:gridCol w:w="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0" w:type="auto"/>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continue"/>
            <w:vAlign w:val="center"/>
          </w:tcPr>
          <w:p>
            <w:pPr>
              <w:widowControl/>
              <w:jc w:val="left"/>
              <w:rPr>
                <w:rFonts w:ascii="Arial" w:hAnsi="Arial" w:eastAsia="宋体" w:cs="Arial"/>
                <w:color w:val="000000"/>
                <w:kern w:val="0"/>
                <w:sz w:val="36"/>
                <w:szCs w:val="36"/>
              </w:rPr>
            </w:pPr>
          </w:p>
        </w:tc>
        <w:tc>
          <w:tcPr>
            <w:tcW w:w="0" w:type="auto"/>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13062522P00459810066E</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其他收入</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0" w:type="auto"/>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0" w:type="auto"/>
            <w:gridSpan w:val="5"/>
            <w:shd w:val="clear" w:color="auto" w:fill="auto"/>
            <w:noWrap/>
          </w:tcPr>
          <w:p>
            <w:pPr>
              <w:widowControl/>
              <w:jc w:val="left"/>
              <w:rPr>
                <w:rFonts w:ascii="Arial" w:hAnsi="Arial" w:eastAsia="宋体" w:cs="Arial"/>
                <w:b/>
                <w:bCs/>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0" w:type="auto"/>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0" w:type="auto"/>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0" w:type="auto"/>
            <w:shd w:val="clear" w:color="auto" w:fill="auto"/>
            <w:noWrap/>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用于支付办公用品</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预计6月底支付完成</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7</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9</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购买数量</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购买数量</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次</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项目预算控制数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项目支出控制在预算范围内</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万元</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社会稳定水平提升率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社会稳定水平提升率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17</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w:t>
            </w:r>
            <w:r>
              <w:rPr>
                <w:rFonts w:hint="eastAsia" w:ascii="Calibri" w:hAnsi="Calibri" w:eastAsia="宋体" w:cs="Calibri"/>
                <w:color w:val="000000"/>
                <w:kern w:val="0"/>
                <w:sz w:val="22"/>
              </w:rPr>
              <w:t xml:space="preserve">度 </w:t>
            </w:r>
            <w:r>
              <w:rPr>
                <w:rFonts w:ascii="Calibri" w:hAnsi="Calibri" w:eastAsia="宋体" w:cs="Calibri"/>
                <w:color w:val="000000"/>
                <w:kern w:val="0"/>
                <w:sz w:val="22"/>
              </w:rPr>
              <w:t>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服务对象满意率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服务对象满意率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bl>
    <w:p/>
    <w:p/>
    <w:p>
      <w:r>
        <w:rPr>
          <w:rFonts w:hint="eastAsia"/>
        </w:rPr>
        <w:t>3、“环评”审批</w:t>
      </w:r>
      <w:r>
        <w:t>事项专家评估费用</w:t>
      </w:r>
      <w:r>
        <w:rPr>
          <w:rFonts w:hint="eastAsia"/>
        </w:rPr>
        <w:t>绩效</w:t>
      </w:r>
      <w:r>
        <w:t>目标表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
        <w:gridCol w:w="674"/>
        <w:gridCol w:w="965"/>
        <w:gridCol w:w="1132"/>
        <w:gridCol w:w="1215"/>
        <w:gridCol w:w="550"/>
        <w:gridCol w:w="364"/>
        <w:gridCol w:w="882"/>
        <w:gridCol w:w="715"/>
        <w:gridCol w:w="1506"/>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69" w:type="pct"/>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131" w:type="pct"/>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69" w:type="pct"/>
            <w:gridSpan w:val="10"/>
            <w:vMerge w:val="continue"/>
            <w:vAlign w:val="center"/>
          </w:tcPr>
          <w:p>
            <w:pPr>
              <w:widowControl/>
              <w:jc w:val="left"/>
              <w:rPr>
                <w:rFonts w:ascii="Arial" w:hAnsi="Arial" w:eastAsia="宋体" w:cs="Arial"/>
                <w:color w:val="000000"/>
                <w:kern w:val="0"/>
                <w:sz w:val="36"/>
                <w:szCs w:val="36"/>
              </w:rPr>
            </w:pPr>
          </w:p>
        </w:tc>
        <w:tc>
          <w:tcPr>
            <w:tcW w:w="131" w:type="pct"/>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941" w:type="pct"/>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1380" w:type="pct"/>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13062522P00456710391G</w:t>
            </w:r>
          </w:p>
        </w:tc>
        <w:tc>
          <w:tcPr>
            <w:tcW w:w="325" w:type="pc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2042" w:type="pct"/>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“环评”审批事项专家评估费用</w:t>
            </w:r>
          </w:p>
        </w:tc>
        <w:tc>
          <w:tcPr>
            <w:tcW w:w="131"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941" w:type="pct"/>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1380" w:type="pct"/>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325" w:type="pc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2042" w:type="pct"/>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131"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2321" w:type="pct"/>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2367" w:type="pct"/>
            <w:gridSpan w:val="5"/>
            <w:shd w:val="clear" w:color="auto" w:fill="auto"/>
            <w:noWrap/>
          </w:tcPr>
          <w:p>
            <w:pPr>
              <w:widowControl/>
              <w:jc w:val="left"/>
              <w:rPr>
                <w:rFonts w:ascii="Arial" w:hAnsi="Arial" w:eastAsia="宋体" w:cs="Arial"/>
                <w:b/>
                <w:bCs/>
                <w:kern w:val="0"/>
                <w:sz w:val="22"/>
              </w:rPr>
            </w:pPr>
          </w:p>
        </w:tc>
        <w:tc>
          <w:tcPr>
            <w:tcW w:w="131" w:type="pct"/>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374" w:type="pct"/>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4315" w:type="pct"/>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131" w:type="pct"/>
            <w:shd w:val="clear" w:color="auto" w:fill="auto"/>
            <w:noWrap/>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374" w:type="pct"/>
            <w:vMerge w:val="continue"/>
            <w:vAlign w:val="center"/>
          </w:tcPr>
          <w:p>
            <w:pPr>
              <w:widowControl/>
              <w:jc w:val="left"/>
              <w:rPr>
                <w:rFonts w:ascii="Arial" w:hAnsi="Arial" w:eastAsia="宋体" w:cs="Arial"/>
                <w:b/>
                <w:bCs/>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3747" w:type="pct"/>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优化营商环境，激发市场活力和社会创造力</w:t>
            </w:r>
          </w:p>
        </w:tc>
        <w:tc>
          <w:tcPr>
            <w:tcW w:w="131"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374" w:type="pct"/>
            <w:vMerge w:val="continue"/>
            <w:vAlign w:val="center"/>
          </w:tcPr>
          <w:p>
            <w:pPr>
              <w:widowControl/>
              <w:jc w:val="left"/>
              <w:rPr>
                <w:rFonts w:ascii="Arial" w:hAnsi="Arial" w:eastAsia="宋体" w:cs="Arial"/>
                <w:b/>
                <w:bCs/>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3747" w:type="pct"/>
            <w:gridSpan w:val="7"/>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用于支付环评审判事项专家费用</w:t>
            </w:r>
          </w:p>
        </w:tc>
        <w:tc>
          <w:tcPr>
            <w:tcW w:w="131" w:type="pct"/>
            <w:shd w:val="clear" w:color="auto" w:fill="auto"/>
            <w:noWrap/>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7</w:t>
            </w:r>
          </w:p>
        </w:tc>
        <w:tc>
          <w:tcPr>
            <w:tcW w:w="374" w:type="pct"/>
            <w:vMerge w:val="continue"/>
            <w:vAlign w:val="center"/>
          </w:tcPr>
          <w:p>
            <w:pPr>
              <w:widowControl/>
              <w:jc w:val="left"/>
              <w:rPr>
                <w:rFonts w:ascii="Arial" w:hAnsi="Arial" w:eastAsia="宋体" w:cs="Arial"/>
                <w:b/>
                <w:bCs/>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3747" w:type="pct"/>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提升公众满意度按合同规定，每季度支出一次。预计2022年12月底支出完毕。</w:t>
            </w:r>
          </w:p>
        </w:tc>
        <w:tc>
          <w:tcPr>
            <w:tcW w:w="131" w:type="pct"/>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374"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568"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665"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714"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1061" w:type="pct"/>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422"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884"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131" w:type="pct"/>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9</w:t>
            </w:r>
          </w:p>
        </w:tc>
        <w:tc>
          <w:tcPr>
            <w:tcW w:w="374" w:type="pct"/>
            <w:vMerge w:val="continue"/>
            <w:vAlign w:val="center"/>
          </w:tcPr>
          <w:p>
            <w:pPr>
              <w:widowControl/>
              <w:jc w:val="left"/>
              <w:rPr>
                <w:rFonts w:ascii="Calibri" w:hAnsi="Calibri" w:eastAsia="宋体" w:cs="Calibri"/>
                <w:color w:val="000000"/>
                <w:kern w:val="0"/>
                <w:sz w:val="22"/>
              </w:rPr>
            </w:pPr>
          </w:p>
        </w:tc>
        <w:tc>
          <w:tcPr>
            <w:tcW w:w="568" w:type="pct"/>
            <w:vMerge w:val="continue"/>
            <w:vAlign w:val="center"/>
          </w:tcPr>
          <w:p>
            <w:pPr>
              <w:widowControl/>
              <w:jc w:val="left"/>
              <w:rPr>
                <w:rFonts w:ascii="Calibri" w:hAnsi="Calibri" w:eastAsia="宋体" w:cs="Calibri"/>
                <w:color w:val="000000"/>
                <w:kern w:val="0"/>
                <w:sz w:val="22"/>
              </w:rPr>
            </w:pPr>
          </w:p>
        </w:tc>
        <w:tc>
          <w:tcPr>
            <w:tcW w:w="665" w:type="pct"/>
            <w:vMerge w:val="continue"/>
            <w:vAlign w:val="center"/>
          </w:tcPr>
          <w:p>
            <w:pPr>
              <w:widowControl/>
              <w:jc w:val="left"/>
              <w:rPr>
                <w:rFonts w:ascii="Calibri" w:hAnsi="Calibri" w:eastAsia="宋体" w:cs="Calibri"/>
                <w:color w:val="000000"/>
                <w:kern w:val="0"/>
                <w:sz w:val="22"/>
              </w:rPr>
            </w:pPr>
          </w:p>
        </w:tc>
        <w:tc>
          <w:tcPr>
            <w:tcW w:w="714" w:type="pct"/>
            <w:vMerge w:val="continue"/>
            <w:vAlign w:val="center"/>
          </w:tcPr>
          <w:p>
            <w:pPr>
              <w:widowControl/>
              <w:jc w:val="left"/>
              <w:rPr>
                <w:rFonts w:ascii="Calibri" w:hAnsi="Calibri" w:eastAsia="宋体" w:cs="Calibri"/>
                <w:color w:val="000000"/>
                <w:kern w:val="0"/>
                <w:sz w:val="22"/>
              </w:rPr>
            </w:pPr>
          </w:p>
        </w:tc>
        <w:tc>
          <w:tcPr>
            <w:tcW w:w="325"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216"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52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422" w:type="pct"/>
            <w:vMerge w:val="continue"/>
            <w:vAlign w:val="center"/>
          </w:tcPr>
          <w:p>
            <w:pPr>
              <w:widowControl/>
              <w:jc w:val="left"/>
              <w:rPr>
                <w:rFonts w:ascii="Calibri" w:hAnsi="Calibri" w:eastAsia="宋体" w:cs="Calibri"/>
                <w:color w:val="000000"/>
                <w:kern w:val="0"/>
                <w:sz w:val="22"/>
              </w:rPr>
            </w:pPr>
          </w:p>
        </w:tc>
        <w:tc>
          <w:tcPr>
            <w:tcW w:w="884" w:type="pct"/>
            <w:vMerge w:val="continue"/>
            <w:vAlign w:val="center"/>
          </w:tcPr>
          <w:p>
            <w:pPr>
              <w:widowControl/>
              <w:jc w:val="left"/>
              <w:rPr>
                <w:rFonts w:ascii="Calibri" w:hAnsi="Calibri" w:eastAsia="宋体" w:cs="Calibri"/>
                <w:color w:val="000000"/>
                <w:kern w:val="0"/>
                <w:sz w:val="22"/>
              </w:rPr>
            </w:pPr>
          </w:p>
        </w:tc>
        <w:tc>
          <w:tcPr>
            <w:tcW w:w="131" w:type="pct"/>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374" w:type="pct"/>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665"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环评审批事项数</w:t>
            </w:r>
          </w:p>
        </w:tc>
        <w:tc>
          <w:tcPr>
            <w:tcW w:w="71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环评审批事项数</w:t>
            </w:r>
          </w:p>
        </w:tc>
        <w:tc>
          <w:tcPr>
            <w:tcW w:w="32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40</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个</w:t>
            </w:r>
          </w:p>
        </w:tc>
        <w:tc>
          <w:tcPr>
            <w:tcW w:w="422"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374" w:type="pct"/>
            <w:vMerge w:val="continue"/>
            <w:vAlign w:val="center"/>
          </w:tcPr>
          <w:p>
            <w:pPr>
              <w:widowControl/>
              <w:jc w:val="left"/>
              <w:rPr>
                <w:rFonts w:ascii="Calibri" w:hAnsi="Calibri" w:eastAsia="宋体" w:cs="Calibri"/>
                <w:color w:val="000000"/>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665"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环评审批事项完成合格率</w:t>
            </w:r>
          </w:p>
        </w:tc>
        <w:tc>
          <w:tcPr>
            <w:tcW w:w="71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环评审批事项完成合格率</w:t>
            </w:r>
          </w:p>
        </w:tc>
        <w:tc>
          <w:tcPr>
            <w:tcW w:w="32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422"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374" w:type="pct"/>
            <w:vMerge w:val="continue"/>
            <w:vAlign w:val="center"/>
          </w:tcPr>
          <w:p>
            <w:pPr>
              <w:widowControl/>
              <w:jc w:val="left"/>
              <w:rPr>
                <w:rFonts w:ascii="Calibri" w:hAnsi="Calibri" w:eastAsia="宋体" w:cs="Calibri"/>
                <w:color w:val="000000"/>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66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完成及时率</w:t>
            </w:r>
          </w:p>
        </w:tc>
        <w:tc>
          <w:tcPr>
            <w:tcW w:w="714"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完成及时率</w:t>
            </w:r>
          </w:p>
        </w:tc>
        <w:tc>
          <w:tcPr>
            <w:tcW w:w="32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422"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374" w:type="pct"/>
            <w:vMerge w:val="continue"/>
            <w:vAlign w:val="center"/>
          </w:tcPr>
          <w:p>
            <w:pPr>
              <w:widowControl/>
              <w:jc w:val="left"/>
              <w:rPr>
                <w:rFonts w:ascii="Calibri" w:hAnsi="Calibri" w:eastAsia="宋体" w:cs="Calibri"/>
                <w:color w:val="000000"/>
                <w:kern w:val="0"/>
                <w:sz w:val="22"/>
              </w:rPr>
            </w:pP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665" w:type="pct"/>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项目预算控制数</w:t>
            </w:r>
          </w:p>
        </w:tc>
        <w:tc>
          <w:tcPr>
            <w:tcW w:w="714" w:type="pct"/>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项目支出控制在预算范围内</w:t>
            </w:r>
          </w:p>
        </w:tc>
        <w:tc>
          <w:tcPr>
            <w:tcW w:w="32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58.5</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万元</w:t>
            </w:r>
          </w:p>
        </w:tc>
        <w:tc>
          <w:tcPr>
            <w:tcW w:w="422"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37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665"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服务水平提升率</w:t>
            </w:r>
          </w:p>
        </w:tc>
        <w:tc>
          <w:tcPr>
            <w:tcW w:w="71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服务水平提升率</w:t>
            </w:r>
          </w:p>
        </w:tc>
        <w:tc>
          <w:tcPr>
            <w:tcW w:w="32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50</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422"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15</w:t>
            </w:r>
          </w:p>
        </w:tc>
        <w:tc>
          <w:tcPr>
            <w:tcW w:w="374" w:type="pc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w:t>
            </w:r>
            <w:r>
              <w:rPr>
                <w:rFonts w:hint="eastAsia" w:ascii="Calibri" w:hAnsi="Calibri" w:eastAsia="宋体" w:cs="Calibri"/>
                <w:color w:val="000000"/>
                <w:kern w:val="0"/>
                <w:sz w:val="22"/>
              </w:rPr>
              <w:t xml:space="preserve"> </w:t>
            </w:r>
            <w:r>
              <w:rPr>
                <w:rFonts w:ascii="Calibri" w:hAnsi="Calibri" w:eastAsia="宋体" w:cs="Calibri"/>
                <w:color w:val="000000"/>
                <w:kern w:val="0"/>
                <w:sz w:val="22"/>
              </w:rPr>
              <w:t>指标</w:t>
            </w:r>
          </w:p>
        </w:tc>
        <w:tc>
          <w:tcPr>
            <w:tcW w:w="568"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665"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企业满意度</w:t>
            </w:r>
          </w:p>
        </w:tc>
        <w:tc>
          <w:tcPr>
            <w:tcW w:w="71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企业满意度</w:t>
            </w:r>
          </w:p>
        </w:tc>
        <w:tc>
          <w:tcPr>
            <w:tcW w:w="325"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216" w:type="pct"/>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520"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422"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884" w:type="pct"/>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131" w:type="pct"/>
            <w:shd w:val="clear" w:color="auto" w:fill="auto"/>
            <w:noWrap/>
          </w:tcPr>
          <w:p>
            <w:pPr>
              <w:widowControl/>
              <w:jc w:val="left"/>
              <w:rPr>
                <w:rFonts w:ascii="宋体" w:hAnsi="宋体" w:eastAsia="宋体" w:cs="宋体"/>
                <w:kern w:val="0"/>
                <w:sz w:val="22"/>
              </w:rPr>
            </w:pPr>
          </w:p>
        </w:tc>
      </w:tr>
    </w:tbl>
    <w:p/>
    <w:p>
      <w:r>
        <w:rPr>
          <w:rFonts w:hint="eastAsia"/>
        </w:rPr>
        <w:t>4、公共</w:t>
      </w:r>
      <w:r>
        <w:t>资源交易中心</w:t>
      </w:r>
      <w:r>
        <w:rPr>
          <w:rFonts w:hint="eastAsia"/>
        </w:rPr>
        <w:t>工作</w:t>
      </w:r>
      <w:r>
        <w:t>经费（</w:t>
      </w:r>
      <w:r>
        <w:rPr>
          <w:rFonts w:hint="eastAsia"/>
        </w:rPr>
        <w:t>运转</w:t>
      </w:r>
      <w:r>
        <w:t>保障）</w:t>
      </w:r>
      <w:r>
        <w:rPr>
          <w:rFonts w:hint="eastAsia"/>
        </w:rPr>
        <w:t>绩效</w:t>
      </w:r>
      <w:r>
        <w:t>目标表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
        <w:gridCol w:w="619"/>
        <w:gridCol w:w="941"/>
        <w:gridCol w:w="1263"/>
        <w:gridCol w:w="1263"/>
        <w:gridCol w:w="539"/>
        <w:gridCol w:w="359"/>
        <w:gridCol w:w="860"/>
        <w:gridCol w:w="699"/>
        <w:gridCol w:w="1464"/>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0" w:type="auto"/>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continue"/>
            <w:vAlign w:val="center"/>
          </w:tcPr>
          <w:p>
            <w:pPr>
              <w:widowControl/>
              <w:jc w:val="left"/>
              <w:rPr>
                <w:rFonts w:ascii="Arial" w:hAnsi="Arial" w:eastAsia="宋体" w:cs="Arial"/>
                <w:color w:val="000000"/>
                <w:kern w:val="0"/>
                <w:sz w:val="36"/>
                <w:szCs w:val="36"/>
              </w:rPr>
            </w:pPr>
          </w:p>
        </w:tc>
        <w:tc>
          <w:tcPr>
            <w:tcW w:w="0" w:type="auto"/>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13062522P00456510145M</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公共资源交易中心工作经费</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0" w:type="auto"/>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0" w:type="auto"/>
            <w:gridSpan w:val="5"/>
            <w:shd w:val="clear" w:color="auto" w:fill="auto"/>
            <w:noWrap/>
          </w:tcPr>
          <w:p>
            <w:pPr>
              <w:widowControl/>
              <w:jc w:val="left"/>
              <w:rPr>
                <w:rFonts w:ascii="Arial" w:hAnsi="Arial" w:eastAsia="宋体" w:cs="Arial"/>
                <w:b/>
                <w:bCs/>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0" w:type="auto"/>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0" w:type="auto"/>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0" w:type="auto"/>
            <w:shd w:val="clear" w:color="auto" w:fill="auto"/>
            <w:noWrap/>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为群众提供更好地公共资源交易平台。</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协调各股室，保障公共资源各项工作有序进行。按相关要求，做好办公设施的维护。</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7</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计划于2022年3月支付25%，6月支付50%，9月支付75%，2022年11月底支付完毕。</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9</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设施设备运行维护次数</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设施设备运行维护次数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次</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设施设备运行维护完成合格率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设施设备运行维护完成合格率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95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设施设备运行维护完成及时率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设施设备运行维护完成及时率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95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0" w:type="auto"/>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项目预算控制数</w:t>
            </w:r>
          </w:p>
        </w:tc>
        <w:tc>
          <w:tcPr>
            <w:tcW w:w="0" w:type="auto"/>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项目支出控制在预算范围内</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31.5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万元</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社会稳定水平提升率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社会稳定水平提升率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15</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0" w:type="auto"/>
            <w:shd w:val="clear" w:color="auto" w:fill="auto"/>
            <w:noWrap/>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工作人员满意度</w:t>
            </w:r>
          </w:p>
        </w:tc>
        <w:tc>
          <w:tcPr>
            <w:tcW w:w="0" w:type="auto"/>
            <w:shd w:val="clear" w:color="auto" w:fill="auto"/>
            <w:noWrap/>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工作人员满意度</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工作需求</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指标完成率每下降1%，扣5%权重分</w:t>
            </w:r>
          </w:p>
        </w:tc>
        <w:tc>
          <w:tcPr>
            <w:tcW w:w="0" w:type="auto"/>
            <w:shd w:val="clear" w:color="auto" w:fill="auto"/>
            <w:noWrap/>
          </w:tcPr>
          <w:p>
            <w:pPr>
              <w:widowControl/>
              <w:jc w:val="left"/>
              <w:rPr>
                <w:rFonts w:ascii="宋体" w:hAnsi="宋体" w:eastAsia="宋体" w:cs="宋体"/>
                <w:kern w:val="0"/>
                <w:sz w:val="22"/>
              </w:rPr>
            </w:pPr>
          </w:p>
        </w:tc>
      </w:tr>
    </w:tbl>
    <w:p/>
    <w:p>
      <w:r>
        <w:rPr>
          <w:rFonts w:hint="eastAsia"/>
        </w:rPr>
        <w:t>5、政务</w:t>
      </w:r>
      <w:r>
        <w:t>服务中心</w:t>
      </w:r>
      <w:r>
        <w:rPr>
          <w:rFonts w:hint="eastAsia"/>
        </w:rPr>
        <w:t>工作</w:t>
      </w:r>
      <w:r>
        <w:t>经费（</w:t>
      </w:r>
      <w:r>
        <w:rPr>
          <w:rFonts w:hint="eastAsia"/>
        </w:rPr>
        <w:t>运转</w:t>
      </w:r>
      <w:r>
        <w:t>保障）</w:t>
      </w:r>
      <w:r>
        <w:rPr>
          <w:rFonts w:hint="eastAsia"/>
        </w:rPr>
        <w:t>绩效</w:t>
      </w:r>
      <w:r>
        <w:t>目标表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614"/>
        <w:gridCol w:w="932"/>
        <w:gridCol w:w="1250"/>
        <w:gridCol w:w="1250"/>
        <w:gridCol w:w="536"/>
        <w:gridCol w:w="397"/>
        <w:gridCol w:w="852"/>
        <w:gridCol w:w="693"/>
        <w:gridCol w:w="1484"/>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0" w:type="auto"/>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continue"/>
            <w:vAlign w:val="center"/>
          </w:tcPr>
          <w:p>
            <w:pPr>
              <w:widowControl/>
              <w:jc w:val="left"/>
              <w:rPr>
                <w:rFonts w:ascii="Arial" w:hAnsi="Arial" w:eastAsia="宋体" w:cs="Arial"/>
                <w:color w:val="000000"/>
                <w:kern w:val="0"/>
                <w:sz w:val="36"/>
                <w:szCs w:val="36"/>
              </w:rPr>
            </w:pPr>
          </w:p>
        </w:tc>
        <w:tc>
          <w:tcPr>
            <w:tcW w:w="0" w:type="auto"/>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13062522P004565101442</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政务服务中心工作经费</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0" w:type="auto"/>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0" w:type="auto"/>
            <w:gridSpan w:val="5"/>
            <w:shd w:val="clear" w:color="auto" w:fill="auto"/>
            <w:noWrap/>
          </w:tcPr>
          <w:p>
            <w:pPr>
              <w:widowControl/>
              <w:jc w:val="left"/>
              <w:rPr>
                <w:rFonts w:ascii="Arial" w:hAnsi="Arial" w:eastAsia="宋体" w:cs="Arial"/>
                <w:b/>
                <w:bCs/>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0" w:type="auto"/>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0" w:type="auto"/>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0" w:type="auto"/>
            <w:shd w:val="clear" w:color="auto" w:fill="auto"/>
            <w:noWrap/>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全力做好各项设备的维护，保障工作需求。</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群众少跑腿，干部多跑腿，一窗式办理、主动服务。实行一次受理，联合办件，减少工作环节和时间。</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7</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xml:space="preserve">计划于2022年3月支付25%，6月支付50%，9月支付75%，11月底支付完毕。 </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9</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设施设备运行维护次数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设施设备运行维护次数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次</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设施设备运行维护完成及时率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0" w:type="auto"/>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项目预算控制数</w:t>
            </w:r>
          </w:p>
        </w:tc>
        <w:tc>
          <w:tcPr>
            <w:tcW w:w="0" w:type="auto"/>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项目支出控制在预算范围内</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78.53</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万元</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0" w:type="auto"/>
            <w:shd w:val="clear" w:color="auto" w:fill="auto"/>
            <w:noWrap/>
          </w:tcPr>
          <w:p>
            <w:pPr>
              <w:widowControl/>
              <w:jc w:val="left"/>
              <w:rPr>
                <w:rFonts w:ascii="Calibri" w:hAnsi="Calibri" w:eastAsia="宋体" w:cs="Calibri"/>
                <w:color w:val="000000"/>
                <w:kern w:val="0"/>
                <w:sz w:val="22"/>
              </w:rPr>
            </w:pPr>
            <w:r>
              <w:rPr>
                <w:rFonts w:hint="eastAsia" w:ascii="微软雅黑" w:hAnsi="微软雅黑" w:eastAsia="微软雅黑" w:cs="Calibri"/>
                <w:color w:val="000000"/>
                <w:kern w:val="0"/>
                <w:sz w:val="22"/>
              </w:rPr>
              <w:t>社会稳定水平提升</w:t>
            </w:r>
            <w:r>
              <w:rPr>
                <w:rFonts w:hint="eastAsia" w:ascii="宋体" w:hAnsi="宋体" w:eastAsia="宋体" w:cs="Calibri"/>
                <w:color w:val="000000"/>
                <w:kern w:val="0"/>
                <w:sz w:val="22"/>
              </w:rPr>
              <w:t>率</w:t>
            </w:r>
          </w:p>
        </w:tc>
        <w:tc>
          <w:tcPr>
            <w:tcW w:w="0" w:type="auto"/>
            <w:shd w:val="clear" w:color="auto" w:fill="auto"/>
            <w:noWrap/>
          </w:tcPr>
          <w:p>
            <w:pPr>
              <w:widowControl/>
              <w:jc w:val="left"/>
              <w:rPr>
                <w:rFonts w:ascii="Calibri" w:hAnsi="Calibri" w:eastAsia="宋体" w:cs="Calibri"/>
                <w:color w:val="000000"/>
                <w:kern w:val="0"/>
                <w:sz w:val="22"/>
              </w:rPr>
            </w:pPr>
            <w:r>
              <w:rPr>
                <w:rFonts w:hint="eastAsia" w:ascii="微软雅黑" w:hAnsi="微软雅黑" w:eastAsia="微软雅黑" w:cs="Calibri"/>
                <w:color w:val="000000"/>
                <w:kern w:val="0"/>
                <w:sz w:val="22"/>
              </w:rPr>
              <w:t>社会稳定水平提升</w:t>
            </w:r>
            <w:r>
              <w:rPr>
                <w:rFonts w:hint="eastAsia" w:ascii="宋体" w:hAnsi="宋体" w:eastAsia="宋体" w:cs="Calibri"/>
                <w:color w:val="000000"/>
                <w:kern w:val="0"/>
                <w:sz w:val="22"/>
              </w:rPr>
              <w:t>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15</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bl>
    <w:p>
      <w:r>
        <w:rPr>
          <w:rFonts w:hint="eastAsia"/>
        </w:rPr>
        <w:t>6、企业公章免费刻制经费绩效</w:t>
      </w:r>
      <w:r>
        <w:t>目标表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
        <w:gridCol w:w="615"/>
        <w:gridCol w:w="934"/>
        <w:gridCol w:w="1253"/>
        <w:gridCol w:w="1253"/>
        <w:gridCol w:w="537"/>
        <w:gridCol w:w="378"/>
        <w:gridCol w:w="854"/>
        <w:gridCol w:w="695"/>
        <w:gridCol w:w="1488"/>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预算项目绩效表</w:t>
            </w:r>
          </w:p>
        </w:tc>
        <w:tc>
          <w:tcPr>
            <w:tcW w:w="0" w:type="auto"/>
            <w:shd w:val="clear" w:color="auto" w:fill="auto"/>
            <w:noWrap/>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10"/>
            <w:vMerge w:val="continue"/>
            <w:vAlign w:val="center"/>
          </w:tcPr>
          <w:p>
            <w:pPr>
              <w:widowControl/>
              <w:jc w:val="left"/>
              <w:rPr>
                <w:rFonts w:ascii="Arial" w:hAnsi="Arial" w:eastAsia="宋体" w:cs="Arial"/>
                <w:color w:val="000000"/>
                <w:kern w:val="0"/>
                <w:sz w:val="36"/>
                <w:szCs w:val="36"/>
              </w:rPr>
            </w:pPr>
          </w:p>
        </w:tc>
        <w:tc>
          <w:tcPr>
            <w:tcW w:w="0" w:type="auto"/>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项目编码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13062522P00456710510G</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项目名称</w:t>
            </w:r>
          </w:p>
        </w:tc>
        <w:tc>
          <w:tcPr>
            <w:tcW w:w="0" w:type="auto"/>
            <w:gridSpan w:val="4"/>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企业公章免费刻制经费</w:t>
            </w:r>
          </w:p>
        </w:tc>
        <w:tc>
          <w:tcPr>
            <w:tcW w:w="0" w:type="auto"/>
            <w:shd w:val="clear" w:color="auto" w:fill="auto"/>
            <w:noWrap/>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w:t>
            </w:r>
          </w:p>
        </w:tc>
        <w:tc>
          <w:tcPr>
            <w:tcW w:w="0" w:type="auto"/>
            <w:gridSpan w:val="2"/>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主管部门及代码</w:t>
            </w:r>
          </w:p>
        </w:tc>
        <w:tc>
          <w:tcPr>
            <w:tcW w:w="0" w:type="auto"/>
            <w:gridSpan w:val="2"/>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202-保定市徐水区行政审批局</w:t>
            </w:r>
          </w:p>
        </w:tc>
        <w:tc>
          <w:tcPr>
            <w:tcW w:w="0" w:type="auto"/>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实施单位</w:t>
            </w:r>
          </w:p>
        </w:tc>
        <w:tc>
          <w:tcPr>
            <w:tcW w:w="0" w:type="auto"/>
            <w:gridSpan w:val="4"/>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202001-保定市徐水区行政审批局本级</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3</w:t>
            </w:r>
          </w:p>
        </w:tc>
        <w:tc>
          <w:tcPr>
            <w:tcW w:w="0" w:type="auto"/>
            <w:gridSpan w:val="4"/>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项目绩效模板</w:t>
            </w:r>
          </w:p>
        </w:tc>
        <w:tc>
          <w:tcPr>
            <w:tcW w:w="0" w:type="auto"/>
            <w:gridSpan w:val="5"/>
            <w:shd w:val="clear" w:color="auto" w:fill="auto"/>
            <w:noWrap/>
          </w:tcPr>
          <w:p>
            <w:pPr>
              <w:widowControl/>
              <w:jc w:val="left"/>
              <w:rPr>
                <w:rFonts w:ascii="Arial" w:hAnsi="Arial" w:eastAsia="宋体" w:cs="Arial"/>
                <w:b/>
                <w:bCs/>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4</w:t>
            </w:r>
          </w:p>
        </w:tc>
        <w:tc>
          <w:tcPr>
            <w:tcW w:w="0" w:type="auto"/>
            <w:vMerge w:val="restart"/>
            <w:shd w:val="clear" w:color="auto" w:fill="auto"/>
            <w:noWrap/>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0" w:type="auto"/>
            <w:gridSpan w:val="8"/>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中长期目标（2022年-2022年）</w:t>
            </w:r>
          </w:p>
        </w:tc>
        <w:tc>
          <w:tcPr>
            <w:tcW w:w="0" w:type="auto"/>
            <w:shd w:val="clear" w:color="auto" w:fill="auto"/>
            <w:noWrap/>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5</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进一步降低企业开办成本，优化营商环境</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6</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用于支付企业公章免费刻制</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right"/>
              <w:rPr>
                <w:rFonts w:ascii="Calibri" w:hAnsi="Calibri" w:eastAsia="宋体" w:cs="Calibri"/>
                <w:color w:val="000000"/>
                <w:kern w:val="0"/>
                <w:sz w:val="22"/>
              </w:rPr>
            </w:pPr>
            <w:r>
              <w:rPr>
                <w:rFonts w:ascii="Calibri" w:hAnsi="Calibri" w:eastAsia="宋体" w:cs="Calibri"/>
                <w:color w:val="000000"/>
                <w:kern w:val="0"/>
                <w:sz w:val="22"/>
              </w:rPr>
              <w:t>7</w:t>
            </w:r>
          </w:p>
        </w:tc>
        <w:tc>
          <w:tcPr>
            <w:tcW w:w="0" w:type="auto"/>
            <w:vMerge w:val="continue"/>
            <w:vAlign w:val="center"/>
          </w:tcPr>
          <w:p>
            <w:pPr>
              <w:widowControl/>
              <w:jc w:val="left"/>
              <w:rPr>
                <w:rFonts w:ascii="Arial" w:hAnsi="Arial" w:eastAsia="宋体" w:cs="Arial"/>
                <w:b/>
                <w:bCs/>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0" w:type="auto"/>
            <w:gridSpan w:val="7"/>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每季度支出一次，预计2022年12月底支出完毕。</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8</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评（扣）分标准</w:t>
            </w: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Arial" w:hAnsi="Arial" w:eastAsia="宋体" w:cs="Arial"/>
                <w:kern w:val="0"/>
                <w:sz w:val="18"/>
                <w:szCs w:val="18"/>
              </w:rPr>
            </w:pPr>
            <w:r>
              <w:rPr>
                <w:rFonts w:ascii="Arial" w:hAnsi="Arial" w:eastAsia="宋体" w:cs="Arial"/>
                <w:kern w:val="0"/>
                <w:sz w:val="18"/>
                <w:szCs w:val="18"/>
              </w:rPr>
              <w:t>9</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0" w:type="auto"/>
            <w:vMerge w:val="continue"/>
            <w:vAlign w:val="center"/>
          </w:tcPr>
          <w:p>
            <w:pPr>
              <w:widowControl/>
              <w:jc w:val="left"/>
              <w:rPr>
                <w:rFonts w:ascii="Calibri" w:hAnsi="Calibri" w:eastAsia="宋体" w:cs="Calibri"/>
                <w:color w:val="000000"/>
                <w:kern w:val="0"/>
                <w:sz w:val="22"/>
              </w:rPr>
            </w:pP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企业公章免费刻制完成率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企业公章免费刻制完成数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2580</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户</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11</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企业公章免费刻制完成合格率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企业公章免费刻制完成合格率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12</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完成及时率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13</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项目预算控制数</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项目支出控制在预算范围内</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130</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万元</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14</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服务水平提升率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服务水平提升率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50</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15</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shd w:val="clear" w:color="auto" w:fill="auto"/>
            <w:noWrap/>
          </w:tcPr>
          <w:p>
            <w:pPr>
              <w:widowControl/>
              <w:jc w:val="left"/>
              <w:rPr>
                <w:rFonts w:ascii="宋体" w:hAnsi="宋体" w:eastAsia="宋体" w:cs="宋体"/>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16</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shd w:val="clear" w:color="auto" w:fill="auto"/>
            <w:noWrap/>
          </w:tcPr>
          <w:p>
            <w:pPr>
              <w:widowControl/>
              <w:jc w:val="left"/>
              <w:rPr>
                <w:rFonts w:ascii="宋体" w:hAnsi="宋体" w:eastAsia="宋体" w:cs="宋体"/>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17</w:t>
            </w:r>
          </w:p>
        </w:tc>
        <w:tc>
          <w:tcPr>
            <w:tcW w:w="0" w:type="auto"/>
            <w:vMerge w:val="continue"/>
            <w:vAlign w:val="center"/>
          </w:tcPr>
          <w:p>
            <w:pPr>
              <w:widowControl/>
              <w:jc w:val="left"/>
              <w:rPr>
                <w:rFonts w:ascii="Calibri" w:hAnsi="Calibri" w:eastAsia="宋体" w:cs="Calibri"/>
                <w:color w:val="000000"/>
                <w:kern w:val="0"/>
                <w:sz w:val="22"/>
              </w:rPr>
            </w:pP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shd w:val="clear" w:color="auto" w:fill="auto"/>
            <w:noWrap/>
          </w:tcPr>
          <w:p>
            <w:pPr>
              <w:widowControl/>
              <w:jc w:val="left"/>
              <w:rPr>
                <w:rFonts w:ascii="宋体" w:hAnsi="宋体" w:eastAsia="宋体" w:cs="宋体"/>
                <w:kern w:val="0"/>
                <w:sz w:val="22"/>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c>
          <w:tcPr>
            <w:tcW w:w="0" w:type="auto"/>
            <w:shd w:val="clear" w:color="auto" w:fill="auto"/>
            <w:noWrap/>
          </w:tcPr>
          <w:p>
            <w:pPr>
              <w:widowControl/>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18</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0" w:type="auto"/>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企业满意度</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企业满意度</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85</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工作需求</w:t>
            </w:r>
          </w:p>
        </w:tc>
        <w:tc>
          <w:tcPr>
            <w:tcW w:w="0" w:type="auto"/>
            <w:shd w:val="clear" w:color="auto" w:fill="auto"/>
            <w:noWrap/>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指标完成率每下降1%，扣5%权重分</w:t>
            </w:r>
          </w:p>
        </w:tc>
        <w:tc>
          <w:tcPr>
            <w:tcW w:w="0" w:type="auto"/>
            <w:shd w:val="clear" w:color="auto" w:fill="auto"/>
            <w:noWrap/>
          </w:tcPr>
          <w:p>
            <w:pPr>
              <w:widowControl/>
              <w:jc w:val="left"/>
              <w:rPr>
                <w:rFonts w:ascii="Calibri" w:hAnsi="Calibri" w:eastAsia="宋体" w:cs="Calibri"/>
                <w:color w:val="000000"/>
                <w:kern w:val="0"/>
                <w:sz w:val="22"/>
              </w:rPr>
            </w:pPr>
          </w:p>
        </w:tc>
      </w:tr>
    </w:tbl>
    <w:p/>
    <w:p>
      <w:pP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有政府采购预算的写</w:t>
      </w:r>
      <w:r>
        <w:rPr>
          <w:rFonts w:hint="eastAsia" w:ascii="仿宋" w:hAnsi="仿宋" w:eastAsia="仿宋"/>
          <w:sz w:val="32"/>
          <w:szCs w:val="32"/>
        </w:rPr>
        <w:t>：</w:t>
      </w: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安排政府采购预算</w:t>
      </w:r>
      <w:r>
        <w:rPr>
          <w:rFonts w:hint="eastAsia" w:ascii="仿宋" w:hAnsi="仿宋" w:eastAsia="仿宋"/>
          <w:sz w:val="32"/>
          <w:szCs w:val="32"/>
        </w:rPr>
        <w:t>1</w:t>
      </w:r>
      <w:r>
        <w:rPr>
          <w:rFonts w:ascii="仿宋" w:hAnsi="仿宋" w:eastAsia="仿宋"/>
          <w:sz w:val="32"/>
          <w:szCs w:val="32"/>
        </w:rPr>
        <w:t>73万元，具体内容见下表：</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附单位政府采购预算表</w:t>
      </w:r>
      <w:r>
        <w:rPr>
          <w:rFonts w:ascii="仿宋" w:hAnsi="仿宋" w:eastAsia="仿宋"/>
          <w:sz w:val="32"/>
          <w:szCs w:val="32"/>
        </w:rPr>
        <w:t>：</w:t>
      </w:r>
    </w:p>
    <w:p>
      <w:pPr>
        <w:outlineLvl w:val="0"/>
        <w:rPr>
          <w:rFonts w:ascii="方正小标宋_GBK" w:eastAsia="方正小标宋_GBK"/>
          <w:sz w:val="44"/>
        </w:rPr>
      </w:pPr>
    </w:p>
    <w:tbl>
      <w:tblPr>
        <w:tblStyle w:val="5"/>
        <w:tblW w:w="1404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0" w:name="RANGE!A1"/>
            <w:r>
              <w:rPr>
                <w:rFonts w:hint="eastAsia" w:ascii="宋体" w:hAnsi="宋体" w:eastAsia="宋体" w:cs="宋体"/>
                <w:color w:val="000000"/>
                <w:kern w:val="0"/>
                <w:sz w:val="32"/>
                <w:szCs w:val="32"/>
              </w:rPr>
              <w:t>单位政府采购预算</w:t>
            </w:r>
            <w:bookmarkEnd w:id="0"/>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保定市徐水区行政审批局</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70"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政府采购金额（当年部门预算安排资金）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DengXian"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DengXian"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DengXian"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DengXian"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DengXian"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单位资金</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r>
      <w:tr>
        <w:tblPrEx>
          <w:tblCellMar>
            <w:top w:w="0" w:type="dxa"/>
            <w:left w:w="108" w:type="dxa"/>
            <w:bottom w:w="0" w:type="dxa"/>
            <w:right w:w="108" w:type="dxa"/>
          </w:tblCellMar>
        </w:tblPrEx>
        <w:trPr>
          <w:trHeight w:val="7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企业公章免费刻制经费</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130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企业公章免费刻制服务费</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C99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户</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2600</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0.05</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130</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130</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b/>
                <w:bCs/>
                <w:color w:val="000000"/>
                <w:kern w:val="0"/>
                <w:szCs w:val="21"/>
              </w:rPr>
            </w:pPr>
            <w:r>
              <w:rPr>
                <w:rFonts w:ascii="Times New Roman" w:hAnsi="Times New Roman" w:eastAsia="DengXian" w:cs="Times New Roman"/>
                <w:b/>
                <w:bCs/>
                <w:color w:val="000000"/>
                <w:kern w:val="0"/>
                <w:szCs w:val="21"/>
              </w:rPr>
              <w:t>　</w:t>
            </w:r>
          </w:p>
        </w:tc>
      </w:tr>
      <w:tr>
        <w:tblPrEx>
          <w:tblCellMar>
            <w:top w:w="0" w:type="dxa"/>
            <w:left w:w="108" w:type="dxa"/>
            <w:bottom w:w="0" w:type="dxa"/>
            <w:right w:w="108" w:type="dxa"/>
          </w:tblCellMar>
        </w:tblPrEx>
        <w:trPr>
          <w:trHeight w:val="10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“环评”审批事项专家评估费用</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43</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环评审批事项专家评估费用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C99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40</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1.075</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43</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43</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DengXian" w:cs="Times New Roman"/>
                <w:color w:val="000000"/>
                <w:kern w:val="0"/>
                <w:szCs w:val="21"/>
              </w:rPr>
            </w:pPr>
            <w:r>
              <w:rPr>
                <w:rFonts w:ascii="Times New Roman" w:hAnsi="Times New Roman" w:eastAsia="DengXian" w:cs="Times New Roman"/>
                <w:color w:val="000000"/>
                <w:kern w:val="0"/>
                <w:szCs w:val="21"/>
              </w:rPr>
              <w:t>　</w:t>
            </w:r>
          </w:p>
        </w:tc>
      </w:tr>
    </w:tbl>
    <w:p>
      <w:pPr>
        <w:spacing w:line="360" w:lineRule="auto"/>
        <w:rPr>
          <w:rFonts w:ascii="仿宋" w:hAnsi="仿宋" w:eastAsia="仿宋"/>
          <w:sz w:val="32"/>
          <w:szCs w:val="32"/>
        </w:rPr>
        <w:sectPr>
          <w:footerReference r:id="rId4" w:type="default"/>
          <w:pgSz w:w="16838" w:h="11906" w:orient="landscape"/>
          <w:pgMar w:top="1800" w:right="1440" w:bottom="1800" w:left="1440" w:header="851" w:footer="992" w:gutter="0"/>
          <w:cols w:space="425" w:num="1"/>
          <w:docGrid w:type="lines" w:linePitch="312" w:charSpace="0"/>
        </w:sectPr>
      </w:pPr>
    </w:p>
    <w:p>
      <w:pPr>
        <w:tabs>
          <w:tab w:val="left" w:pos="3150"/>
        </w:tabs>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上年末我单位固定资产总金额为312.04万元（详见下表）。</w:t>
      </w:r>
      <w:r>
        <w:rPr>
          <w:rFonts w:ascii="仿宋" w:hAnsi="仿宋" w:eastAsia="仿宋"/>
          <w:sz w:val="32"/>
          <w:szCs w:val="32"/>
        </w:rPr>
        <w:t xml:space="preserve"> 本年度拟购置固定资产总额为10万元，已列入政府采购预算，详见政府采购预算表。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本年度无拟购置固定资产的写：我单位本年度无国有资产购置计划，拟购置金额为0万元</w:t>
      </w:r>
      <w:r>
        <w:rPr>
          <w:rFonts w:ascii="仿宋" w:hAnsi="仿宋" w:eastAsia="仿宋"/>
          <w:sz w:val="32"/>
          <w:szCs w:val="32"/>
        </w:rPr>
        <w:t>。</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312</w:t>
            </w:r>
            <w:r>
              <w:rPr>
                <w:rFonts w:hint="eastAsia" w:ascii="仿宋_GB2312" w:hAnsi="仿宋" w:eastAsia="仿宋_GB2312" w:cs="宋体"/>
                <w:b/>
                <w:kern w:val="0"/>
                <w:sz w:val="24"/>
                <w:szCs w:val="24"/>
              </w:rPr>
              <w:t>．</w:t>
            </w:r>
            <w:r>
              <w:rPr>
                <w:rFonts w:ascii="仿宋_GB2312" w:hAnsi="仿宋" w:eastAsia="仿宋_GB2312" w:cs="宋体"/>
                <w:b/>
                <w:kern w:val="0"/>
                <w:sz w:val="24"/>
                <w:szCs w:val="24"/>
              </w:rPr>
              <w:t>04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4.83</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307.21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243290"/>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A785B"/>
    <w:multiLevelType w:val="multilevel"/>
    <w:tmpl w:val="378A785B"/>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ODBhZGNlNWRhMmZjODA5N2Q3NGI3YmQ1NzZkZGIifQ=="/>
  </w:docVars>
  <w:rsids>
    <w:rsidRoot w:val="00055F1F"/>
    <w:rsid w:val="0001397E"/>
    <w:rsid w:val="00013B8A"/>
    <w:rsid w:val="00015E3A"/>
    <w:rsid w:val="00044FBC"/>
    <w:rsid w:val="00055F1F"/>
    <w:rsid w:val="000577EF"/>
    <w:rsid w:val="00057F18"/>
    <w:rsid w:val="000A445D"/>
    <w:rsid w:val="000C178B"/>
    <w:rsid w:val="000E6A1A"/>
    <w:rsid w:val="001131DA"/>
    <w:rsid w:val="00131DEC"/>
    <w:rsid w:val="00136AB3"/>
    <w:rsid w:val="001462BD"/>
    <w:rsid w:val="00152380"/>
    <w:rsid w:val="001638BE"/>
    <w:rsid w:val="00164810"/>
    <w:rsid w:val="0017044C"/>
    <w:rsid w:val="00172C7A"/>
    <w:rsid w:val="00181777"/>
    <w:rsid w:val="001B4688"/>
    <w:rsid w:val="001B6235"/>
    <w:rsid w:val="001F4875"/>
    <w:rsid w:val="00212335"/>
    <w:rsid w:val="00265D0F"/>
    <w:rsid w:val="002918C6"/>
    <w:rsid w:val="00291EF3"/>
    <w:rsid w:val="00292D38"/>
    <w:rsid w:val="00296524"/>
    <w:rsid w:val="002C156B"/>
    <w:rsid w:val="002E01F6"/>
    <w:rsid w:val="002F1ACB"/>
    <w:rsid w:val="002F530F"/>
    <w:rsid w:val="00305E97"/>
    <w:rsid w:val="00310532"/>
    <w:rsid w:val="0032782B"/>
    <w:rsid w:val="003377DC"/>
    <w:rsid w:val="00340B3D"/>
    <w:rsid w:val="0034253A"/>
    <w:rsid w:val="003669CF"/>
    <w:rsid w:val="00367A30"/>
    <w:rsid w:val="003A06D2"/>
    <w:rsid w:val="003A4557"/>
    <w:rsid w:val="003A6366"/>
    <w:rsid w:val="003B095B"/>
    <w:rsid w:val="003C2317"/>
    <w:rsid w:val="003C442E"/>
    <w:rsid w:val="003D1092"/>
    <w:rsid w:val="003D37CD"/>
    <w:rsid w:val="003E5531"/>
    <w:rsid w:val="003E555C"/>
    <w:rsid w:val="003E6AF3"/>
    <w:rsid w:val="0040243C"/>
    <w:rsid w:val="00406BD1"/>
    <w:rsid w:val="00426C19"/>
    <w:rsid w:val="00447FB9"/>
    <w:rsid w:val="00450FD9"/>
    <w:rsid w:val="00453CE0"/>
    <w:rsid w:val="00470736"/>
    <w:rsid w:val="00470BBB"/>
    <w:rsid w:val="0048611E"/>
    <w:rsid w:val="004B6929"/>
    <w:rsid w:val="004C101A"/>
    <w:rsid w:val="004E2F43"/>
    <w:rsid w:val="004E3572"/>
    <w:rsid w:val="004F3C52"/>
    <w:rsid w:val="00510A1E"/>
    <w:rsid w:val="005158E2"/>
    <w:rsid w:val="0052085A"/>
    <w:rsid w:val="0052406F"/>
    <w:rsid w:val="00524204"/>
    <w:rsid w:val="00550049"/>
    <w:rsid w:val="00553F7E"/>
    <w:rsid w:val="00570142"/>
    <w:rsid w:val="00573DD0"/>
    <w:rsid w:val="00586C35"/>
    <w:rsid w:val="00586C5A"/>
    <w:rsid w:val="005B1B6F"/>
    <w:rsid w:val="005B6CCB"/>
    <w:rsid w:val="005C54AA"/>
    <w:rsid w:val="005C7B89"/>
    <w:rsid w:val="005D730A"/>
    <w:rsid w:val="0062788A"/>
    <w:rsid w:val="006304BC"/>
    <w:rsid w:val="00641F8A"/>
    <w:rsid w:val="0066383B"/>
    <w:rsid w:val="0066424F"/>
    <w:rsid w:val="006A6FA2"/>
    <w:rsid w:val="006B5117"/>
    <w:rsid w:val="006C62DF"/>
    <w:rsid w:val="006D2B40"/>
    <w:rsid w:val="006D5A61"/>
    <w:rsid w:val="006F5104"/>
    <w:rsid w:val="006F6549"/>
    <w:rsid w:val="00735B02"/>
    <w:rsid w:val="007657C8"/>
    <w:rsid w:val="00767A77"/>
    <w:rsid w:val="00771E49"/>
    <w:rsid w:val="00780F7A"/>
    <w:rsid w:val="00782208"/>
    <w:rsid w:val="00787D37"/>
    <w:rsid w:val="00791938"/>
    <w:rsid w:val="007A5999"/>
    <w:rsid w:val="007B30CF"/>
    <w:rsid w:val="007C7FD7"/>
    <w:rsid w:val="007E4BF3"/>
    <w:rsid w:val="007F3746"/>
    <w:rsid w:val="00803080"/>
    <w:rsid w:val="00833132"/>
    <w:rsid w:val="00843865"/>
    <w:rsid w:val="00845C67"/>
    <w:rsid w:val="00852F67"/>
    <w:rsid w:val="0086454E"/>
    <w:rsid w:val="008672EA"/>
    <w:rsid w:val="00891680"/>
    <w:rsid w:val="008A0099"/>
    <w:rsid w:val="008A0B5F"/>
    <w:rsid w:val="008B19F3"/>
    <w:rsid w:val="008B5402"/>
    <w:rsid w:val="008D11BC"/>
    <w:rsid w:val="008F4355"/>
    <w:rsid w:val="0090527E"/>
    <w:rsid w:val="00905BB7"/>
    <w:rsid w:val="0090620C"/>
    <w:rsid w:val="00912DA4"/>
    <w:rsid w:val="00926D42"/>
    <w:rsid w:val="009302B8"/>
    <w:rsid w:val="0093045F"/>
    <w:rsid w:val="009305C6"/>
    <w:rsid w:val="009752AE"/>
    <w:rsid w:val="00982F3D"/>
    <w:rsid w:val="00983232"/>
    <w:rsid w:val="00985130"/>
    <w:rsid w:val="009A278A"/>
    <w:rsid w:val="009B6368"/>
    <w:rsid w:val="009F63C4"/>
    <w:rsid w:val="00A16957"/>
    <w:rsid w:val="00A53B2E"/>
    <w:rsid w:val="00A6155C"/>
    <w:rsid w:val="00A8079E"/>
    <w:rsid w:val="00A8252D"/>
    <w:rsid w:val="00A90328"/>
    <w:rsid w:val="00A92D66"/>
    <w:rsid w:val="00AA4262"/>
    <w:rsid w:val="00AB5A90"/>
    <w:rsid w:val="00AB7449"/>
    <w:rsid w:val="00AE4AA5"/>
    <w:rsid w:val="00AE7FA9"/>
    <w:rsid w:val="00B147EB"/>
    <w:rsid w:val="00B22155"/>
    <w:rsid w:val="00B54B5C"/>
    <w:rsid w:val="00B61313"/>
    <w:rsid w:val="00B76AA9"/>
    <w:rsid w:val="00B80FAB"/>
    <w:rsid w:val="00B81C88"/>
    <w:rsid w:val="00BA5C83"/>
    <w:rsid w:val="00BC6A7D"/>
    <w:rsid w:val="00BD4829"/>
    <w:rsid w:val="00BD6002"/>
    <w:rsid w:val="00BD719F"/>
    <w:rsid w:val="00BF5442"/>
    <w:rsid w:val="00C1488C"/>
    <w:rsid w:val="00C177A5"/>
    <w:rsid w:val="00C3560D"/>
    <w:rsid w:val="00C35FEE"/>
    <w:rsid w:val="00C50535"/>
    <w:rsid w:val="00C56B89"/>
    <w:rsid w:val="00C6153C"/>
    <w:rsid w:val="00C906EF"/>
    <w:rsid w:val="00CC7D74"/>
    <w:rsid w:val="00D02F97"/>
    <w:rsid w:val="00D1478E"/>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8145B"/>
    <w:rsid w:val="00E83EE8"/>
    <w:rsid w:val="00E90DA6"/>
    <w:rsid w:val="00E96342"/>
    <w:rsid w:val="00EA2FEA"/>
    <w:rsid w:val="00EA56CB"/>
    <w:rsid w:val="00EA7853"/>
    <w:rsid w:val="00EB39B4"/>
    <w:rsid w:val="00F000B1"/>
    <w:rsid w:val="00F012D3"/>
    <w:rsid w:val="00F044C3"/>
    <w:rsid w:val="00F10D04"/>
    <w:rsid w:val="00F169E3"/>
    <w:rsid w:val="00F35D4B"/>
    <w:rsid w:val="00F3746B"/>
    <w:rsid w:val="00F572CB"/>
    <w:rsid w:val="00F621AF"/>
    <w:rsid w:val="00F8024E"/>
    <w:rsid w:val="00F82447"/>
    <w:rsid w:val="00F868E5"/>
    <w:rsid w:val="00FB2F32"/>
    <w:rsid w:val="00FC0FDC"/>
    <w:rsid w:val="00FC3191"/>
    <w:rsid w:val="00FE0F1F"/>
    <w:rsid w:val="00FF61F3"/>
    <w:rsid w:val="00FF74E4"/>
    <w:rsid w:val="0A214432"/>
    <w:rsid w:val="2773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uiPriority w:val="99"/>
    <w:pPr>
      <w:ind w:firstLine="420" w:firstLineChars="200"/>
    </w:pPr>
  </w:style>
  <w:style w:type="paragraph" w:customStyle="1" w:styleId="11">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9531-2236-48C1-9DE6-31DBAF6E4C3C}">
  <ds:schemaRefs/>
</ds:datastoreItem>
</file>

<file path=docProps/app.xml><?xml version="1.0" encoding="utf-8"?>
<Properties xmlns="http://schemas.openxmlformats.org/officeDocument/2006/extended-properties" xmlns:vt="http://schemas.openxmlformats.org/officeDocument/2006/docPropsVTypes">
  <Template>Normal</Template>
  <Pages>20</Pages>
  <Words>6413</Words>
  <Characters>7009</Characters>
  <Lines>58</Lines>
  <Paragraphs>16</Paragraphs>
  <TotalTime>32</TotalTime>
  <ScaleCrop>false</ScaleCrop>
  <LinksUpToDate>false</LinksUpToDate>
  <CharactersWithSpaces>7110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2022-07-21T01:35:00Z</dcterms:created>
  <dc:creator>Windows 用户</dc:creator>
  <cp:lastModifiedBy>Administrator</cp:lastModifiedBy>
  <cp:lastPrinted>2021-04-14T02:06:00Z</cp:lastPrinted>
  <dcterms:modified xsi:type="dcterms:W3CDTF">2024-06-05T02:50:04Z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76EAFEA3433E47EF9BBEB116C4FC5C2C</vt:lpwstr>
  </property>
</Properties>
</file>