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保定市徐水区行政审批局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w:t>
      </w:r>
      <w:r>
        <w:rPr>
          <w:rFonts w:ascii="宋体" w:hAnsi="宋体" w:eastAsia="宋体"/>
          <w:b/>
          <w:sz w:val="44"/>
          <w:szCs w:val="44"/>
        </w:rPr>
        <w:t>本级预算公开说明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eastAsia="方正仿宋_GBK"/>
          <w:sz w:val="28"/>
        </w:rPr>
      </w:pPr>
      <w:r>
        <w:rPr>
          <w:rFonts w:ascii="Times New Roman" w:eastAsia="方正仿宋_GBK"/>
          <w:sz w:val="28"/>
        </w:rPr>
        <w:t>根据《保定市徐水区行政审批局职能配置、内设机构和人员编制规定》（徐办字[2019]23号）规定，保定市徐水区行政审批局主要职责是：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spacing w:line="500" w:lineRule="exact"/>
        <w:ind w:firstLine="560" w:firstLineChars="200"/>
        <w:jc w:val="left"/>
        <w:rPr>
          <w:rFonts w:ascii="Times New Roman" w:eastAsia="方正仿宋_GBK"/>
          <w:sz w:val="28"/>
        </w:rPr>
      </w:pPr>
      <w:r>
        <w:rPr>
          <w:rFonts w:ascii="Times New Roman" w:eastAsia="方正仿宋_GBK"/>
          <w:sz w:val="28"/>
        </w:rPr>
        <w:t>（二）贯彻执行国家、省、市“放管服”改革、行政审批制度改革、政务服务管理、公共资源交易、社会信用体系建设有关方针政策和法律法规。起草有关政府规章，制定有关政策，协调指导并监督实施。</w:t>
      </w:r>
    </w:p>
    <w:p>
      <w:pPr>
        <w:spacing w:line="500" w:lineRule="exact"/>
        <w:ind w:firstLine="560" w:firstLineChars="200"/>
        <w:jc w:val="left"/>
        <w:rPr>
          <w:rFonts w:ascii="Times New Roman" w:eastAsia="方正仿宋_GBK"/>
          <w:sz w:val="28"/>
        </w:rPr>
      </w:pPr>
      <w:r>
        <w:rPr>
          <w:rFonts w:ascii="Times New Roman" w:eastAsia="方正仿宋_GBK"/>
          <w:sz w:val="28"/>
        </w:rPr>
        <w:t>（三）组织协调全区“放管服”改革工作，指导、督促贯彻落实国家、省、市关于“放管服”改革重要领域、关键环节重大政策措施，承担区推进政府职能转变和“放管服”改革协调小组的日常工作。</w:t>
      </w:r>
    </w:p>
    <w:p>
      <w:pPr>
        <w:spacing w:line="500" w:lineRule="exact"/>
        <w:ind w:firstLine="560" w:firstLineChars="200"/>
        <w:jc w:val="left"/>
        <w:rPr>
          <w:rFonts w:ascii="Times New Roman" w:eastAsia="方正仿宋_GBK"/>
          <w:sz w:val="28"/>
        </w:rPr>
      </w:pPr>
      <w:r>
        <w:rPr>
          <w:rFonts w:ascii="Times New Roman" w:eastAsia="方正仿宋_GBK"/>
          <w:sz w:val="28"/>
        </w:rPr>
        <w:t>（四）负责投资项目、企业注册、市场服务、公共事务、文教卫体、社会事务、住建交通、城市管理、农林</w:t>
      </w:r>
      <w:r>
        <w:rPr>
          <w:rFonts w:hint="eastAsia" w:ascii="Times New Roman" w:eastAsia="方正仿宋_GBK"/>
          <w:sz w:val="28"/>
          <w:lang w:eastAsia="zh-CN"/>
        </w:rPr>
        <w:t>蓄</w:t>
      </w:r>
      <w:bookmarkStart w:id="6" w:name="_GoBack"/>
      <w:bookmarkEnd w:id="6"/>
      <w:r>
        <w:rPr>
          <w:rFonts w:ascii="Times New Roman" w:eastAsia="方正仿宋_GBK"/>
          <w:sz w:val="28"/>
        </w:rPr>
        <w:t>水、经贸商务等方面行政审批事项的办理及相关行政性收费，并承担相应的法律责任。</w:t>
      </w:r>
    </w:p>
    <w:p>
      <w:pPr>
        <w:spacing w:line="500" w:lineRule="exact"/>
        <w:ind w:firstLine="560" w:firstLineChars="200"/>
        <w:jc w:val="left"/>
        <w:rPr>
          <w:rFonts w:ascii="Times New Roman" w:eastAsia="方正仿宋_GBK"/>
          <w:sz w:val="28"/>
        </w:rPr>
      </w:pPr>
      <w:r>
        <w:rPr>
          <w:rFonts w:ascii="Times New Roman" w:eastAsia="方正仿宋_GBK"/>
          <w:sz w:val="28"/>
        </w:rP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spacing w:line="500" w:lineRule="exact"/>
        <w:ind w:firstLine="560" w:firstLineChars="200"/>
        <w:jc w:val="left"/>
        <w:rPr>
          <w:rFonts w:ascii="Times New Roman" w:eastAsia="方正仿宋_GBK"/>
          <w:sz w:val="28"/>
        </w:rPr>
      </w:pPr>
      <w:r>
        <w:rPr>
          <w:rFonts w:ascii="Times New Roman" w:eastAsia="方正仿宋_GBK"/>
          <w:sz w:val="28"/>
        </w:rP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spacing w:line="500" w:lineRule="exact"/>
        <w:ind w:firstLine="560" w:firstLineChars="200"/>
        <w:jc w:val="left"/>
        <w:rPr>
          <w:rFonts w:ascii="Times New Roman" w:eastAsia="方正仿宋_GBK"/>
          <w:sz w:val="28"/>
        </w:rPr>
      </w:pPr>
      <w:r>
        <w:rPr>
          <w:rFonts w:ascii="Times New Roman" w:eastAsia="方正仿宋_GBK"/>
          <w:sz w:val="28"/>
        </w:rP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spacing w:line="500" w:lineRule="exact"/>
        <w:ind w:firstLine="560" w:firstLineChars="200"/>
        <w:jc w:val="left"/>
        <w:rPr>
          <w:rFonts w:ascii="Times New Roman" w:eastAsia="方正仿宋_GBK"/>
          <w:sz w:val="28"/>
        </w:rPr>
      </w:pPr>
      <w:r>
        <w:rPr>
          <w:rFonts w:ascii="Times New Roman" w:eastAsia="方正仿宋_GBK"/>
          <w:sz w:val="28"/>
        </w:rP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spacing w:line="500" w:lineRule="exact"/>
        <w:ind w:firstLine="560" w:firstLineChars="200"/>
        <w:jc w:val="left"/>
        <w:rPr>
          <w:rFonts w:ascii="Times New Roman" w:eastAsia="方正仿宋_GBK"/>
          <w:sz w:val="28"/>
        </w:rPr>
      </w:pPr>
      <w:r>
        <w:rPr>
          <w:rFonts w:ascii="Times New Roman" w:eastAsia="方正仿宋_GBK"/>
          <w:sz w:val="28"/>
        </w:rP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spacing w:line="500" w:lineRule="exact"/>
        <w:ind w:firstLine="560" w:firstLineChars="200"/>
        <w:jc w:val="left"/>
        <w:rPr>
          <w:rFonts w:ascii="Times New Roman" w:eastAsia="方正仿宋_GBK"/>
          <w:sz w:val="28"/>
        </w:rPr>
      </w:pPr>
      <w:r>
        <w:rPr>
          <w:rFonts w:ascii="Times New Roman" w:eastAsia="方正仿宋_GBK"/>
          <w:sz w:val="28"/>
        </w:rP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spacing w:line="360" w:lineRule="auto"/>
        <w:ind w:firstLine="560" w:firstLineChars="200"/>
        <w:rPr>
          <w:rFonts w:ascii="Times New Roman" w:eastAsia="方正仿宋_GBK"/>
          <w:sz w:val="28"/>
        </w:rPr>
      </w:pPr>
      <w:r>
        <w:rPr>
          <w:rFonts w:ascii="Times New Roman" w:eastAsia="方正仿宋_GBK"/>
          <w:sz w:val="28"/>
        </w:rPr>
        <w:t>（十一）承办区政府交办的其他工作。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w:t>
            </w:r>
            <w:r>
              <w:rPr>
                <w:rFonts w:hint="eastAsia" w:ascii="仿宋_GB2312" w:hAnsi="仿宋" w:eastAsia="仿宋_GB2312"/>
                <w:bCs/>
                <w:sz w:val="24"/>
                <w:szCs w:val="24"/>
              </w:rPr>
              <w:t>徐</w:t>
            </w:r>
            <w:r>
              <w:rPr>
                <w:rFonts w:ascii="仿宋_GB2312" w:hAnsi="仿宋" w:eastAsia="仿宋_GB2312"/>
                <w:bCs/>
                <w:sz w:val="24"/>
                <w:szCs w:val="24"/>
              </w:rPr>
              <w:t>水区行政审批局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市徐水区政务服务中心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2021年预算收入为504.79万元,其中：一般公共预算收入504.79万元，基金预算收入0万元，财政专户收入0万元，其他来源收入0万元。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支出预算：504.79万元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44.56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其中：人员经费210.35万元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日常公用经费34.21万元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260.23万元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其中：本级支出260.23万元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w:t>
      </w:r>
      <w:r>
        <w:rPr>
          <w:rFonts w:ascii="仿宋" w:hAnsi="仿宋" w:eastAsia="仿宋"/>
          <w:sz w:val="32"/>
          <w:szCs w:val="32"/>
        </w:rPr>
        <w:t>04.79</w:t>
      </w:r>
      <w:r>
        <w:rPr>
          <w:rFonts w:hint="eastAsia" w:ascii="仿宋" w:hAnsi="仿宋" w:eastAsia="仿宋"/>
          <w:sz w:val="32"/>
          <w:szCs w:val="32"/>
        </w:rPr>
        <w:t>万元，较上年增加</w:t>
      </w:r>
      <w:r>
        <w:rPr>
          <w:rFonts w:ascii="仿宋" w:hAnsi="仿宋" w:eastAsia="仿宋"/>
          <w:sz w:val="32"/>
          <w:szCs w:val="32"/>
        </w:rPr>
        <w:t>57.46万元。其中:基本支出减少22.34万元，主要原因是</w:t>
      </w:r>
      <w:r>
        <w:rPr>
          <w:rFonts w:hint="eastAsia" w:ascii="仿宋" w:hAnsi="仿宋" w:eastAsia="仿宋"/>
          <w:sz w:val="32"/>
          <w:szCs w:val="32"/>
        </w:rPr>
        <w:t>人员减少</w:t>
      </w:r>
      <w:r>
        <w:rPr>
          <w:rFonts w:ascii="仿宋" w:hAnsi="仿宋" w:eastAsia="仿宋"/>
          <w:sz w:val="32"/>
          <w:szCs w:val="32"/>
        </w:rPr>
        <w:t>；项目支出增加79.8万元，主要原因是2021</w:t>
      </w:r>
      <w:r>
        <w:rPr>
          <w:rFonts w:hint="eastAsia" w:ascii="仿宋" w:hAnsi="仿宋" w:eastAsia="仿宋"/>
          <w:sz w:val="32"/>
          <w:szCs w:val="32"/>
        </w:rPr>
        <w:t>年</w:t>
      </w:r>
      <w:r>
        <w:rPr>
          <w:rFonts w:ascii="仿宋" w:hAnsi="仿宋" w:eastAsia="仿宋"/>
          <w:sz w:val="32"/>
          <w:szCs w:val="32"/>
        </w:rPr>
        <w:t>增加</w:t>
      </w:r>
      <w:r>
        <w:rPr>
          <w:rFonts w:hint="eastAsia" w:ascii="仿宋" w:hAnsi="仿宋" w:eastAsia="仿宋"/>
          <w:sz w:val="32"/>
          <w:szCs w:val="32"/>
        </w:rPr>
        <w:t>“环评”审批事项专家评估费用和辅助人员费用</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机关运行经费安排34.21万元，其中办公费11.16万元，邮电费6.42万元，工会经费、福利费6.65万元，公务用车运行维护费2.7万元</w:t>
      </w:r>
      <w:r>
        <w:rPr>
          <w:rFonts w:hint="eastAsia" w:ascii="仿宋" w:hAnsi="仿宋" w:eastAsia="仿宋"/>
          <w:sz w:val="32"/>
          <w:szCs w:val="32"/>
        </w:rPr>
        <w:t>，</w:t>
      </w:r>
      <w:r>
        <w:rPr>
          <w:rFonts w:ascii="仿宋" w:hAnsi="仿宋" w:eastAsia="仿宋"/>
          <w:sz w:val="32"/>
          <w:szCs w:val="32"/>
        </w:rPr>
        <w:t>其他支出7.</w:t>
      </w:r>
      <w:r>
        <w:rPr>
          <w:rFonts w:hint="eastAsia" w:ascii="仿宋" w:hAnsi="仿宋" w:eastAsia="仿宋"/>
          <w:sz w:val="32"/>
          <w:szCs w:val="32"/>
        </w:rPr>
        <w:t>36</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政务服务”工作，构建全区一体化政务服务平台，加强事项监管，强化效能监督，完善综合业务、事务管理，推动政务服务提</w:t>
      </w:r>
      <w:r>
        <w:rPr>
          <w:rFonts w:hint="eastAsia" w:ascii="仿宋" w:hAnsi="仿宋" w:eastAsia="仿宋"/>
          <w:sz w:val="32"/>
          <w:szCs w:val="32"/>
        </w:rPr>
        <w:t>档升级再加速，为构筑市场化、法治化、国际化营商环境提供强大动力。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（一）优化集中行使行政审批权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绩效目标：依法履行相关行政许可职责，集中行使行政审批权，并根据实际情况做出调整。对划入的行政审批事项进行流程再造、环节优化。</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绩效指标：协调组织应划转审批项目，应划转事项划转率达到90%以上；优化行政审批事项，划入的行政审批事项优化率达到90%以上。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（二）持续深化“放管服”改革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组织协调全区推进政府职能转变和“放管服”改革工作；督导全区各有关部门贯彻落实党中央、国务院和省委、省政府关于深化“放管服”改革的各项决策部署，聚焦社会关注、企业关切、群众关心的堵点、痛点、难点问题，深化改革、完善工作，为全区优化营商环境做出积极贡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绩效指标：协调推动“放管服”改革工作，各项改革任务完成情况达到</w:t>
      </w:r>
      <w:r>
        <w:rPr>
          <w:rFonts w:ascii="仿宋" w:hAnsi="仿宋" w:eastAsia="仿宋"/>
          <w:sz w:val="32"/>
          <w:szCs w:val="32"/>
        </w:rPr>
        <w:t>90%以上；扎实开展“放管服”改革专项调研和督查工作，调研指导和督查工作完成情况达到90%以上。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（三）优化办理行政审批事项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绩效目标：优化投资项目、企业注册、市场服务、公共事务、文教卫体、社会事务、住建交通、城市管理、农林畜水、经贸商务等方面行政审批事项办理流程及相关行政性收费。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绩效指标：提升行政审批事项办理效率，优化办理环节，实现“群众少跑腿、干部多跑腿”，加快“一次办结”进程，收件办结率达到</w:t>
      </w:r>
      <w:r>
        <w:rPr>
          <w:rFonts w:ascii="仿宋" w:hAnsi="仿宋" w:eastAsia="仿宋"/>
          <w:sz w:val="32"/>
          <w:szCs w:val="32"/>
        </w:rPr>
        <w:t>95%以上。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（四）政务服务管理水平全面提升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政务服务事项，优化政务服务流程，提升政务服务效能，加强对单位进驻、事项办理、流程优化、网上运行的监督管理，推进政务服务阳光规范运行；全区乡镇（街道）综合（便民）服务中心、农村（社区）综合服务站实现全覆盖，乡镇便民服务设施更加齐全，服务内容持续完善，服务质量和水平不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绩效指标：政务服务功能完善，贯彻落实政务服务工作，创新和完善相关工作体制，政务服务有创新举措，效果明显；政务服务事项实现“应驻尽驻”；全区各乡镇（街道）综合（便民）服务中心覆盖率达到</w:t>
      </w:r>
      <w:r>
        <w:rPr>
          <w:rFonts w:ascii="仿宋" w:hAnsi="仿宋" w:eastAsia="仿宋"/>
          <w:sz w:val="32"/>
          <w:szCs w:val="32"/>
        </w:rPr>
        <w:t>100%，各农村（社区）综合服务站覆盖率达到100%。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（五）公共资源交易平台服务水平显著提高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全区并监督省本级公共资源交易项目进场交易，推动建设、管理全区统一的公共资源交易电子服务系统，受理和处理对区公共资源交易中心及其工作人员的投诉，监督区本级交易项目场内交易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绩效指标：持续推进公共资源平台服务水平，升级通用项目管理系统，积极推动电子化交易全面实施及时更新升级，让交易平台运行顺畅；推进应进必进，推行“四零服务”，使交易项目进场率及投诉答复率达到</w:t>
      </w:r>
      <w:r>
        <w:rPr>
          <w:rFonts w:ascii="仿宋" w:hAnsi="仿宋" w:eastAsia="仿宋"/>
          <w:sz w:val="32"/>
          <w:szCs w:val="32"/>
        </w:rPr>
        <w:t>80%以上，促进服务质量和效率不断提升。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（六）社会信用体系建设水平全面提升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绩效目标：加快推进全区社会信用体系建设工作，完善社会信用信息共享平台建设，加强信用信息归集，实现全区信用信息共享，建立健全联合奖惩机制。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绩效指标：建设覆盖全区范围内的社会信用信息共享平台，平台覆盖率超过</w:t>
      </w:r>
      <w:r>
        <w:rPr>
          <w:rFonts w:ascii="仿宋" w:hAnsi="仿宋" w:eastAsia="仿宋"/>
          <w:sz w:val="32"/>
          <w:szCs w:val="32"/>
        </w:rPr>
        <w:t>90%；构建守信激励和失信惩戒联动机制，推动联合奖惩措施落地，联合奖惩案例上报率大于80%。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（七）增强办事深度，加强事项监管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提升一体化在线政务服务平台建设水平，充分依托电子证照平台，重点增加事项网上办理的深度，由原来的仅网上受理，向更大范围的“最多跑一次”和全流程网办延伸，扩大网上服务的广度及深度，实现服务事项的标准化、规范化。网络建设推进有力，实现重点监管事项全覆盖、监管过程全记录、监管数据可共享。</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绩效指标：系统运行顺畅，按照规定及时更新，出现问题及时维护，保证平台正常运行。系统数据准确完整，出现问题及时维护，确保系统运行正常，上报数据及时准确。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（八）效能监督及投诉处理能力整体增强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绩效目标：考核评价办法得到有效实施，投诉渠道更加畅通，处理投诉能力不断增强，社会监督更加多元，政务服务窗口作风和服务水平进一步改善，全面推动政务服务效能提升。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绩效指标：群众投诉处理率达到</w:t>
      </w:r>
      <w:r>
        <w:rPr>
          <w:rFonts w:ascii="仿宋" w:hAnsi="仿宋" w:eastAsia="仿宋"/>
          <w:sz w:val="32"/>
          <w:szCs w:val="32"/>
        </w:rPr>
        <w:t>90%以上，群众满意度提升率稳定在10%以上。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（九）综合业务、事务管理能力整体增强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绩效目标：建立健全日常管理制度和工作流程，畅通办事渠道，提高工作效率；加强后勤管理，保障机关办公有序、车辆安全出行、电通水畅，协调做好房屋及水电暖设备维修、庭院绿化等后勤服务保障工作。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绩效指标：加强制度管理，推进规范运行，综合事务工作完成情况达到</w:t>
      </w:r>
      <w:r>
        <w:rPr>
          <w:rFonts w:ascii="仿宋" w:hAnsi="仿宋" w:eastAsia="仿宋"/>
          <w:sz w:val="32"/>
          <w:szCs w:val="32"/>
        </w:rPr>
        <w:t>90%以上；保障机关工作正常高效运转，服务保障能力进一步提升，机关工作人员满意度达90%以上。</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（一）强化统筹推动。全面加强组织领导，将各项任务全部纳入年度工作要点，完善改革举措，细化时间表、路线图、责任链，强力推进任务落实。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（二）强化协同配合。建立统筹协调、分工协作、密切配合、合力推进的工作机制，厘清职责任务，细化政策措施，强化协作配合，形成工作合力。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强化任务落实。要求各责任部门提高重视程度，严格按照规定要求和时限，细化任务分工，倒排目标工期，狠抓工作落实，确保各项任务落实落地。围绕任务内容，组织开展专题培训和不定期的业务培训，提高工作人员的业务水平和操作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（四）强化督导考核。建立健全督导评估机制，对项工作情况适时开展专项督查评估，及时解决工作中遇到的问题。纳入考核体系，强化导向作用，对任务目标完成质量不高的，要在办内进行通报批评。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强化培训提升。组织开展多轮次、多角度的业务培训，使全办干部职工牢固树立绩效理念。各业务处室要积极探索工作经验，及时总结预算绩效管理成效，营造良好的舆论氛围，努力提升预算绩效管理水平。</w:t>
      </w: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0" w:name="_Toc66788896"/>
      <w:r>
        <w:rPr>
          <w:rFonts w:ascii="方正仿宋_GBK" w:eastAsia="方正仿宋_GBK"/>
          <w:b/>
          <w:sz w:val="28"/>
        </w:rPr>
        <w:t>1.政务服务中心工作经费绩效目标表</w:t>
      </w:r>
      <w:bookmarkEnd w:id="0"/>
      <w:r>
        <w:rPr>
          <w:rFonts w:ascii="方正仿宋_GBK" w:eastAsia="方正仿宋_GBK"/>
          <w:b/>
          <w:sz w:val="28"/>
        </w:rPr>
        <w:fldChar w:fldCharType="begin"/>
      </w:r>
      <w:r>
        <w:rPr>
          <w:rFonts w:ascii="方正仿宋_GBK" w:eastAsia="方正仿宋_GBK"/>
          <w:b/>
          <w:sz w:val="28"/>
        </w:rPr>
        <w:instrText xml:space="preserve"> TC 1、政务服务中心工作经费绩效目标表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130625214G42UGGMK4MEZ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政务服务中心工作经费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872500.00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872500.00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项目资金87.25万元，用于政务服务中心工作经费，计划于2021年11月底前支付完毕。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1.群众少跑腿，干部多跑腿，一窗式办理、主动服务。</w:t>
            </w:r>
          </w:p>
          <w:p>
            <w:pPr>
              <w:spacing w:line="300" w:lineRule="exact"/>
              <w:jc w:val="left"/>
              <w:rPr>
                <w:rFonts w:ascii="方正书宋_GBK" w:eastAsia="方正书宋_GBK"/>
              </w:rPr>
            </w:pPr>
            <w:r>
              <w:rPr>
                <w:rFonts w:ascii="方正书宋_GBK" w:eastAsia="方正书宋_GBK"/>
              </w:rPr>
              <w:t>2.实行一次受理，联合办结，减少工作环节和时间。</w:t>
            </w:r>
          </w:p>
          <w:p>
            <w:pPr>
              <w:spacing w:line="300" w:lineRule="exact"/>
              <w:jc w:val="left"/>
              <w:rPr>
                <w:rFonts w:ascii="方正书宋_GBK" w:eastAsia="方正书宋_GBK"/>
              </w:rPr>
            </w:pPr>
            <w:r>
              <w:rPr>
                <w:rFonts w:ascii="方正书宋_GBK" w:eastAsia="方正书宋_GBK"/>
              </w:rPr>
              <w:t>3.全力做好各项设备的维护，保障工作需求。</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收件办结率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收件在时限内办结数占总收件数的比率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设备故障影响正常工作次数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&lt;3次/年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设备出现故障影响工作未能及时维护次数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&lt;2次/年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控制采购成本，发挥资金使用效益。</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能够长期较好地保障办公需求，提供优质工作环境，更好地服务群众。优化营商环境，加大自主投资创业人数。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≥240天/年持续正常办公</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群众对当年政务服务大厅服务整体满意度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 w:name="_Toc66788897"/>
      <w:r>
        <w:rPr>
          <w:rFonts w:ascii="方正仿宋_GBK" w:eastAsia="方正仿宋_GBK"/>
          <w:b/>
          <w:sz w:val="28"/>
        </w:rPr>
        <w:t>2.辅助人员费用绩效目标表</w:t>
      </w:r>
      <w:bookmarkEnd w:id="1"/>
      <w:r>
        <w:rPr>
          <w:rFonts w:ascii="方正仿宋_GBK" w:eastAsia="方正仿宋_GBK"/>
          <w:b/>
          <w:sz w:val="28"/>
        </w:rPr>
        <w:fldChar w:fldCharType="begin"/>
      </w:r>
      <w:r>
        <w:rPr>
          <w:rFonts w:ascii="方正仿宋_GBK" w:eastAsia="方正仿宋_GBK"/>
          <w:b/>
          <w:sz w:val="28"/>
        </w:rPr>
        <w:instrText xml:space="preserve"> TC 2、辅助人员费用绩效目标表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1306252150K0O5OE4AOQD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辅助人员费用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433406.40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433406.40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根据工作需要，委托保定冠羸劳务派遣有限公司公开招录劳务派遣人员10名，分配到我局各工作岗位，填补人员紧缺空白。资金合计43.34万元，用于支付10名劳务派遣人员费用。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1.提高工作效率</w:t>
            </w:r>
          </w:p>
          <w:p>
            <w:pPr>
              <w:spacing w:line="300" w:lineRule="exact"/>
              <w:jc w:val="left"/>
              <w:rPr>
                <w:rFonts w:ascii="方正书宋_GBK" w:eastAsia="方正书宋_GBK"/>
              </w:rPr>
            </w:pPr>
            <w:r>
              <w:rPr>
                <w:rFonts w:ascii="方正书宋_GBK" w:eastAsia="方正书宋_GBK"/>
              </w:rPr>
              <w:t>2.增加服务人员,提高为民服务水平</w:t>
            </w:r>
          </w:p>
          <w:p>
            <w:pPr>
              <w:spacing w:line="300" w:lineRule="exact"/>
              <w:jc w:val="left"/>
              <w:rPr>
                <w:rFonts w:ascii="方正书宋_GBK" w:eastAsia="方正书宋_GBK"/>
              </w:rPr>
            </w:pPr>
            <w:r>
              <w:rPr>
                <w:rFonts w:ascii="方正书宋_GBK" w:eastAsia="方正书宋_GBK"/>
              </w:rPr>
              <w:t>3.解决大学生就业</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劳务派遣人数满足工作需要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人员素质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选择优秀人员进入工作岗位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招录时，取综合排名前10人员进入工作岗位。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按预定进度完成</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每人每月财政负担金额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3606.72元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解决大学生就业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解决大学生就业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服务最低年限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劳务派遣人员最低服务年限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机关工作人员满意比例%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 w:name="_Toc66788898"/>
      <w:r>
        <w:rPr>
          <w:rFonts w:ascii="方正仿宋_GBK" w:eastAsia="方正仿宋_GBK"/>
          <w:b/>
          <w:sz w:val="28"/>
        </w:rPr>
        <w:t>3.“环评”审批事项专家评估费用绩效目标表</w:t>
      </w:r>
      <w:bookmarkEnd w:id="2"/>
      <w:r>
        <w:rPr>
          <w:rFonts w:ascii="方正仿宋_GBK" w:eastAsia="方正仿宋_GBK"/>
          <w:b/>
          <w:sz w:val="28"/>
        </w:rPr>
        <w:fldChar w:fldCharType="begin"/>
      </w:r>
      <w:r>
        <w:rPr>
          <w:rFonts w:ascii="方正仿宋_GBK" w:eastAsia="方正仿宋_GBK"/>
          <w:b/>
          <w:sz w:val="28"/>
        </w:rPr>
        <w:instrText xml:space="preserve"> TC 3、\“环评\”审批事项专家评估费用绩效目标表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130625215ABLUGWIBB7C0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环评”审批事项专家评估费用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建设项目环境影响评价文件审批”事项，组织技术机构对该建设项目环境报告书、环境影响报告表进行技术评估。项目资金用于项目单位环境报告书、环境影响报告表的专家技术评估费用.专家评估费用65万元.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1.提升服务能力和水平</w:t>
            </w:r>
          </w:p>
          <w:p>
            <w:pPr>
              <w:spacing w:line="300" w:lineRule="exact"/>
              <w:jc w:val="left"/>
              <w:rPr>
                <w:rFonts w:ascii="方正书宋_GBK" w:eastAsia="方正书宋_GBK"/>
              </w:rPr>
            </w:pPr>
            <w:r>
              <w:rPr>
                <w:rFonts w:ascii="方正书宋_GBK" w:eastAsia="方正书宋_GBK"/>
              </w:rPr>
              <w:t>2.提升公众满意度</w:t>
            </w:r>
          </w:p>
          <w:p>
            <w:pPr>
              <w:spacing w:line="300" w:lineRule="exact"/>
              <w:jc w:val="left"/>
              <w:rPr>
                <w:rFonts w:ascii="方正书宋_GBK" w:eastAsia="方正书宋_GBK"/>
              </w:rPr>
            </w:pPr>
            <w:r>
              <w:rPr>
                <w:rFonts w:ascii="方正书宋_GBK" w:eastAsia="方正书宋_GBK"/>
              </w:rPr>
              <w:t>3.优化营商环境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规范情况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报告质量完成情况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按预定进度完成</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优化营商环境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优化营商环境，激发市场活力和社会创造力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优化营商环境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 w:name="_Toc66788899"/>
      <w:r>
        <w:rPr>
          <w:rFonts w:ascii="方正仿宋_GBK" w:eastAsia="方正仿宋_GBK"/>
          <w:b/>
          <w:sz w:val="28"/>
        </w:rPr>
        <w:t>4.保安保洁服务费绩效目标表</w:t>
      </w:r>
      <w:bookmarkEnd w:id="3"/>
      <w:r>
        <w:rPr>
          <w:rFonts w:ascii="方正仿宋_GBK" w:eastAsia="方正仿宋_GBK"/>
          <w:b/>
          <w:sz w:val="28"/>
        </w:rPr>
        <w:fldChar w:fldCharType="begin"/>
      </w:r>
      <w:r>
        <w:rPr>
          <w:rFonts w:ascii="方正仿宋_GBK" w:eastAsia="方正仿宋_GBK"/>
          <w:b/>
          <w:sz w:val="28"/>
        </w:rPr>
        <w:instrText xml:space="preserve"> TC 4、保安保洁服务费绩效目标表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130625216V92Y7F4Y4Z8R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保安保洁服务费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项目资金29.64万元，用于2020年保安保洁服务费用支出,计划于2020年6月底前支付完成。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1.加强机关安全保卫工作，维持正常工作秩序。</w:t>
            </w:r>
          </w:p>
          <w:p>
            <w:pPr>
              <w:spacing w:line="300" w:lineRule="exact"/>
              <w:jc w:val="left"/>
              <w:rPr>
                <w:rFonts w:ascii="方正书宋_GBK" w:eastAsia="方正书宋_GBK"/>
              </w:rPr>
            </w:pPr>
            <w:r>
              <w:rPr>
                <w:rFonts w:ascii="方正书宋_GBK" w:eastAsia="方正书宋_GBK"/>
              </w:rPr>
              <w:t>2.增强外部安全防范能力，交通顺畅。</w:t>
            </w:r>
          </w:p>
          <w:p>
            <w:pPr>
              <w:spacing w:line="300" w:lineRule="exact"/>
              <w:jc w:val="left"/>
              <w:rPr>
                <w:rFonts w:ascii="方正书宋_GBK" w:eastAsia="方正书宋_GBK"/>
              </w:rPr>
            </w:pPr>
            <w:r>
              <w:rPr>
                <w:rFonts w:ascii="方正书宋_GBK" w:eastAsia="方正书宋_GBK"/>
              </w:rPr>
              <w:t>3.提高环境卫生质量，确保群众在干净整洁的环境中办理业务。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服务人员人数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工作日保证工作人员数量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突发安全事件报告率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已报告的突发安全事件占突发安全事件总数的比例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硬性指标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抽查工作完成情况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抽查工作完成情况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抽查工作完成情况</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人均工资投入水平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保安保洁人均工资标准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大厅服务水平水平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大厅工作人员满意度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实际发生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农民群众满意度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实际发生</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788900"/>
      <w:r>
        <w:rPr>
          <w:rFonts w:ascii="方正仿宋_GBK" w:eastAsia="方正仿宋_GBK"/>
          <w:b/>
          <w:sz w:val="28"/>
        </w:rPr>
        <w:t>5.公共资源交易中心工作经费绩效目标表</w:t>
      </w:r>
      <w:bookmarkEnd w:id="4"/>
      <w:r>
        <w:rPr>
          <w:rFonts w:ascii="方正仿宋_GBK" w:eastAsia="方正仿宋_GBK"/>
          <w:b/>
          <w:sz w:val="28"/>
        </w:rPr>
        <w:fldChar w:fldCharType="begin"/>
      </w:r>
      <w:r>
        <w:rPr>
          <w:rFonts w:ascii="方正仿宋_GBK" w:eastAsia="方正仿宋_GBK"/>
          <w:b/>
          <w:sz w:val="28"/>
        </w:rPr>
        <w:instrText xml:space="preserve"> TC 5、公共资源交易中心工作经费绩效目标表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13062521YOVNYLVZVC4HM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公共资源交易中心工作经费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项目资金35万元，用于公共资源交易中心工作经费，计划于2021年11月底前支付完毕。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1.按相关要求，做好办公设施的维护。</w:t>
            </w:r>
          </w:p>
          <w:p>
            <w:pPr>
              <w:spacing w:line="300" w:lineRule="exact"/>
              <w:jc w:val="left"/>
              <w:rPr>
                <w:rFonts w:ascii="方正书宋_GBK" w:eastAsia="方正书宋_GBK"/>
              </w:rPr>
            </w:pPr>
            <w:r>
              <w:rPr>
                <w:rFonts w:ascii="方正书宋_GBK" w:eastAsia="方正书宋_GBK"/>
              </w:rPr>
              <w:t>2.协调各股室，保障公共资源各项工作有序进行。</w:t>
            </w:r>
          </w:p>
          <w:p>
            <w:pPr>
              <w:spacing w:line="300" w:lineRule="exact"/>
              <w:jc w:val="left"/>
              <w:rPr>
                <w:rFonts w:ascii="方正书宋_GBK" w:eastAsia="方正书宋_GBK"/>
              </w:rPr>
            </w:pPr>
            <w:r>
              <w:rPr>
                <w:rFonts w:ascii="方正书宋_GBK" w:eastAsia="方正书宋_GBK"/>
              </w:rPr>
              <w:t>3.为群众提供更好地公共资源交易平台。</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未超时限率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依照法定时限完成并提供相关服务占比。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&lt;3次/年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设备出现故障影响工作未能及时维护次数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&lt;2次/年</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控制采购成本，提高资金使用效益。</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提高服务水平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提高服务水平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安排政府采购预算10万元，具体内容见下表：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640" w:firstLineChars="200"/>
        <w:rPr>
          <w:rFonts w:ascii="仿宋" w:hAnsi="仿宋" w:eastAsia="仿宋"/>
          <w:sz w:val="32"/>
          <w:szCs w:val="32"/>
        </w:rPr>
      </w:pPr>
    </w:p>
    <w:p>
      <w:pPr>
        <w:jc w:val="center"/>
        <w:outlineLvl w:val="1"/>
        <w:rPr>
          <w:rFonts w:ascii="Times New Roman" w:hAnsi="宋体" w:eastAsia="宋体"/>
          <w:sz w:val="32"/>
        </w:rPr>
      </w:pPr>
      <w:bookmarkStart w:id="5" w:name="_Toc69809617"/>
      <w:r>
        <w:rPr>
          <w:rFonts w:hint="eastAsia" w:ascii="方正小标宋_GBK" w:eastAsia="方正小标宋_GBK"/>
          <w:sz w:val="32"/>
        </w:rPr>
        <w:t>单位</w:t>
      </w:r>
      <w:r>
        <w:rPr>
          <w:rFonts w:ascii="方正小标宋_GBK" w:eastAsia="方正小标宋_GBK"/>
          <w:sz w:val="32"/>
        </w:rPr>
        <w:t>政府采购预算</w:t>
      </w:r>
      <w:bookmarkEnd w:id="5"/>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202保定市</w:t>
            </w:r>
            <w:r>
              <w:rPr>
                <w:rFonts w:ascii="方正小标宋_GBK" w:eastAsia="方正小标宋_GBK"/>
                <w:sz w:val="24"/>
              </w:rPr>
              <w:t>徐水区行政审批局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设备购置</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w:t>
            </w:r>
          </w:p>
        </w:tc>
        <w:tc>
          <w:tcPr>
            <w:tcW w:w="1531" w:type="dxa"/>
            <w:shd w:val="clear" w:color="auto" w:fill="auto"/>
            <w:vAlign w:val="center"/>
          </w:tcPr>
          <w:p>
            <w:pPr>
              <w:spacing w:line="300" w:lineRule="exact"/>
              <w:jc w:val="center"/>
              <w:rPr>
                <w:rFonts w:ascii="方正书宋_GBK"/>
                <w:b/>
              </w:rPr>
            </w:pPr>
            <w:r>
              <w:rPr>
                <w:rFonts w:hint="eastAsia" w:ascii="方正书宋_GBK"/>
                <w:b/>
              </w:rPr>
              <w:t>办公家具</w:t>
            </w:r>
            <w:r>
              <w:rPr>
                <w:rFonts w:ascii="方正书宋_GBK"/>
                <w:b/>
              </w:rPr>
              <w:t>等</w:t>
            </w:r>
          </w:p>
        </w:tc>
        <w:tc>
          <w:tcPr>
            <w:tcW w:w="1531" w:type="dxa"/>
            <w:shd w:val="clear" w:color="auto" w:fill="auto"/>
            <w:vAlign w:val="center"/>
          </w:tcPr>
          <w:p>
            <w:pPr>
              <w:spacing w:line="300" w:lineRule="exact"/>
              <w:jc w:val="center"/>
              <w:rPr>
                <w:rFonts w:ascii="方正书宋_GBK"/>
                <w:b/>
              </w:rPr>
            </w:pPr>
            <w:r>
              <w:rPr>
                <w:rFonts w:hint="eastAsia" w:ascii="方正书宋_GBK"/>
                <w:b/>
              </w:rPr>
              <w:t>A06</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套</w:t>
            </w:r>
          </w:p>
        </w:tc>
        <w:tc>
          <w:tcPr>
            <w:tcW w:w="90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w:t>
            </w:r>
          </w:p>
        </w:tc>
        <w:tc>
          <w:tcPr>
            <w:tcW w:w="90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w:t>
            </w:r>
          </w:p>
        </w:tc>
        <w:tc>
          <w:tcPr>
            <w:tcW w:w="1134" w:type="dxa"/>
            <w:shd w:val="clear" w:color="auto" w:fill="auto"/>
            <w:vAlign w:val="center"/>
          </w:tcPr>
          <w:p>
            <w:pPr>
              <w:spacing w:line="300" w:lineRule="exact"/>
              <w:jc w:val="center"/>
              <w:rPr>
                <w:rFonts w:ascii="方正书宋_GBK"/>
                <w:b/>
              </w:rPr>
            </w:pPr>
            <w:r>
              <w:rPr>
                <w:rFonts w:hint="eastAsia" w:ascii="方正书宋_GBK"/>
                <w:b/>
              </w:rPr>
              <w:t>10</w:t>
            </w:r>
          </w:p>
        </w:tc>
        <w:tc>
          <w:tcPr>
            <w:tcW w:w="113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上年末我单位固定资产总金额为242.04万元（详见下表）。</w:t>
      </w:r>
      <w:r>
        <w:rPr>
          <w:rFonts w:ascii="仿宋" w:hAnsi="仿宋" w:eastAsia="仿宋"/>
          <w:sz w:val="32"/>
          <w:szCs w:val="32"/>
        </w:rPr>
        <w:t xml:space="preserve"> 本年度拟购置固定资产总额为10万元，已列入政府采购预算，详见政府采购预算表。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242.04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22.49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3.92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238.12</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923946"/>
      <w:docPartObj>
        <w:docPartGallery w:val="autotext"/>
      </w:docPartObj>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BhZGNlNWRhMmZjODA5N2Q3NGI3YmQ1NzZkZGIifQ=="/>
  </w:docVars>
  <w:rsids>
    <w:rsidRoot w:val="00055F1F"/>
    <w:rsid w:val="00004B92"/>
    <w:rsid w:val="00013B8A"/>
    <w:rsid w:val="00037C49"/>
    <w:rsid w:val="00044FBC"/>
    <w:rsid w:val="00055F1F"/>
    <w:rsid w:val="000577EF"/>
    <w:rsid w:val="00057F18"/>
    <w:rsid w:val="0008361D"/>
    <w:rsid w:val="00090117"/>
    <w:rsid w:val="000A445D"/>
    <w:rsid w:val="000C178B"/>
    <w:rsid w:val="0010748D"/>
    <w:rsid w:val="001212C1"/>
    <w:rsid w:val="00127D56"/>
    <w:rsid w:val="00131DEC"/>
    <w:rsid w:val="00136AB3"/>
    <w:rsid w:val="001462BD"/>
    <w:rsid w:val="00152380"/>
    <w:rsid w:val="001638BE"/>
    <w:rsid w:val="00164810"/>
    <w:rsid w:val="00172C7A"/>
    <w:rsid w:val="00181777"/>
    <w:rsid w:val="00184A6D"/>
    <w:rsid w:val="001B4688"/>
    <w:rsid w:val="001B6235"/>
    <w:rsid w:val="001E4F77"/>
    <w:rsid w:val="001F4875"/>
    <w:rsid w:val="00212335"/>
    <w:rsid w:val="00242A3C"/>
    <w:rsid w:val="002918C6"/>
    <w:rsid w:val="00291EF3"/>
    <w:rsid w:val="00296524"/>
    <w:rsid w:val="002E01F6"/>
    <w:rsid w:val="002F1ACB"/>
    <w:rsid w:val="002F530F"/>
    <w:rsid w:val="00305E97"/>
    <w:rsid w:val="00310532"/>
    <w:rsid w:val="00316CB6"/>
    <w:rsid w:val="0032782B"/>
    <w:rsid w:val="00340B3D"/>
    <w:rsid w:val="0034253A"/>
    <w:rsid w:val="003669CF"/>
    <w:rsid w:val="00367A30"/>
    <w:rsid w:val="003A06D2"/>
    <w:rsid w:val="003A4557"/>
    <w:rsid w:val="003A6366"/>
    <w:rsid w:val="003C2317"/>
    <w:rsid w:val="003C442E"/>
    <w:rsid w:val="003D1092"/>
    <w:rsid w:val="003D37CD"/>
    <w:rsid w:val="003D4FC2"/>
    <w:rsid w:val="003E0223"/>
    <w:rsid w:val="003E5531"/>
    <w:rsid w:val="003E555C"/>
    <w:rsid w:val="003E6AF3"/>
    <w:rsid w:val="0040243C"/>
    <w:rsid w:val="00406BD1"/>
    <w:rsid w:val="00426C19"/>
    <w:rsid w:val="004412A2"/>
    <w:rsid w:val="00450FD9"/>
    <w:rsid w:val="00453CE0"/>
    <w:rsid w:val="00470736"/>
    <w:rsid w:val="00470BBB"/>
    <w:rsid w:val="0048611E"/>
    <w:rsid w:val="004B6929"/>
    <w:rsid w:val="004D61C5"/>
    <w:rsid w:val="004E2F43"/>
    <w:rsid w:val="004E3572"/>
    <w:rsid w:val="004F3C52"/>
    <w:rsid w:val="00510A1E"/>
    <w:rsid w:val="005158E2"/>
    <w:rsid w:val="00524204"/>
    <w:rsid w:val="00550049"/>
    <w:rsid w:val="00553F71"/>
    <w:rsid w:val="00553F7E"/>
    <w:rsid w:val="00570142"/>
    <w:rsid w:val="0057317B"/>
    <w:rsid w:val="00586C35"/>
    <w:rsid w:val="005B1B6F"/>
    <w:rsid w:val="005B6CCB"/>
    <w:rsid w:val="005C33CB"/>
    <w:rsid w:val="005C54AA"/>
    <w:rsid w:val="005C7B89"/>
    <w:rsid w:val="005E53AE"/>
    <w:rsid w:val="005E5612"/>
    <w:rsid w:val="0062788A"/>
    <w:rsid w:val="00641F8A"/>
    <w:rsid w:val="0066383B"/>
    <w:rsid w:val="006716FD"/>
    <w:rsid w:val="006A6FA2"/>
    <w:rsid w:val="006B5117"/>
    <w:rsid w:val="006C62DF"/>
    <w:rsid w:val="006D6520"/>
    <w:rsid w:val="006F5104"/>
    <w:rsid w:val="006F6549"/>
    <w:rsid w:val="00703E96"/>
    <w:rsid w:val="00735B02"/>
    <w:rsid w:val="007657C8"/>
    <w:rsid w:val="00767A77"/>
    <w:rsid w:val="00771E49"/>
    <w:rsid w:val="00782208"/>
    <w:rsid w:val="00786D7D"/>
    <w:rsid w:val="00791938"/>
    <w:rsid w:val="007A5999"/>
    <w:rsid w:val="007C0A22"/>
    <w:rsid w:val="007C7FD7"/>
    <w:rsid w:val="007F3746"/>
    <w:rsid w:val="00815271"/>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3385F"/>
    <w:rsid w:val="00954217"/>
    <w:rsid w:val="009752AE"/>
    <w:rsid w:val="00982F3D"/>
    <w:rsid w:val="00983232"/>
    <w:rsid w:val="009A278A"/>
    <w:rsid w:val="009B6368"/>
    <w:rsid w:val="009C0863"/>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052B"/>
    <w:rsid w:val="00BC5F67"/>
    <w:rsid w:val="00BC6A7D"/>
    <w:rsid w:val="00BD4829"/>
    <w:rsid w:val="00BD6002"/>
    <w:rsid w:val="00BD719F"/>
    <w:rsid w:val="00BF5442"/>
    <w:rsid w:val="00C071F0"/>
    <w:rsid w:val="00C177A5"/>
    <w:rsid w:val="00C35FEE"/>
    <w:rsid w:val="00C50535"/>
    <w:rsid w:val="00C6153C"/>
    <w:rsid w:val="00C906EF"/>
    <w:rsid w:val="00CC7D74"/>
    <w:rsid w:val="00D02F97"/>
    <w:rsid w:val="00D269CB"/>
    <w:rsid w:val="00D45530"/>
    <w:rsid w:val="00D45A0E"/>
    <w:rsid w:val="00D45D23"/>
    <w:rsid w:val="00D723D1"/>
    <w:rsid w:val="00D80C60"/>
    <w:rsid w:val="00D8525F"/>
    <w:rsid w:val="00DA0C4D"/>
    <w:rsid w:val="00DA5DA7"/>
    <w:rsid w:val="00DB4387"/>
    <w:rsid w:val="00DC02F3"/>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380F"/>
    <w:rsid w:val="00F000B1"/>
    <w:rsid w:val="00F012D3"/>
    <w:rsid w:val="00F044C3"/>
    <w:rsid w:val="00F10D04"/>
    <w:rsid w:val="00F169E3"/>
    <w:rsid w:val="00F34EBE"/>
    <w:rsid w:val="00F35D4B"/>
    <w:rsid w:val="00F3746B"/>
    <w:rsid w:val="00F572CB"/>
    <w:rsid w:val="00F621AF"/>
    <w:rsid w:val="00F8024E"/>
    <w:rsid w:val="00F82447"/>
    <w:rsid w:val="00F868E5"/>
    <w:rsid w:val="00F9131E"/>
    <w:rsid w:val="00FB2F32"/>
    <w:rsid w:val="00FC3191"/>
    <w:rsid w:val="00FE0F1F"/>
    <w:rsid w:val="00FF61F3"/>
    <w:rsid w:val="02E0514E"/>
    <w:rsid w:val="16571FCA"/>
    <w:rsid w:val="197C77D3"/>
    <w:rsid w:val="637974B6"/>
    <w:rsid w:val="7765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2E31B-3B9E-45B1-B7D0-822FECC594B2}">
  <ds:schemaRefs/>
</ds:datastoreItem>
</file>

<file path=docProps/app.xml><?xml version="1.0" encoding="utf-8"?>
<Properties xmlns="http://schemas.openxmlformats.org/officeDocument/2006/extended-properties" xmlns:vt="http://schemas.openxmlformats.org/officeDocument/2006/docPropsVTypes">
  <Template>Normal</Template>
  <Pages>20</Pages>
  <Words>7680</Words>
  <Characters>8265</Characters>
  <Lines>66</Lines>
  <Paragraphs>18</Paragraphs>
  <TotalTime>0</TotalTime>
  <ScaleCrop>false</ScaleCrop>
  <LinksUpToDate>false</LinksUpToDate>
  <CharactersWithSpaces>8349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2022-08-30T06:29:00Z</dcterms:created>
  <dc:creator>Windows 用户</dc:creator>
  <cp:lastModifiedBy>Administrator</cp:lastModifiedBy>
  <cp:lastPrinted>2021-04-14T02:06:00Z</cp:lastPrinted>
  <dcterms:modified xsi:type="dcterms:W3CDTF">2024-06-05T03:23:21Z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51BC85B8F0714A90B3C002738CAB3D0C</vt:lpwstr>
  </property>
</Properties>
</file>