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rPr>
        <w:t>保定市徐水区供销合作</w:t>
      </w:r>
      <w:r>
        <w:rPr>
          <w:rFonts w:hint="eastAsia" w:ascii="宋体" w:hAnsi="宋体" w:eastAsia="宋体"/>
          <w:b/>
          <w:sz w:val="44"/>
          <w:szCs w:val="44"/>
          <w:lang w:eastAsia="zh-CN"/>
        </w:rPr>
        <w:t>社</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bookmarkStart w:id="6" w:name="_GoBack"/>
      <w:bookmarkEnd w:id="6"/>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pPr>
      <w:r>
        <w:rPr>
          <w:rFonts w:eastAsia="方正仿宋_GBK"/>
          <w:color w:val="000000"/>
          <w:sz w:val="28"/>
        </w:rPr>
        <w:t>根据《保定市徐水区供销合作社职能配置、内设机构和人员编制规定》，保定市徐水区供销合作社的主要职责是：</w:t>
      </w:r>
    </w:p>
    <w:p>
      <w:pPr>
        <w:pStyle w:val="10"/>
      </w:pPr>
      <w:r>
        <w:t>（一）贯彻党中央、国务院、省委、省政府、上级供销社和区委、区政府有关农村工作和社会发展的方针、政策，制订全市供销合作社的发展战略和发展规划，指导全区供销合作社的改革与发展。</w:t>
      </w:r>
    </w:p>
    <w:p>
      <w:pPr>
        <w:pStyle w:val="10"/>
      </w:pPr>
      <w:r>
        <w:t>（二）维护供销合作社章程赋予的合法权益，反映成员社的呼声和建议，协调与政府部门、社会组织的关系，参与和推动有关地方性法规和规章的制定 ，促进合作经济的发展。</w:t>
      </w:r>
    </w:p>
    <w:p>
      <w:pPr>
        <w:pStyle w:val="10"/>
      </w:pPr>
      <w:r>
        <w:t>（三）按照市政府授权，对重要农业生产资料、农副产品和再生资源食盐储备经营工作进行组织、协调、管理。</w:t>
      </w:r>
    </w:p>
    <w:p>
      <w:pPr>
        <w:pStyle w:val="10"/>
      </w:pPr>
      <w:r>
        <w:t>（四）受政府委托，协助有关部门，共同做好农民合作经济组织的指导、服务、协调工作。组织领办各类农民合作经济组织，指导农民合作社和其他新型农民经营主体开展联合合作协调工作。</w:t>
      </w:r>
    </w:p>
    <w:p>
      <w:pPr>
        <w:pStyle w:val="10"/>
      </w:pPr>
      <w:r>
        <w:t>（五）按照有关规定，组织研究创建以供销合作社为主导的农村合作金融、小额贷款、农信担保、农业保险、农村产权交易等支撑的涉农金融服务体系，加强风险管控，稳步促进农村合作金融健康发展。</w:t>
      </w:r>
    </w:p>
    <w:p>
      <w:pPr>
        <w:pStyle w:val="10"/>
      </w:pPr>
      <w:r>
        <w:t>（六）承办区委、区政府交办的其它事项。</w:t>
      </w:r>
    </w:p>
    <w:p>
      <w:pPr>
        <w:pStyle w:val="10"/>
        <w:sectPr>
          <w:pgSz w:w="11900" w:h="16840"/>
          <w:pgMar w:top="1361" w:right="1020" w:bottom="1361" w:left="1020" w:header="720" w:footer="720" w:gutter="0"/>
          <w:pgNumType w:start="1"/>
          <w:cols w:space="720" w:num="1"/>
        </w:sect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供销合作社</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2022年预算收入为190万元,其中：一般公共预算收入189.53万元，基金预算收入0万元，财政专户收入0万元，其他来源收入0.47万元。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2022年部门支出预算：190万元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70.9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其中：人员经费146.82万元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日常公用经费24.08万元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19.10万元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其中：本级支出19.10万元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ascii="仿宋" w:hAnsi="仿宋" w:eastAsia="仿宋"/>
          <w:sz w:val="32"/>
          <w:szCs w:val="32"/>
        </w:rPr>
        <w:t>90</w:t>
      </w:r>
      <w:r>
        <w:rPr>
          <w:rFonts w:hint="eastAsia" w:ascii="仿宋" w:hAnsi="仿宋" w:eastAsia="仿宋"/>
          <w:sz w:val="32"/>
          <w:szCs w:val="32"/>
        </w:rPr>
        <w:t>万元，较上年增加</w:t>
      </w:r>
      <w:r>
        <w:rPr>
          <w:rFonts w:ascii="仿宋" w:hAnsi="仿宋" w:eastAsia="仿宋"/>
          <w:sz w:val="32"/>
          <w:szCs w:val="32"/>
        </w:rPr>
        <w:t>52.27万元。其中:基本支出增加55.74万元，主要原因是</w:t>
      </w:r>
      <w:r>
        <w:rPr>
          <w:rFonts w:hint="eastAsia" w:ascii="仿宋" w:hAnsi="仿宋" w:eastAsia="仿宋"/>
          <w:sz w:val="32"/>
          <w:szCs w:val="32"/>
        </w:rPr>
        <w:t>人员及</w:t>
      </w:r>
      <w:r>
        <w:rPr>
          <w:rFonts w:ascii="仿宋" w:hAnsi="仿宋" w:eastAsia="仿宋"/>
          <w:sz w:val="32"/>
          <w:szCs w:val="32"/>
        </w:rPr>
        <w:t>工资调整</w:t>
      </w:r>
      <w:r>
        <w:rPr>
          <w:rFonts w:hint="eastAsia" w:ascii="仿宋" w:hAnsi="仿宋" w:eastAsia="仿宋"/>
          <w:sz w:val="32"/>
          <w:szCs w:val="32"/>
        </w:rPr>
        <w:t>有所</w:t>
      </w:r>
      <w:r>
        <w:rPr>
          <w:rFonts w:ascii="仿宋" w:hAnsi="仿宋" w:eastAsia="仿宋"/>
          <w:sz w:val="32"/>
          <w:szCs w:val="32"/>
        </w:rPr>
        <w:t>增加</w:t>
      </w:r>
      <w:r>
        <w:rPr>
          <w:rFonts w:hint="eastAsia" w:ascii="仿宋" w:hAnsi="仿宋" w:eastAsia="仿宋"/>
          <w:sz w:val="32"/>
          <w:szCs w:val="32"/>
        </w:rPr>
        <w:t>,形成人员经费增加36.96,其次</w:t>
      </w:r>
      <w:r>
        <w:rPr>
          <w:rFonts w:ascii="仿宋" w:hAnsi="仿宋" w:eastAsia="仿宋"/>
          <w:sz w:val="32"/>
          <w:szCs w:val="32"/>
        </w:rPr>
        <w:t>单位编制内车辆</w:t>
      </w:r>
      <w:r>
        <w:rPr>
          <w:rFonts w:hint="eastAsia" w:ascii="仿宋" w:hAnsi="仿宋" w:eastAsia="仿宋"/>
          <w:sz w:val="32"/>
          <w:szCs w:val="32"/>
        </w:rPr>
        <w:t>及</w:t>
      </w:r>
      <w:r>
        <w:rPr>
          <w:rFonts w:ascii="仿宋" w:hAnsi="仿宋" w:eastAsia="仿宋"/>
          <w:sz w:val="32"/>
          <w:szCs w:val="32"/>
        </w:rPr>
        <w:t>房屋增加</w:t>
      </w:r>
      <w:r>
        <w:rPr>
          <w:rFonts w:hint="eastAsia" w:ascii="仿宋" w:hAnsi="仿宋" w:eastAsia="仿宋"/>
          <w:sz w:val="32"/>
          <w:szCs w:val="32"/>
        </w:rPr>
        <w:t>形成</w:t>
      </w:r>
      <w:r>
        <w:rPr>
          <w:rFonts w:ascii="仿宋" w:hAnsi="仿宋" w:eastAsia="仿宋"/>
          <w:sz w:val="32"/>
          <w:szCs w:val="32"/>
        </w:rPr>
        <w:t>公用经费增加</w:t>
      </w:r>
      <w:r>
        <w:rPr>
          <w:rFonts w:hint="eastAsia" w:ascii="仿宋" w:hAnsi="仿宋" w:eastAsia="仿宋"/>
          <w:sz w:val="32"/>
          <w:szCs w:val="32"/>
        </w:rPr>
        <w:t>18.78万元</w:t>
      </w:r>
      <w:r>
        <w:rPr>
          <w:rFonts w:ascii="仿宋" w:hAnsi="仿宋" w:eastAsia="仿宋"/>
          <w:sz w:val="32"/>
          <w:szCs w:val="32"/>
        </w:rPr>
        <w:t>；项目支出减少3.47万元，主要原因是</w:t>
      </w:r>
      <w:r>
        <w:rPr>
          <w:rFonts w:hint="eastAsia" w:ascii="仿宋" w:hAnsi="仿宋" w:eastAsia="仿宋"/>
          <w:sz w:val="32"/>
          <w:szCs w:val="32"/>
        </w:rPr>
        <w:t>上年机关退休人员</w:t>
      </w:r>
      <w:r>
        <w:rPr>
          <w:rFonts w:ascii="仿宋" w:hAnsi="仿宋" w:eastAsia="仿宋"/>
          <w:sz w:val="32"/>
          <w:szCs w:val="32"/>
        </w:rPr>
        <w:t>医保费项目已全额缴</w:t>
      </w:r>
      <w:r>
        <w:rPr>
          <w:rFonts w:hint="eastAsia" w:ascii="仿宋" w:hAnsi="仿宋" w:eastAsia="仿宋"/>
          <w:sz w:val="32"/>
          <w:szCs w:val="32"/>
        </w:rPr>
        <w:t>足,今年</w:t>
      </w:r>
      <w:r>
        <w:rPr>
          <w:rFonts w:ascii="仿宋" w:hAnsi="仿宋" w:eastAsia="仿宋"/>
          <w:sz w:val="32"/>
          <w:szCs w:val="32"/>
        </w:rPr>
        <w:t>不</w:t>
      </w:r>
      <w:r>
        <w:rPr>
          <w:rFonts w:hint="eastAsia" w:ascii="仿宋" w:hAnsi="仿宋" w:eastAsia="仿宋"/>
          <w:sz w:val="32"/>
          <w:szCs w:val="32"/>
        </w:rPr>
        <w:t>再形成</w:t>
      </w:r>
      <w:r>
        <w:rPr>
          <w:rFonts w:ascii="仿宋" w:hAnsi="仿宋" w:eastAsia="仿宋"/>
          <w:sz w:val="32"/>
          <w:szCs w:val="32"/>
        </w:rPr>
        <w:t>预算支出。</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2022年我部门机关运行经费安排24.08万元，其中办公费14.04万元，邮电费0.29万元，工会经费、福利费2.3万元，公务用车运行维护费2.43万元</w:t>
      </w:r>
      <w:r>
        <w:rPr>
          <w:rFonts w:hint="eastAsia" w:ascii="仿宋" w:hAnsi="仿宋" w:eastAsia="仿宋"/>
          <w:sz w:val="32"/>
          <w:szCs w:val="32"/>
        </w:rPr>
        <w:t>，</w:t>
      </w:r>
      <w:r>
        <w:rPr>
          <w:rFonts w:ascii="仿宋" w:hAnsi="仿宋" w:eastAsia="仿宋"/>
          <w:sz w:val="32"/>
          <w:szCs w:val="32"/>
        </w:rPr>
        <w:t>其他支出5.02万元。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编制内</w:t>
                  </w:r>
                  <w:r>
                    <w:rPr>
                      <w:rFonts w:ascii="仿宋_GB2312" w:hAnsi="宋体" w:eastAsia="仿宋_GB2312" w:cs="宋体"/>
                      <w:kern w:val="0"/>
                      <w:sz w:val="24"/>
                      <w:szCs w:val="24"/>
                    </w:rPr>
                    <w:t>车辆</w:t>
                  </w:r>
                  <w:r>
                    <w:rPr>
                      <w:rFonts w:hint="eastAsia" w:ascii="仿宋_GB2312" w:hAnsi="宋体" w:eastAsia="仿宋_GB2312" w:cs="宋体"/>
                      <w:kern w:val="0"/>
                      <w:sz w:val="24"/>
                      <w:szCs w:val="24"/>
                    </w:rPr>
                    <w:t>增加</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编制内</w:t>
                  </w:r>
                  <w:r>
                    <w:rPr>
                      <w:rFonts w:ascii="仿宋_GB2312" w:hAnsi="宋体" w:eastAsia="仿宋_GB2312" w:cs="宋体"/>
                      <w:kern w:val="0"/>
                      <w:sz w:val="24"/>
                      <w:szCs w:val="24"/>
                    </w:rPr>
                    <w:t>车辆</w:t>
                  </w:r>
                  <w:r>
                    <w:rPr>
                      <w:rFonts w:hint="eastAsia" w:ascii="仿宋_GB2312" w:hAnsi="宋体" w:eastAsia="仿宋_GB2312" w:cs="宋体"/>
                      <w:kern w:val="0"/>
                      <w:sz w:val="24"/>
                      <w:szCs w:val="24"/>
                    </w:rPr>
                    <w:t>增加</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1"/>
      </w:pPr>
      <w:r>
        <w:t>2022年，我单位将紧紧围绕全区发展发展现代农业、脱贫攻坚和深化供销社综合改革的工作目标，转变职能、积极作为，积极参与实施乡村振兴战略，继续推进供销社综合改革，着力推进组织体系、服务体系、农村产权交易体系、管理体制创新，不断壮大组织体系，拓展服务领域、创新服务模式，提升服务质量。开展以农资、农副产品、日用消费品为重点的农村现代流通网络建设及管理保障工作；加大开放办社工作力度，积极引入农村电商、物流配送等新模式、新业态，提升流通服务的效率。确保各项主要经济指标实现稳步增长，进一步提升供销社为农服务的能力和实力，不断开创供销合作事业新局面，打造为农服务的生力军和综合平台。</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2"/>
      </w:pPr>
      <w:r>
        <w:t>1、供销社改革发展确保社有资产管理</w:t>
      </w:r>
    </w:p>
    <w:p>
      <w:pPr>
        <w:pStyle w:val="12"/>
      </w:pPr>
      <w:r>
        <w:t>绩效目标：完善企业经营管理制度，保障社有资产安全和增值。</w:t>
      </w:r>
    </w:p>
    <w:p>
      <w:pPr>
        <w:pStyle w:val="12"/>
      </w:pPr>
      <w:r>
        <w:t>绩效指标：社有资产增长率。增长率大于等于1%为优，大于等于1%为良，大于等于1%为中，小于1%为差。</w:t>
      </w:r>
    </w:p>
    <w:p>
      <w:pPr>
        <w:pStyle w:val="12"/>
      </w:pPr>
      <w:r>
        <w:t>2、服务“三农”事务管理</w:t>
      </w:r>
    </w:p>
    <w:p>
      <w:pPr>
        <w:pStyle w:val="12"/>
      </w:pPr>
      <w:r>
        <w:t>绩效目标：组织体系建设，按照“五个一批”要求，全面推进基层社分类建设与改造，提升基层组织建设发展质量。</w:t>
      </w:r>
    </w:p>
    <w:p>
      <w:pPr>
        <w:pStyle w:val="12"/>
      </w:pPr>
      <w:r>
        <w:t>绩效指标：基层社分类建设与改造数量。数量大于等于1个为优，1个为良，</w:t>
      </w:r>
    </w:p>
    <w:p>
      <w:pPr>
        <w:pStyle w:val="12"/>
      </w:pPr>
      <w:r>
        <w:t>绩效目标：服务体系建设。构建综合性、规模化、可持续为农服务体系，搭建土地托管服务综合平台。</w:t>
      </w:r>
    </w:p>
    <w:p>
      <w:pPr>
        <w:pStyle w:val="12"/>
      </w:pPr>
      <w:r>
        <w:t>绩效指标：土地托管面积增长数。本年底土地托管、半托管面积较上年增加2000亩以上为优，增加2000亩为良，</w:t>
      </w:r>
    </w:p>
    <w:p>
      <w:pPr>
        <w:pStyle w:val="12"/>
      </w:pPr>
      <w:r>
        <w:t>绩效目标：农村产权交易体系建设。建成流转交易品种齐全、组织架构清晰、管理制度规范、平台信息共享、交易风险可控的运营体系。</w:t>
      </w:r>
    </w:p>
    <w:p>
      <w:pPr>
        <w:pStyle w:val="12"/>
      </w:pPr>
      <w:r>
        <w:t>绩效指标：实现交易平台、信息发布、交易规则、收费标准、交易鉴证、档案管理“六统一”。“六统一”管理制度完善程度100%为优，大于等于 83%为良，大于等于66%为中，小于66%为差。</w:t>
      </w:r>
    </w:p>
    <w:p>
      <w:pPr>
        <w:pStyle w:val="12"/>
      </w:pPr>
      <w:r>
        <w:t>3、食盐储备</w:t>
      </w:r>
    </w:p>
    <w:p>
      <w:pPr>
        <w:pStyle w:val="12"/>
      </w:pPr>
      <w:r>
        <w:t>绩效目标：按照储备计划，完成储备工作。</w:t>
      </w:r>
    </w:p>
    <w:p>
      <w:pPr>
        <w:pStyle w:val="12"/>
      </w:pPr>
      <w:r>
        <w:t>绩效指标：食盐储备计划完成率。储备计划完成率100%为优，大于等于95%为良，大于等于90%为中，小于90%为差。</w:t>
      </w:r>
    </w:p>
    <w:p>
      <w:pPr>
        <w:pStyle w:val="12"/>
      </w:pPr>
      <w:r>
        <w:t>4、供销合作政务管理</w:t>
      </w:r>
    </w:p>
    <w:p>
      <w:pPr>
        <w:pStyle w:val="12"/>
      </w:pPr>
      <w:r>
        <w:t>绩效目标：综合业务管理方面，确保各项业务工作谋划到位，顺利开展。</w:t>
      </w:r>
    </w:p>
    <w:p>
      <w:pPr>
        <w:pStyle w:val="12"/>
      </w:pPr>
      <w:r>
        <w:t>绩效指标：系统业务活动完成率100%为优，大于等于95%为良，大于等于90%为中，小于90%为差。</w:t>
      </w:r>
    </w:p>
    <w:p>
      <w:pPr>
        <w:pStyle w:val="12"/>
      </w:pPr>
      <w:r>
        <w:t>绩效目标：综合事务管理方面，保障机关工作正常高效运转。</w:t>
      </w:r>
    </w:p>
    <w:p>
      <w:pPr>
        <w:pStyle w:val="12"/>
      </w:pPr>
      <w:r>
        <w:t>绩效指标：综合行政事务办结率100%为优，大于等于95%为良，大于等于90%为中，小于90%为差</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3"/>
      </w:pPr>
      <w:r>
        <w:t>全面深入解放思想，努力实现思想观念的更新与变革，继续推进供销社综合改革，抢抓发展机遇，增强发展后劲，使供销社的整体工作再上一个新的平台。</w:t>
      </w:r>
    </w:p>
    <w:p>
      <w:pPr>
        <w:pStyle w:val="13"/>
      </w:pPr>
      <w:r>
        <w:t>1.扎实推进组织体系建设</w:t>
      </w:r>
    </w:p>
    <w:p>
      <w:pPr>
        <w:pStyle w:val="13"/>
      </w:pPr>
      <w:r>
        <w:t>按照新建一批、改造一批、提升一批、巩固一批、做强一批“五个一批”的要求，全面推进基层社分类建设与改造，提升基层组织建设发展质量。</w:t>
      </w:r>
    </w:p>
    <w:p>
      <w:pPr>
        <w:pStyle w:val="13"/>
      </w:pPr>
      <w:r>
        <w:t>2.农村产权交易体系建设</w:t>
      </w:r>
    </w:p>
    <w:p>
      <w:pPr>
        <w:pStyle w:val="13"/>
      </w:pPr>
      <w:r>
        <w:t>进一步争取区政府和有关部门的支持，采取广泛调研、大力宣传、开展培训等工作措施，在省、市、县三级联网的基础上，搭建起一个交易品种齐全、架构清晰、制度规范、模式先进、信息联动、风险可控的农村产权交易平台。以土地经营权流转等农村产权交易为重点，着力开展农村产权交易流转业务，努力在乡村振兴战略中有更大作为。</w:t>
      </w:r>
    </w:p>
    <w:p>
      <w:pPr>
        <w:pStyle w:val="13"/>
      </w:pPr>
      <w:r>
        <w:t>3.发展现代流通网络建设及管理</w:t>
      </w:r>
    </w:p>
    <w:p>
      <w:pPr>
        <w:pStyle w:val="13"/>
      </w:pPr>
      <w:r>
        <w:t>发展电子商务，打造线上线下互动促销的网上供销社。推动现代信息技术与传统流通网络融合创新，顺应“互联网+”发展趋势，打造网上供销社。整合公共服务平台资源，以线下网点为基础，开展农村电子商务网上供销综合服务。加快对接全国供销合作总社电商平台、省供销合作总社农产品电子商务公司和云网商贸公司及其他电商交易平台；组织系统内外各类经营主体以网上销售带动门店销售，以门店销售支撑网上销售，不断探索新农村“线上市场”与“线下市场”互动促销的“网上供销社”经营新模式；以农产品电子商务交易为切入点和突破口，探索带动日用消费品、农资、再生资源等的电子商务交易。</w:t>
      </w:r>
    </w:p>
    <w:p>
      <w:pPr>
        <w:pStyle w:val="13"/>
      </w:pPr>
      <w:r>
        <w:t>4.食盐储备工作。指导食盐企业按照区政府食盐储备计划，开展储备工作。</w:t>
      </w:r>
    </w:p>
    <w:p>
      <w:pPr>
        <w:pStyle w:val="13"/>
      </w:pPr>
      <w:r>
        <w:t>5.进一步完善企业经营管理制度，保障社有资产安全和增值</w:t>
      </w:r>
    </w:p>
    <w:p>
      <w:pPr>
        <w:pStyle w:val="13"/>
      </w:pPr>
      <w:r>
        <w:t>（1）、坚持做大做强社有企业。在抓好传统业务的同时积极稳妥开拓新的经营服务领域，实现产业多元化经营。</w:t>
      </w:r>
    </w:p>
    <w:p>
      <w:pPr>
        <w:pStyle w:val="13"/>
      </w:pPr>
      <w:r>
        <w:t>（2）、加强社有资产管理。加大对社有资产的管控力度和盘活力度，实现社有资产效益最大化。</w:t>
      </w:r>
    </w:p>
    <w:p>
      <w:pPr>
        <w:pStyle w:val="13"/>
      </w:pPr>
      <w:r>
        <w:t>6.进一步为供销社的发展营造良好氛围</w:t>
      </w:r>
    </w:p>
    <w:p>
      <w:pPr>
        <w:pStyle w:val="13"/>
      </w:pPr>
      <w:r>
        <w:t>（1）、加强组织领导协调，营造良好政策环境。提高工作的针对性和有效性，建立工作责任制，抓好规划落实，确保各项工作顺利开展。</w:t>
      </w:r>
    </w:p>
    <w:p>
      <w:pPr>
        <w:pStyle w:val="13"/>
      </w:pPr>
      <w:r>
        <w:t>（2）、切实加强党的建设，增强拒腐防变能力。严格执行党风廉政建设责任制，深化党性党风党纪教育，不断增强拒腐防变的能力。</w:t>
      </w:r>
    </w:p>
    <w:p>
      <w:pPr>
        <w:pStyle w:val="13"/>
        <w:rPr>
          <w:lang w:val="uk-UA"/>
        </w:rPr>
      </w:pPr>
      <w:r>
        <w:t>（3）、充分发挥审计监督作用，增加权力运行的透明度。</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0"/>
        <w:outlineLvl w:val="3"/>
      </w:pPr>
      <w:bookmarkStart w:id="3" w:name="_Toc_4_4_0000000004"/>
      <w:r>
        <w:rPr>
          <w:rFonts w:ascii="方正仿宋_GBK" w:hAnsi="方正仿宋_GBK" w:eastAsia="方正仿宋_GBK" w:cs="方正仿宋_GBK"/>
          <w:color w:val="000000"/>
          <w:sz w:val="28"/>
        </w:rPr>
        <w:t>1.农村产权交易中心2022年运营经费（运转保障）绩效目标表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975001保定市徐水区供销合作社本级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13062522P00456710190A</w:t>
            </w:r>
          </w:p>
        </w:tc>
        <w:tc>
          <w:tcPr>
            <w:tcW w:w="1587" w:type="dxa"/>
            <w:vAlign w:val="center"/>
          </w:tcPr>
          <w:p>
            <w:pPr>
              <w:pStyle w:val="17"/>
            </w:pPr>
            <w:r>
              <w:t>项目名称</w:t>
            </w:r>
          </w:p>
        </w:tc>
        <w:tc>
          <w:tcPr>
            <w:tcW w:w="4422" w:type="dxa"/>
            <w:gridSpan w:val="3"/>
            <w:vAlign w:val="center"/>
          </w:tcPr>
          <w:p>
            <w:pPr>
              <w:pStyle w:val="16"/>
            </w:pPr>
            <w:r>
              <w:t>农村产权交易中心2022年运营经费（运转保障）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18.63</w:t>
            </w:r>
          </w:p>
        </w:tc>
        <w:tc>
          <w:tcPr>
            <w:tcW w:w="1587" w:type="dxa"/>
            <w:vAlign w:val="center"/>
          </w:tcPr>
          <w:p>
            <w:pPr>
              <w:pStyle w:val="17"/>
            </w:pPr>
            <w:r>
              <w:t>其中：财政    资金</w:t>
            </w:r>
          </w:p>
        </w:tc>
        <w:tc>
          <w:tcPr>
            <w:tcW w:w="1304" w:type="dxa"/>
            <w:vAlign w:val="center"/>
          </w:tcPr>
          <w:p>
            <w:pPr>
              <w:pStyle w:val="16"/>
            </w:pPr>
            <w:r>
              <w:t>18.63</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保障农村产权交易中心4名工作人员工资福利及工作的正常运转。</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1.保障农村集体资产所有权，使用权、股权等纳入市场范围，激活农村市场，提高经营效益，确保企业健康运营，发展壮大，推进农村产权交易的发展。</w:t>
            </w:r>
          </w:p>
          <w:p>
            <w:pPr>
              <w:pStyle w:val="16"/>
            </w:pPr>
            <w:r>
              <w:t>2.保障农村产权交易中心4名工作人员工资福利及工作的正常运转。</w:t>
            </w:r>
            <w:r>
              <w:tab/>
            </w:r>
          </w:p>
          <w:p>
            <w:pPr>
              <w:pStyle w:val="16"/>
            </w:pPr>
            <w:r>
              <w:t>3.项目资金预算金额：19.231668万元，按季度支付，预计2022年12月份支付完毕。</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保障工作人员数量</w:t>
            </w:r>
          </w:p>
        </w:tc>
        <w:tc>
          <w:tcPr>
            <w:tcW w:w="2891" w:type="dxa"/>
            <w:vAlign w:val="center"/>
          </w:tcPr>
          <w:p>
            <w:pPr>
              <w:pStyle w:val="16"/>
            </w:pPr>
            <w:r>
              <w:t>保障农村产权交易中心工作人员工资福利人数</w:t>
            </w:r>
          </w:p>
        </w:tc>
        <w:tc>
          <w:tcPr>
            <w:tcW w:w="1276" w:type="dxa"/>
            <w:vAlign w:val="center"/>
          </w:tcPr>
          <w:p>
            <w:pPr>
              <w:pStyle w:val="16"/>
            </w:pPr>
            <w:r>
              <w:t>4人</w:t>
            </w:r>
          </w:p>
        </w:tc>
        <w:tc>
          <w:tcPr>
            <w:tcW w:w="1843"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发放准确率</w:t>
            </w:r>
          </w:p>
        </w:tc>
        <w:tc>
          <w:tcPr>
            <w:tcW w:w="2891" w:type="dxa"/>
            <w:vAlign w:val="center"/>
          </w:tcPr>
          <w:p>
            <w:pPr>
              <w:pStyle w:val="16"/>
            </w:pPr>
            <w:r>
              <w:t>农村产权交易中心4名工作人员劳务费和保险费发放准确率</w:t>
            </w:r>
          </w:p>
        </w:tc>
        <w:tc>
          <w:tcPr>
            <w:tcW w:w="1276" w:type="dxa"/>
            <w:vAlign w:val="center"/>
          </w:tcPr>
          <w:p>
            <w:pPr>
              <w:pStyle w:val="16"/>
            </w:pPr>
            <w:r>
              <w:t>100%</w:t>
            </w:r>
          </w:p>
        </w:tc>
        <w:tc>
          <w:tcPr>
            <w:tcW w:w="1843"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资金支付及时率</w:t>
            </w:r>
          </w:p>
        </w:tc>
        <w:tc>
          <w:tcPr>
            <w:tcW w:w="2891" w:type="dxa"/>
            <w:vAlign w:val="center"/>
          </w:tcPr>
          <w:p>
            <w:pPr>
              <w:pStyle w:val="16"/>
            </w:pPr>
            <w:r>
              <w:t>按季度及时支付的比率</w:t>
            </w:r>
          </w:p>
        </w:tc>
        <w:tc>
          <w:tcPr>
            <w:tcW w:w="1276" w:type="dxa"/>
            <w:vAlign w:val="center"/>
          </w:tcPr>
          <w:p>
            <w:pPr>
              <w:pStyle w:val="16"/>
            </w:pPr>
            <w:r>
              <w:t>≥95%</w:t>
            </w:r>
          </w:p>
        </w:tc>
        <w:tc>
          <w:tcPr>
            <w:tcW w:w="1843"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运营成本</w:t>
            </w:r>
          </w:p>
        </w:tc>
        <w:tc>
          <w:tcPr>
            <w:tcW w:w="2891" w:type="dxa"/>
            <w:vAlign w:val="center"/>
          </w:tcPr>
          <w:p>
            <w:pPr>
              <w:pStyle w:val="16"/>
            </w:pPr>
            <w:r>
              <w:t>每季运营费支付金额</w:t>
            </w:r>
          </w:p>
        </w:tc>
        <w:tc>
          <w:tcPr>
            <w:tcW w:w="1276" w:type="dxa"/>
            <w:vAlign w:val="center"/>
          </w:tcPr>
          <w:p>
            <w:pPr>
              <w:pStyle w:val="16"/>
            </w:pPr>
            <w:r>
              <w:t>≤4.81万元</w:t>
            </w:r>
          </w:p>
        </w:tc>
        <w:tc>
          <w:tcPr>
            <w:tcW w:w="1843"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土地流转成交见证业务数</w:t>
            </w:r>
          </w:p>
        </w:tc>
        <w:tc>
          <w:tcPr>
            <w:tcW w:w="2891" w:type="dxa"/>
            <w:vAlign w:val="center"/>
          </w:tcPr>
          <w:p>
            <w:pPr>
              <w:pStyle w:val="16"/>
            </w:pPr>
            <w:r>
              <w:t>通过农村产权交易中心办理的土地流转成交见证业务数量</w:t>
            </w:r>
          </w:p>
        </w:tc>
        <w:tc>
          <w:tcPr>
            <w:tcW w:w="1276" w:type="dxa"/>
            <w:vAlign w:val="center"/>
          </w:tcPr>
          <w:p>
            <w:pPr>
              <w:pStyle w:val="16"/>
            </w:pPr>
            <w:r>
              <w:t>≥8笔</w:t>
            </w:r>
          </w:p>
        </w:tc>
        <w:tc>
          <w:tcPr>
            <w:tcW w:w="1843"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保障工作人员满意度</w:t>
            </w:r>
          </w:p>
        </w:tc>
        <w:tc>
          <w:tcPr>
            <w:tcW w:w="2891" w:type="dxa"/>
            <w:vAlign w:val="center"/>
          </w:tcPr>
          <w:p>
            <w:pPr>
              <w:pStyle w:val="16"/>
            </w:pPr>
            <w:r>
              <w:t>保障农村产权交易中心4名工作人员对资金发放情况的满意程度</w:t>
            </w:r>
          </w:p>
        </w:tc>
        <w:tc>
          <w:tcPr>
            <w:tcW w:w="1276" w:type="dxa"/>
            <w:vAlign w:val="center"/>
          </w:tcPr>
          <w:p>
            <w:pPr>
              <w:pStyle w:val="16"/>
            </w:pPr>
            <w:r>
              <w:t>≥85%</w:t>
            </w:r>
          </w:p>
        </w:tc>
        <w:tc>
          <w:tcPr>
            <w:tcW w:w="1843" w:type="dxa"/>
            <w:vAlign w:val="center"/>
          </w:tcPr>
          <w:p>
            <w:pPr>
              <w:pStyle w:val="16"/>
            </w:pPr>
            <w:r>
              <w:t>依据工作要求</w:t>
            </w:r>
          </w:p>
        </w:tc>
      </w:tr>
    </w:tbl>
    <w:p>
      <w:pPr>
        <w:ind w:firstLine="560"/>
        <w:outlineLvl w:val="3"/>
        <w:rPr>
          <w:rFonts w:ascii="方正仿宋_GBK" w:hAnsi="方正仿宋_GBK" w:eastAsia="方正仿宋_GBK" w:cs="方正仿宋_GBK"/>
          <w:color w:val="000000"/>
          <w:sz w:val="28"/>
        </w:rPr>
      </w:pPr>
      <w:bookmarkStart w:id="4" w:name="_Toc_4_4_0000000005"/>
    </w:p>
    <w:p>
      <w:pPr>
        <w:outlineLvl w:val="3"/>
        <w:rPr>
          <w:rFonts w:ascii="方正仿宋_GBK" w:hAnsi="方正仿宋_GBK" w:eastAsia="方正仿宋_GBK" w:cs="方正仿宋_GBK"/>
          <w:color w:val="000000"/>
          <w:sz w:val="28"/>
        </w:rPr>
      </w:pPr>
    </w:p>
    <w:p>
      <w:pPr>
        <w:outlineLvl w:val="3"/>
        <w:rPr>
          <w:rFonts w:hint="eastAsia" w:ascii="方正仿宋_GBK" w:hAnsi="方正仿宋_GBK" w:eastAsia="方正仿宋_GBK" w:cs="方正仿宋_GBK"/>
          <w:color w:val="000000"/>
          <w:sz w:val="28"/>
        </w:rPr>
      </w:pPr>
    </w:p>
    <w:p>
      <w:pPr>
        <w:outlineLvl w:val="3"/>
      </w:pPr>
      <w:r>
        <w:rPr>
          <w:rFonts w:ascii="方正仿宋_GBK" w:hAnsi="方正仿宋_GBK" w:eastAsia="方正仿宋_GBK" w:cs="方正仿宋_GBK"/>
          <w:color w:val="000000"/>
          <w:sz w:val="28"/>
        </w:rPr>
        <w:t>2.日常公用项目绩效目标表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975001保定市徐水区供销合作社本级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13062522P00459810043U</w:t>
            </w:r>
          </w:p>
        </w:tc>
        <w:tc>
          <w:tcPr>
            <w:tcW w:w="1587" w:type="dxa"/>
            <w:vAlign w:val="center"/>
          </w:tcPr>
          <w:p>
            <w:pPr>
              <w:pStyle w:val="17"/>
            </w:pPr>
            <w:r>
              <w:t>项目名称</w:t>
            </w:r>
          </w:p>
        </w:tc>
        <w:tc>
          <w:tcPr>
            <w:tcW w:w="4422" w:type="dxa"/>
            <w:gridSpan w:val="3"/>
            <w:vAlign w:val="center"/>
          </w:tcPr>
          <w:p>
            <w:pPr>
              <w:pStyle w:val="16"/>
            </w:pPr>
            <w:r>
              <w:t>日常公用项目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0.47</w:t>
            </w:r>
          </w:p>
        </w:tc>
        <w:tc>
          <w:tcPr>
            <w:tcW w:w="1587" w:type="dxa"/>
            <w:vAlign w:val="center"/>
          </w:tcPr>
          <w:p>
            <w:pPr>
              <w:pStyle w:val="17"/>
            </w:pPr>
            <w:r>
              <w:t>其中：财政    资金</w:t>
            </w:r>
          </w:p>
        </w:tc>
        <w:tc>
          <w:tcPr>
            <w:tcW w:w="1304" w:type="dxa"/>
            <w:vAlign w:val="center"/>
          </w:tcPr>
          <w:p>
            <w:pPr>
              <w:pStyle w:val="16"/>
            </w:pPr>
            <w:r>
              <w:t xml:space="preserve"> </w:t>
            </w:r>
          </w:p>
        </w:tc>
        <w:tc>
          <w:tcPr>
            <w:tcW w:w="1276" w:type="dxa"/>
            <w:vAlign w:val="center"/>
          </w:tcPr>
          <w:p>
            <w:pPr>
              <w:pStyle w:val="17"/>
            </w:pPr>
            <w:r>
              <w:t>其他资金</w:t>
            </w:r>
          </w:p>
        </w:tc>
        <w:tc>
          <w:tcPr>
            <w:tcW w:w="1843" w:type="dxa"/>
            <w:vAlign w:val="center"/>
          </w:tcPr>
          <w:p>
            <w:pPr>
              <w:pStyle w:val="16"/>
            </w:pPr>
            <w:r>
              <w:t>0.47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为完成本单位日常行政管理方面的费用开支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40%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1.确保我单位日常行政管理方面工作的运行</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绩效评价次数</w:t>
            </w:r>
          </w:p>
        </w:tc>
        <w:tc>
          <w:tcPr>
            <w:tcW w:w="2891" w:type="dxa"/>
            <w:vAlign w:val="center"/>
          </w:tcPr>
          <w:p>
            <w:pPr>
              <w:pStyle w:val="16"/>
            </w:pPr>
            <w:r>
              <w:t>按季度评价资金使用程度</w:t>
            </w:r>
          </w:p>
        </w:tc>
        <w:tc>
          <w:tcPr>
            <w:tcW w:w="1276" w:type="dxa"/>
            <w:vAlign w:val="center"/>
          </w:tcPr>
          <w:p>
            <w:pPr>
              <w:pStyle w:val="16"/>
            </w:pPr>
            <w:r>
              <w:t>4次</w:t>
            </w:r>
          </w:p>
        </w:tc>
        <w:tc>
          <w:tcPr>
            <w:tcW w:w="1843"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正常运行率</w:t>
            </w:r>
          </w:p>
        </w:tc>
        <w:tc>
          <w:tcPr>
            <w:tcW w:w="2891" w:type="dxa"/>
            <w:vAlign w:val="center"/>
          </w:tcPr>
          <w:p>
            <w:pPr>
              <w:pStyle w:val="16"/>
            </w:pPr>
            <w:r>
              <w:t>日常工作及设备设施的正常运转情况</w:t>
            </w:r>
          </w:p>
        </w:tc>
        <w:tc>
          <w:tcPr>
            <w:tcW w:w="1276" w:type="dxa"/>
            <w:vAlign w:val="center"/>
          </w:tcPr>
          <w:p>
            <w:pPr>
              <w:pStyle w:val="16"/>
            </w:pPr>
            <w:r>
              <w:t>≥95%</w:t>
            </w:r>
          </w:p>
        </w:tc>
        <w:tc>
          <w:tcPr>
            <w:tcW w:w="1843"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控制资金支出</w:t>
            </w:r>
          </w:p>
        </w:tc>
        <w:tc>
          <w:tcPr>
            <w:tcW w:w="2891" w:type="dxa"/>
            <w:vAlign w:val="center"/>
          </w:tcPr>
          <w:p>
            <w:pPr>
              <w:pStyle w:val="16"/>
            </w:pPr>
            <w:r>
              <w:t>资金支出进度占预算全额的比例</w:t>
            </w:r>
          </w:p>
        </w:tc>
        <w:tc>
          <w:tcPr>
            <w:tcW w:w="1276" w:type="dxa"/>
            <w:vAlign w:val="center"/>
          </w:tcPr>
          <w:p>
            <w:pPr>
              <w:pStyle w:val="16"/>
            </w:pPr>
            <w:r>
              <w:t>100%</w:t>
            </w:r>
          </w:p>
        </w:tc>
        <w:tc>
          <w:tcPr>
            <w:tcW w:w="1843"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预算执行率</w:t>
            </w:r>
          </w:p>
        </w:tc>
        <w:tc>
          <w:tcPr>
            <w:tcW w:w="2891" w:type="dxa"/>
            <w:vAlign w:val="center"/>
          </w:tcPr>
          <w:p>
            <w:pPr>
              <w:pStyle w:val="16"/>
            </w:pPr>
            <w:r>
              <w:t>按照支出进度要求和预算构成执行</w:t>
            </w:r>
          </w:p>
        </w:tc>
        <w:tc>
          <w:tcPr>
            <w:tcW w:w="1276" w:type="dxa"/>
            <w:vAlign w:val="center"/>
          </w:tcPr>
          <w:p>
            <w:pPr>
              <w:pStyle w:val="16"/>
            </w:pPr>
            <w:r>
              <w:t>100%</w:t>
            </w:r>
          </w:p>
        </w:tc>
        <w:tc>
          <w:tcPr>
            <w:tcW w:w="1843"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社会影响力</w:t>
            </w:r>
          </w:p>
        </w:tc>
        <w:tc>
          <w:tcPr>
            <w:tcW w:w="2891" w:type="dxa"/>
            <w:vAlign w:val="center"/>
          </w:tcPr>
          <w:p>
            <w:pPr>
              <w:pStyle w:val="16"/>
            </w:pPr>
            <w:r>
              <w:t>有效的改善职工作环境，有利于提高工作效率</w:t>
            </w:r>
          </w:p>
        </w:tc>
        <w:tc>
          <w:tcPr>
            <w:tcW w:w="1276" w:type="dxa"/>
            <w:vAlign w:val="center"/>
          </w:tcPr>
          <w:p>
            <w:pPr>
              <w:pStyle w:val="16"/>
            </w:pPr>
            <w:r>
              <w:t>≥95%</w:t>
            </w:r>
          </w:p>
        </w:tc>
        <w:tc>
          <w:tcPr>
            <w:tcW w:w="1843" w:type="dxa"/>
            <w:vAlign w:val="center"/>
          </w:tcPr>
          <w:p>
            <w:pPr>
              <w:pStyle w:val="16"/>
            </w:pPr>
            <w:r>
              <w:t>依据工作要求</w:t>
            </w:r>
          </w:p>
        </w:tc>
      </w:tr>
    </w:tbl>
    <w:p>
      <w:pPr>
        <w:outlineLvl w:val="0"/>
        <w:rPr>
          <w:rFonts w:ascii="方正小标宋_GBK" w:eastAsia="方正小标宋_GBK"/>
          <w:sz w:val="44"/>
        </w:rPr>
        <w:sectPr>
          <w:footerReference r:id="rId3" w:type="default"/>
          <w:pgSz w:w="11906" w:h="16838"/>
          <w:pgMar w:top="1440" w:right="1797" w:bottom="1440" w:left="1797" w:header="851" w:footer="992" w:gutter="0"/>
          <w:cols w:space="425" w:num="1"/>
          <w:docGrid w:type="linesAndChars" w:linePitch="312" w:charSpace="0"/>
        </w:sectPr>
      </w:pPr>
    </w:p>
    <w:p>
      <w:pP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rPr>
          <w:rFonts w:ascii="仿宋" w:hAnsi="仿宋" w:eastAsia="仿宋"/>
          <w:sz w:val="32"/>
          <w:szCs w:val="32"/>
        </w:rPr>
      </w:pPr>
    </w:p>
    <w:p>
      <w:pPr>
        <w:jc w:val="center"/>
        <w:outlineLvl w:val="1"/>
        <w:rPr>
          <w:rFonts w:ascii="Times New Roman" w:hAnsi="宋体" w:eastAsia="宋体"/>
          <w:sz w:val="32"/>
        </w:rPr>
      </w:pPr>
      <w:bookmarkStart w:id="5" w:name="_Toc69809617"/>
      <w:r>
        <w:rPr>
          <w:rFonts w:ascii="方正小标宋_GBK" w:eastAsia="方正小标宋_GBK"/>
          <w:sz w:val="32"/>
        </w:rPr>
        <w:t>部门政府采购预算</w:t>
      </w:r>
      <w:bookmarkEnd w:id="5"/>
    </w:p>
    <w:tbl>
      <w:tblPr>
        <w:tblStyle w:val="5"/>
        <w:tblW w:w="14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
        <w:gridCol w:w="1803"/>
        <w:gridCol w:w="1032"/>
        <w:gridCol w:w="1391"/>
        <w:gridCol w:w="1392"/>
        <w:gridCol w:w="644"/>
        <w:gridCol w:w="825"/>
        <w:gridCol w:w="827"/>
        <w:gridCol w:w="1030"/>
        <w:gridCol w:w="1030"/>
        <w:gridCol w:w="1030"/>
        <w:gridCol w:w="1030"/>
        <w:gridCol w:w="1030"/>
        <w:gridCol w:w="1030"/>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6" w:hRule="atLeast"/>
          <w:tblHeader/>
          <w:jc w:val="center"/>
        </w:trPr>
        <w:tc>
          <w:tcPr>
            <w:tcW w:w="7916" w:type="dxa"/>
            <w:gridSpan w:val="8"/>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w:t>
            </w:r>
            <w:r>
              <w:rPr>
                <w:rFonts w:ascii="方正小标宋_GBK" w:eastAsia="方正小标宋_GBK"/>
                <w:sz w:val="24"/>
              </w:rPr>
              <w:t>定市徐水区</w:t>
            </w:r>
            <w:r>
              <w:rPr>
                <w:rFonts w:hint="eastAsia" w:ascii="方正小标宋_GBK" w:eastAsia="方正小标宋_GBK"/>
                <w:sz w:val="24"/>
              </w:rPr>
              <w:t>供销合作社</w:t>
            </w:r>
          </w:p>
        </w:tc>
        <w:tc>
          <w:tcPr>
            <w:tcW w:w="61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6" w:type="dxa"/>
          <w:cantSplit/>
          <w:trHeight w:val="266" w:hRule="atLeast"/>
          <w:tblHeader/>
          <w:jc w:val="center"/>
        </w:trPr>
        <w:tc>
          <w:tcPr>
            <w:tcW w:w="2835"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392"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393"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64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825"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826"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193" w:type="dxa"/>
            <w:gridSpan w:val="7"/>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800" w:hRule="atLeast"/>
          <w:tblHeader/>
          <w:jc w:val="center"/>
        </w:trPr>
        <w:tc>
          <w:tcPr>
            <w:tcW w:w="1803"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392" w:type="dxa"/>
            <w:vMerge w:val="continue"/>
            <w:shd w:val="clear" w:color="auto" w:fill="auto"/>
            <w:vAlign w:val="center"/>
          </w:tcPr>
          <w:p>
            <w:pPr>
              <w:spacing w:line="300" w:lineRule="exact"/>
              <w:jc w:val="left"/>
              <w:outlineLvl w:val="1"/>
              <w:rPr>
                <w:rFonts w:ascii="Times New Roman" w:eastAsia="方正仿宋_GBK"/>
                <w:sz w:val="28"/>
              </w:rPr>
            </w:pPr>
          </w:p>
        </w:tc>
        <w:tc>
          <w:tcPr>
            <w:tcW w:w="1393" w:type="dxa"/>
            <w:vMerge w:val="continue"/>
            <w:shd w:val="clear" w:color="auto" w:fill="auto"/>
            <w:vAlign w:val="center"/>
          </w:tcPr>
          <w:p>
            <w:pPr>
              <w:spacing w:line="300" w:lineRule="exact"/>
              <w:jc w:val="left"/>
              <w:outlineLvl w:val="1"/>
              <w:rPr>
                <w:rFonts w:ascii="Times New Roman" w:eastAsia="方正仿宋_GBK"/>
                <w:sz w:val="28"/>
              </w:rPr>
            </w:pPr>
          </w:p>
        </w:tc>
        <w:tc>
          <w:tcPr>
            <w:tcW w:w="644" w:type="dxa"/>
            <w:vMerge w:val="continue"/>
            <w:shd w:val="clear" w:color="auto" w:fill="auto"/>
            <w:vAlign w:val="center"/>
          </w:tcPr>
          <w:p>
            <w:pPr>
              <w:spacing w:line="300" w:lineRule="exact"/>
              <w:jc w:val="left"/>
              <w:outlineLvl w:val="1"/>
              <w:rPr>
                <w:rFonts w:ascii="Times New Roman" w:eastAsia="方正仿宋_GBK"/>
                <w:sz w:val="28"/>
              </w:rPr>
            </w:pPr>
          </w:p>
        </w:tc>
        <w:tc>
          <w:tcPr>
            <w:tcW w:w="825" w:type="dxa"/>
            <w:vMerge w:val="continue"/>
            <w:shd w:val="clear" w:color="auto" w:fill="auto"/>
            <w:vAlign w:val="center"/>
          </w:tcPr>
          <w:p>
            <w:pPr>
              <w:spacing w:line="300" w:lineRule="exact"/>
              <w:jc w:val="left"/>
              <w:outlineLvl w:val="1"/>
              <w:rPr>
                <w:rFonts w:ascii="Times New Roman" w:eastAsia="方正仿宋_GBK"/>
                <w:sz w:val="28"/>
              </w:rPr>
            </w:pPr>
          </w:p>
        </w:tc>
        <w:tc>
          <w:tcPr>
            <w:tcW w:w="826" w:type="dxa"/>
            <w:vMerge w:val="continue"/>
            <w:shd w:val="clear" w:color="auto" w:fill="auto"/>
            <w:vAlign w:val="center"/>
          </w:tcPr>
          <w:p>
            <w:pPr>
              <w:spacing w:line="300" w:lineRule="exact"/>
              <w:jc w:val="left"/>
              <w:outlineLvl w:val="1"/>
              <w:rPr>
                <w:rFonts w:ascii="Times New Roman" w:eastAsia="方正仿宋_GBK"/>
                <w:sz w:val="28"/>
              </w:rPr>
            </w:pP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031"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266" w:hRule="atLeast"/>
          <w:jc w:val="center"/>
        </w:trPr>
        <w:tc>
          <w:tcPr>
            <w:tcW w:w="1803"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031" w:type="dxa"/>
            <w:shd w:val="clear" w:color="auto" w:fill="auto"/>
            <w:vAlign w:val="center"/>
          </w:tcPr>
          <w:p>
            <w:pPr>
              <w:spacing w:line="300" w:lineRule="exact"/>
              <w:jc w:val="right"/>
              <w:rPr>
                <w:rFonts w:ascii="方正书宋_GBK" w:eastAsia="方正书宋_GBK"/>
                <w:b/>
              </w:rPr>
            </w:pPr>
          </w:p>
        </w:tc>
        <w:tc>
          <w:tcPr>
            <w:tcW w:w="1392" w:type="dxa"/>
            <w:shd w:val="clear" w:color="auto" w:fill="auto"/>
            <w:vAlign w:val="center"/>
          </w:tcPr>
          <w:p>
            <w:pPr>
              <w:spacing w:line="300" w:lineRule="exact"/>
              <w:jc w:val="left"/>
              <w:rPr>
                <w:rFonts w:ascii="方正书宋_GBK" w:eastAsia="方正书宋_GBK"/>
                <w:b/>
              </w:rPr>
            </w:pPr>
          </w:p>
        </w:tc>
        <w:tc>
          <w:tcPr>
            <w:tcW w:w="1393" w:type="dxa"/>
            <w:shd w:val="clear" w:color="auto" w:fill="auto"/>
            <w:vAlign w:val="center"/>
          </w:tcPr>
          <w:p>
            <w:pPr>
              <w:spacing w:line="300" w:lineRule="exact"/>
              <w:jc w:val="left"/>
              <w:rPr>
                <w:rFonts w:ascii="方正书宋_GBK" w:eastAsia="方正书宋_GBK"/>
                <w:b/>
              </w:rPr>
            </w:pPr>
          </w:p>
        </w:tc>
        <w:tc>
          <w:tcPr>
            <w:tcW w:w="644" w:type="dxa"/>
            <w:shd w:val="clear" w:color="auto" w:fill="auto"/>
            <w:vAlign w:val="center"/>
          </w:tcPr>
          <w:p>
            <w:pPr>
              <w:spacing w:line="300" w:lineRule="exact"/>
              <w:jc w:val="center"/>
              <w:rPr>
                <w:rFonts w:ascii="方正书宋_GBK" w:eastAsia="方正书宋_GBK"/>
                <w:b/>
              </w:rPr>
            </w:pPr>
          </w:p>
        </w:tc>
        <w:tc>
          <w:tcPr>
            <w:tcW w:w="825" w:type="dxa"/>
            <w:shd w:val="clear" w:color="auto" w:fill="auto"/>
            <w:vAlign w:val="center"/>
          </w:tcPr>
          <w:p>
            <w:pPr>
              <w:spacing w:line="300" w:lineRule="exact"/>
              <w:jc w:val="right"/>
              <w:rPr>
                <w:rFonts w:ascii="方正书宋_GBK" w:eastAsia="方正书宋_GBK"/>
                <w:b/>
              </w:rPr>
            </w:pPr>
          </w:p>
        </w:tc>
        <w:tc>
          <w:tcPr>
            <w:tcW w:w="826"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266" w:hRule="atLeast"/>
          <w:jc w:val="center"/>
        </w:trPr>
        <w:tc>
          <w:tcPr>
            <w:tcW w:w="1803" w:type="dxa"/>
            <w:shd w:val="clear" w:color="auto" w:fill="auto"/>
            <w:vAlign w:val="center"/>
          </w:tcPr>
          <w:p>
            <w:pPr>
              <w:spacing w:line="300" w:lineRule="exact"/>
              <w:jc w:val="lef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392" w:type="dxa"/>
            <w:shd w:val="clear" w:color="auto" w:fill="auto"/>
            <w:vAlign w:val="center"/>
          </w:tcPr>
          <w:p>
            <w:pPr>
              <w:spacing w:line="300" w:lineRule="exact"/>
              <w:jc w:val="left"/>
              <w:rPr>
                <w:rFonts w:ascii="方正书宋_GBK" w:eastAsia="方正书宋_GBK"/>
                <w:b/>
              </w:rPr>
            </w:pPr>
          </w:p>
        </w:tc>
        <w:tc>
          <w:tcPr>
            <w:tcW w:w="1393" w:type="dxa"/>
            <w:shd w:val="clear" w:color="auto" w:fill="auto"/>
            <w:vAlign w:val="center"/>
          </w:tcPr>
          <w:p>
            <w:pPr>
              <w:spacing w:line="300" w:lineRule="exact"/>
              <w:jc w:val="left"/>
              <w:rPr>
                <w:rFonts w:ascii="方正书宋_GBK" w:eastAsia="方正书宋_GBK"/>
                <w:b/>
              </w:rPr>
            </w:pPr>
          </w:p>
        </w:tc>
        <w:tc>
          <w:tcPr>
            <w:tcW w:w="644" w:type="dxa"/>
            <w:shd w:val="clear" w:color="auto" w:fill="auto"/>
            <w:vAlign w:val="center"/>
          </w:tcPr>
          <w:p>
            <w:pPr>
              <w:spacing w:line="300" w:lineRule="exact"/>
              <w:jc w:val="center"/>
              <w:rPr>
                <w:rFonts w:ascii="方正书宋_GBK" w:eastAsia="方正书宋_GBK"/>
                <w:b/>
              </w:rPr>
            </w:pPr>
          </w:p>
        </w:tc>
        <w:tc>
          <w:tcPr>
            <w:tcW w:w="825" w:type="dxa"/>
            <w:shd w:val="clear" w:color="auto" w:fill="auto"/>
            <w:vAlign w:val="center"/>
          </w:tcPr>
          <w:p>
            <w:pPr>
              <w:spacing w:line="300" w:lineRule="exact"/>
              <w:jc w:val="right"/>
              <w:rPr>
                <w:rFonts w:ascii="方正书宋_GBK" w:eastAsia="方正书宋_GBK"/>
                <w:b/>
              </w:rPr>
            </w:pPr>
          </w:p>
        </w:tc>
        <w:tc>
          <w:tcPr>
            <w:tcW w:w="826"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c>
          <w:tcPr>
            <w:tcW w:w="103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266" w:hRule="atLeast"/>
          <w:jc w:val="center"/>
        </w:trPr>
        <w:tc>
          <w:tcPr>
            <w:tcW w:w="1803" w:type="dxa"/>
            <w:shd w:val="clear" w:color="auto" w:fill="auto"/>
            <w:vAlign w:val="center"/>
          </w:tcPr>
          <w:p>
            <w:pPr>
              <w:spacing w:line="300" w:lineRule="exact"/>
              <w:jc w:val="lef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392" w:type="dxa"/>
            <w:shd w:val="clear" w:color="auto" w:fill="auto"/>
            <w:vAlign w:val="center"/>
          </w:tcPr>
          <w:p>
            <w:pPr>
              <w:spacing w:line="300" w:lineRule="exact"/>
              <w:jc w:val="left"/>
              <w:rPr>
                <w:rFonts w:ascii="方正书宋_GBK" w:eastAsia="方正书宋_GBK"/>
              </w:rPr>
            </w:pPr>
          </w:p>
        </w:tc>
        <w:tc>
          <w:tcPr>
            <w:tcW w:w="1393" w:type="dxa"/>
            <w:shd w:val="clear" w:color="auto" w:fill="auto"/>
            <w:vAlign w:val="center"/>
          </w:tcPr>
          <w:p>
            <w:pPr>
              <w:spacing w:line="300" w:lineRule="exact"/>
              <w:jc w:val="left"/>
              <w:rPr>
                <w:rFonts w:ascii="方正书宋_GBK" w:eastAsia="方正书宋_GBK"/>
              </w:rPr>
            </w:pPr>
          </w:p>
        </w:tc>
        <w:tc>
          <w:tcPr>
            <w:tcW w:w="644" w:type="dxa"/>
            <w:shd w:val="clear" w:color="auto" w:fill="auto"/>
            <w:vAlign w:val="center"/>
          </w:tcPr>
          <w:p>
            <w:pPr>
              <w:spacing w:line="300" w:lineRule="exact"/>
              <w:jc w:val="center"/>
              <w:rPr>
                <w:rFonts w:ascii="方正书宋_GBK" w:eastAsia="方正书宋_GBK"/>
              </w:rPr>
            </w:pPr>
          </w:p>
        </w:tc>
        <w:tc>
          <w:tcPr>
            <w:tcW w:w="825" w:type="dxa"/>
            <w:shd w:val="clear" w:color="auto" w:fill="auto"/>
            <w:vAlign w:val="center"/>
          </w:tcPr>
          <w:p>
            <w:pPr>
              <w:spacing w:line="300" w:lineRule="exact"/>
              <w:jc w:val="right"/>
              <w:rPr>
                <w:rFonts w:ascii="方正书宋_GBK" w:eastAsia="方正书宋_GBK"/>
              </w:rPr>
            </w:pPr>
          </w:p>
        </w:tc>
        <w:tc>
          <w:tcPr>
            <w:tcW w:w="826"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6" w:type="dxa"/>
          <w:wAfter w:w="9" w:type="dxa"/>
          <w:cantSplit/>
          <w:trHeight w:val="266" w:hRule="atLeast"/>
          <w:jc w:val="center"/>
        </w:trPr>
        <w:tc>
          <w:tcPr>
            <w:tcW w:w="1803" w:type="dxa"/>
            <w:shd w:val="clear" w:color="auto" w:fill="auto"/>
            <w:vAlign w:val="center"/>
          </w:tcPr>
          <w:p>
            <w:pPr>
              <w:spacing w:line="300" w:lineRule="exact"/>
              <w:jc w:val="lef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392" w:type="dxa"/>
            <w:shd w:val="clear" w:color="auto" w:fill="auto"/>
            <w:vAlign w:val="center"/>
          </w:tcPr>
          <w:p>
            <w:pPr>
              <w:spacing w:line="300" w:lineRule="exact"/>
              <w:jc w:val="left"/>
              <w:rPr>
                <w:rFonts w:ascii="方正书宋_GBK"/>
              </w:rPr>
            </w:pPr>
          </w:p>
        </w:tc>
        <w:tc>
          <w:tcPr>
            <w:tcW w:w="1393" w:type="dxa"/>
            <w:shd w:val="clear" w:color="auto" w:fill="auto"/>
            <w:vAlign w:val="center"/>
          </w:tcPr>
          <w:p>
            <w:pPr>
              <w:spacing w:line="300" w:lineRule="exact"/>
              <w:jc w:val="left"/>
              <w:rPr>
                <w:rFonts w:ascii="方正书宋_GBK" w:eastAsia="方正书宋_GBK"/>
              </w:rPr>
            </w:pPr>
          </w:p>
        </w:tc>
        <w:tc>
          <w:tcPr>
            <w:tcW w:w="644" w:type="dxa"/>
            <w:shd w:val="clear" w:color="auto" w:fill="auto"/>
            <w:vAlign w:val="center"/>
          </w:tcPr>
          <w:p>
            <w:pPr>
              <w:spacing w:line="300" w:lineRule="exact"/>
              <w:jc w:val="center"/>
              <w:rPr>
                <w:rFonts w:ascii="方正书宋_GBK"/>
              </w:rPr>
            </w:pPr>
          </w:p>
        </w:tc>
        <w:tc>
          <w:tcPr>
            <w:tcW w:w="825" w:type="dxa"/>
            <w:shd w:val="clear" w:color="auto" w:fill="auto"/>
            <w:vAlign w:val="center"/>
          </w:tcPr>
          <w:p>
            <w:pPr>
              <w:spacing w:line="300" w:lineRule="exact"/>
              <w:jc w:val="right"/>
              <w:rPr>
                <w:rFonts w:ascii="方正书宋_GBK" w:eastAsia="方正书宋_GBK"/>
              </w:rPr>
            </w:pPr>
          </w:p>
        </w:tc>
        <w:tc>
          <w:tcPr>
            <w:tcW w:w="826"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c>
          <w:tcPr>
            <w:tcW w:w="1031"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w:t>
      </w:r>
      <w:r>
        <w:rPr>
          <w:rFonts w:ascii="仿宋" w:hAnsi="仿宋" w:eastAsia="仿宋"/>
          <w:sz w:val="32"/>
          <w:szCs w:val="32"/>
        </w:rPr>
        <w:t>0.3863</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20</w:t>
            </w:r>
            <w:r>
              <w:rPr>
                <w:rFonts w:ascii="仿宋_GB2312" w:hAnsi="仿宋" w:eastAsia="仿宋_GB2312" w:cs="宋体"/>
                <w:b/>
                <w:kern w:val="0"/>
                <w:sz w:val="24"/>
                <w:szCs w:val="24"/>
              </w:rPr>
              <w:t>.</w:t>
            </w:r>
            <w:r>
              <w:rPr>
                <w:rFonts w:hint="eastAsia" w:ascii="仿宋_GB2312" w:hAnsi="仿宋" w:eastAsia="仿宋_GB2312" w:cs="宋体"/>
                <w:b/>
                <w:kern w:val="0"/>
                <w:sz w:val="24"/>
                <w:szCs w:val="24"/>
              </w:rPr>
              <w:t>3863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11.4894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8.8969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46899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kYjU0NTYwMGE3N2JkNWQyMDk5YTY5Y2IxYmYwNjIifQ=="/>
  </w:docVars>
  <w:rsids>
    <w:rsidRoot w:val="00055F1F"/>
    <w:rsid w:val="00013B8A"/>
    <w:rsid w:val="00044FBC"/>
    <w:rsid w:val="00055F1F"/>
    <w:rsid w:val="000577EF"/>
    <w:rsid w:val="00057F18"/>
    <w:rsid w:val="000A445D"/>
    <w:rsid w:val="000C178B"/>
    <w:rsid w:val="00131DEC"/>
    <w:rsid w:val="00136AB3"/>
    <w:rsid w:val="001462BD"/>
    <w:rsid w:val="00152380"/>
    <w:rsid w:val="00152D74"/>
    <w:rsid w:val="001638BE"/>
    <w:rsid w:val="00164810"/>
    <w:rsid w:val="00172C7A"/>
    <w:rsid w:val="00181777"/>
    <w:rsid w:val="001B4688"/>
    <w:rsid w:val="001B6235"/>
    <w:rsid w:val="001F4875"/>
    <w:rsid w:val="00212335"/>
    <w:rsid w:val="00215A28"/>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A11F5"/>
    <w:rsid w:val="004B6929"/>
    <w:rsid w:val="004E2F43"/>
    <w:rsid w:val="004E3572"/>
    <w:rsid w:val="004F3C52"/>
    <w:rsid w:val="00510A1E"/>
    <w:rsid w:val="005158E2"/>
    <w:rsid w:val="00524204"/>
    <w:rsid w:val="00550049"/>
    <w:rsid w:val="00553F7E"/>
    <w:rsid w:val="00570142"/>
    <w:rsid w:val="00586C35"/>
    <w:rsid w:val="00597830"/>
    <w:rsid w:val="005B1B6F"/>
    <w:rsid w:val="005B6CCB"/>
    <w:rsid w:val="005C54AA"/>
    <w:rsid w:val="005C7B89"/>
    <w:rsid w:val="0062788A"/>
    <w:rsid w:val="00632A9B"/>
    <w:rsid w:val="00641F8A"/>
    <w:rsid w:val="0066383B"/>
    <w:rsid w:val="006756B3"/>
    <w:rsid w:val="006A6FA2"/>
    <w:rsid w:val="006B5117"/>
    <w:rsid w:val="006C62DF"/>
    <w:rsid w:val="006F5104"/>
    <w:rsid w:val="006F6549"/>
    <w:rsid w:val="00735B02"/>
    <w:rsid w:val="007657C8"/>
    <w:rsid w:val="00767A77"/>
    <w:rsid w:val="00771E49"/>
    <w:rsid w:val="00782208"/>
    <w:rsid w:val="00791938"/>
    <w:rsid w:val="007A5999"/>
    <w:rsid w:val="007C7FD7"/>
    <w:rsid w:val="007D75AB"/>
    <w:rsid w:val="007F3746"/>
    <w:rsid w:val="00833132"/>
    <w:rsid w:val="00845C67"/>
    <w:rsid w:val="0086454E"/>
    <w:rsid w:val="008672EA"/>
    <w:rsid w:val="00891680"/>
    <w:rsid w:val="008A0099"/>
    <w:rsid w:val="008A0B5F"/>
    <w:rsid w:val="008B5402"/>
    <w:rsid w:val="008D11BC"/>
    <w:rsid w:val="008F4BDB"/>
    <w:rsid w:val="0090527E"/>
    <w:rsid w:val="00905BB7"/>
    <w:rsid w:val="0090620C"/>
    <w:rsid w:val="00912DA4"/>
    <w:rsid w:val="009302B8"/>
    <w:rsid w:val="009305C6"/>
    <w:rsid w:val="009668FE"/>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160A8"/>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CF0BFD"/>
    <w:rsid w:val="00D02F97"/>
    <w:rsid w:val="00D45530"/>
    <w:rsid w:val="00D45A0E"/>
    <w:rsid w:val="00D45D23"/>
    <w:rsid w:val="00D5673C"/>
    <w:rsid w:val="00D723D1"/>
    <w:rsid w:val="00D80C60"/>
    <w:rsid w:val="00D8525F"/>
    <w:rsid w:val="00DA0C4D"/>
    <w:rsid w:val="00DA5DA7"/>
    <w:rsid w:val="00DE3935"/>
    <w:rsid w:val="00DE6B32"/>
    <w:rsid w:val="00DF26B8"/>
    <w:rsid w:val="00DF7677"/>
    <w:rsid w:val="00E064AA"/>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74CB3"/>
    <w:rsid w:val="00F8024E"/>
    <w:rsid w:val="00F82447"/>
    <w:rsid w:val="00F868E5"/>
    <w:rsid w:val="00FB2F32"/>
    <w:rsid w:val="00FC3191"/>
    <w:rsid w:val="00FE0F1F"/>
    <w:rsid w:val="00FF61F3"/>
    <w:rsid w:val="0A214432"/>
    <w:rsid w:val="27733670"/>
    <w:rsid w:val="309327EB"/>
    <w:rsid w:val="3D7E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3">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CCE0-479D-400E-B024-12289967D569}">
  <ds:schemaRefs/>
</ds:datastoreItem>
</file>

<file path=docProps/app.xml><?xml version="1.0" encoding="utf-8"?>
<Properties xmlns="http://schemas.openxmlformats.org/officeDocument/2006/extended-properties" xmlns:vt="http://schemas.openxmlformats.org/officeDocument/2006/docPropsVTypes">
  <Template>Normal</Template>
  <Pages>13</Pages>
  <Words>4795</Words>
  <Characters>5123</Characters>
  <Lines>40</Lines>
  <Paragraphs>11</Paragraphs>
  <TotalTime>717</TotalTime>
  <ScaleCrop>false</ScaleCrop>
  <LinksUpToDate>false</LinksUpToDate>
  <CharactersWithSpaces>5212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WPS_1606362958</cp:lastModifiedBy>
  <cp:lastPrinted>2021-04-14T02:06:00Z</cp:lastPrinted>
  <dcterms:modified xsi:type="dcterms:W3CDTF">2024-06-05T02:41:51Z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76EAFEA3433E47EF9BBEB116C4FC5C2C</vt:lpwstr>
  </property>
</Properties>
</file>