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rPr>
        <w:t>保定市徐水区</w:t>
      </w:r>
      <w:r>
        <w:rPr>
          <w:rFonts w:hint="eastAsia" w:ascii="宋体" w:hAnsi="宋体" w:eastAsia="宋体"/>
          <w:b/>
          <w:sz w:val="44"/>
          <w:szCs w:val="44"/>
          <w:lang w:eastAsia="zh-CN"/>
        </w:rPr>
        <w:t>财政局</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numPr>
          <w:ilvl w:val="0"/>
          <w:numId w:val="1"/>
        </w:num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部门职责</w:t>
      </w:r>
    </w:p>
    <w:p>
      <w:pPr>
        <w:ind w:firstLine="640" w:firstLineChars="200"/>
        <w:rPr>
          <w:rFonts w:ascii="仿宋_GB2312" w:hAnsi="Calibri" w:eastAsia="仿宋_GB2312"/>
          <w:sz w:val="32"/>
          <w:szCs w:val="32"/>
        </w:rPr>
      </w:pPr>
      <w:r>
        <w:rPr>
          <w:rFonts w:hint="eastAsia" w:ascii="仿宋_GB2312" w:hAnsi="Calibri" w:eastAsia="仿宋_GB2312"/>
          <w:sz w:val="32"/>
          <w:szCs w:val="32"/>
        </w:rPr>
        <w:t>（一）拟订财税发展战略、规划和改革方案并组织实施；分析预测宏观经济形势，提出运用财税政策实施宏观调控和综合平衡社会财力的建议；拟订区与乡镇、政府与地方企业的分配政策。</w:t>
      </w:r>
    </w:p>
    <w:p>
      <w:pPr>
        <w:rPr>
          <w:rFonts w:ascii="仿宋_GB2312" w:hAnsi="Calibri" w:eastAsia="仿宋_GB2312"/>
          <w:sz w:val="32"/>
          <w:szCs w:val="32"/>
        </w:rPr>
      </w:pPr>
      <w:r>
        <w:rPr>
          <w:rFonts w:hint="eastAsia" w:ascii="仿宋_GB2312" w:hAnsi="Calibri" w:eastAsia="仿宋_GB2312"/>
          <w:sz w:val="32"/>
          <w:szCs w:val="32"/>
        </w:rPr>
        <w:t xml:space="preserve">   （二）贯彻执行国家、省、</w:t>
      </w:r>
      <w:r>
        <w:rPr>
          <w:rFonts w:ascii="仿宋_GB2312" w:hAnsi="Calibri" w:eastAsia="仿宋_GB2312"/>
          <w:sz w:val="32"/>
          <w:szCs w:val="32"/>
        </w:rPr>
        <w:t>市</w:t>
      </w:r>
      <w:r>
        <w:rPr>
          <w:rFonts w:hint="eastAsia" w:ascii="仿宋_GB2312" w:hAnsi="Calibri" w:eastAsia="仿宋_GB2312"/>
          <w:sz w:val="32"/>
          <w:szCs w:val="32"/>
        </w:rPr>
        <w:t>财政、税收、财务、会计管理的各项法律法规；制定全区有关规章制度并监督实施。</w:t>
      </w:r>
    </w:p>
    <w:p>
      <w:pPr>
        <w:rPr>
          <w:rFonts w:ascii="仿宋_GB2312" w:hAnsi="Calibri" w:eastAsia="仿宋_GB2312"/>
          <w:sz w:val="32"/>
          <w:szCs w:val="32"/>
        </w:rPr>
      </w:pPr>
      <w:r>
        <w:rPr>
          <w:rFonts w:hint="eastAsia" w:ascii="仿宋_GB2312" w:hAnsi="Calibri" w:eastAsia="仿宋_GB2312"/>
          <w:sz w:val="32"/>
          <w:szCs w:val="32"/>
        </w:rPr>
        <w:t xml:space="preserve">    （三）承担财政预算管理的责任。负责编制年度区</w:t>
      </w:r>
      <w:r>
        <w:rPr>
          <w:rFonts w:ascii="仿宋_GB2312" w:hAnsi="Calibri" w:eastAsia="仿宋_GB2312"/>
          <w:sz w:val="32"/>
          <w:szCs w:val="32"/>
        </w:rPr>
        <w:t>本级</w:t>
      </w:r>
      <w:r>
        <w:rPr>
          <w:rFonts w:hint="eastAsia" w:ascii="仿宋_GB2312" w:hAnsi="Calibri" w:eastAsia="仿宋_GB2312"/>
          <w:sz w:val="32"/>
          <w:szCs w:val="32"/>
        </w:rPr>
        <w:t>预算草案并组织执行，</w:t>
      </w:r>
      <w:r>
        <w:rPr>
          <w:rFonts w:ascii="仿宋_GB2312" w:hAnsi="Calibri" w:eastAsia="仿宋_GB2312"/>
          <w:sz w:val="32"/>
          <w:szCs w:val="32"/>
        </w:rPr>
        <w:t>汇编全</w:t>
      </w:r>
      <w:r>
        <w:rPr>
          <w:rFonts w:hint="eastAsia" w:ascii="仿宋_GB2312" w:hAnsi="Calibri" w:eastAsia="仿宋_GB2312"/>
          <w:sz w:val="32"/>
          <w:szCs w:val="32"/>
        </w:rPr>
        <w:t>区</w:t>
      </w:r>
      <w:r>
        <w:rPr>
          <w:rFonts w:ascii="仿宋_GB2312" w:hAnsi="Calibri" w:eastAsia="仿宋_GB2312"/>
          <w:sz w:val="32"/>
          <w:szCs w:val="32"/>
        </w:rPr>
        <w:t>年度</w:t>
      </w:r>
      <w:r>
        <w:rPr>
          <w:rFonts w:hint="eastAsia" w:ascii="仿宋_GB2312" w:hAnsi="Calibri" w:eastAsia="仿宋_GB2312"/>
          <w:sz w:val="32"/>
          <w:szCs w:val="32"/>
        </w:rPr>
        <w:t>预决算草案；受区政府委托，向区人民代表大会报告全区预算及其执行情况，向区人大常委会报告预算调整方案和决算；组织制定经费开支标准、定额，负责审核批复部门（单位）的年度预决算管理；负责政府预决算公开，并组织部门预决算公开工作。</w:t>
      </w:r>
    </w:p>
    <w:p>
      <w:pPr>
        <w:rPr>
          <w:rFonts w:ascii="仿宋_GB2312" w:hAnsi="Calibri" w:eastAsia="仿宋_GB2312"/>
          <w:sz w:val="32"/>
          <w:szCs w:val="32"/>
        </w:rPr>
      </w:pPr>
      <w:r>
        <w:rPr>
          <w:rFonts w:hint="eastAsia" w:ascii="仿宋_GB2312" w:hAnsi="Calibri" w:eastAsia="仿宋_GB2312"/>
          <w:sz w:val="32"/>
          <w:szCs w:val="32"/>
        </w:rPr>
        <w:t xml:space="preserve">    （四）承担财政体制管理的责任。负责拟订区对乡镇财政管理体制，组织实施财政体制改革；完善地方转移支付制度。</w:t>
      </w:r>
    </w:p>
    <w:p>
      <w:pPr>
        <w:rPr>
          <w:rFonts w:ascii="仿宋_GB2312" w:hAnsi="Calibri" w:eastAsia="仿宋_GB2312"/>
          <w:sz w:val="32"/>
          <w:szCs w:val="32"/>
        </w:rPr>
      </w:pPr>
      <w:r>
        <w:rPr>
          <w:rFonts w:hint="eastAsia" w:ascii="仿宋_GB2312" w:hAnsi="Calibri" w:eastAsia="仿宋_GB2312"/>
          <w:sz w:val="32"/>
          <w:szCs w:val="32"/>
        </w:rPr>
        <w:t xml:space="preserve">    （五）承担财政国库管理的责任。组织制定国库管理制度、国库集中收付制度并组织实施，指导和监督全区国库业务，按规定开展国库现金管理。组织编制</w:t>
      </w:r>
      <w:r>
        <w:rPr>
          <w:rFonts w:ascii="仿宋_GB2312" w:hAnsi="Calibri" w:eastAsia="仿宋_GB2312"/>
          <w:sz w:val="32"/>
          <w:szCs w:val="32"/>
        </w:rPr>
        <w:t>政府财务报告</w:t>
      </w:r>
      <w:r>
        <w:rPr>
          <w:rFonts w:hint="eastAsia" w:ascii="仿宋_GB2312" w:hAnsi="Calibri" w:eastAsia="仿宋_GB2312"/>
          <w:sz w:val="32"/>
          <w:szCs w:val="32"/>
        </w:rPr>
        <w:t>。</w:t>
      </w:r>
    </w:p>
    <w:p>
      <w:pPr>
        <w:rPr>
          <w:rFonts w:ascii="仿宋_GB2312" w:hAnsi="Calibri" w:eastAsia="仿宋_GB2312"/>
          <w:sz w:val="32"/>
          <w:szCs w:val="32"/>
        </w:rPr>
      </w:pPr>
      <w:r>
        <w:rPr>
          <w:rFonts w:hint="eastAsia" w:ascii="仿宋_GB2312" w:hAnsi="Calibri" w:eastAsia="仿宋_GB2312"/>
          <w:sz w:val="32"/>
          <w:szCs w:val="32"/>
        </w:rPr>
        <w:t xml:space="preserve">   （六）按分工负责政府非税收入管理。负责政府性基金管理，按规定管理行政事业性收费；管理财政票据；按规定管理彩票资金；负责政府购买服务相关政策制定和实施。</w:t>
      </w:r>
    </w:p>
    <w:p>
      <w:pPr>
        <w:rPr>
          <w:rFonts w:ascii="仿宋_GB2312" w:hAnsi="Calibri" w:eastAsia="仿宋_GB2312"/>
          <w:sz w:val="32"/>
          <w:szCs w:val="32"/>
        </w:rPr>
      </w:pPr>
      <w:r>
        <w:rPr>
          <w:rFonts w:hint="eastAsia" w:ascii="仿宋_GB2312" w:hAnsi="Calibri" w:eastAsia="仿宋_GB2312"/>
          <w:sz w:val="32"/>
          <w:szCs w:val="32"/>
        </w:rPr>
        <w:t xml:space="preserve">    （七）落实管理权限内的地方性税收政策调整；提出省市授权税目税率调整、减免和地方税收政策等重大事项的建议，监督检查地方税收政策的执行情况；负责组织协调涉税部门，加强综合治税，促进公平税负，提高收入质量，实现应收尽收。</w:t>
      </w:r>
    </w:p>
    <w:p>
      <w:pPr>
        <w:rPr>
          <w:rFonts w:ascii="仿宋_GB2312" w:hAnsi="Calibri" w:eastAsia="仿宋_GB2312"/>
          <w:b/>
          <w:sz w:val="32"/>
          <w:szCs w:val="32"/>
          <w:u w:val="single"/>
        </w:rPr>
      </w:pPr>
      <w:r>
        <w:rPr>
          <w:rFonts w:hint="eastAsia" w:ascii="仿宋_GB2312" w:hAnsi="Calibri" w:eastAsia="仿宋_GB2312"/>
          <w:sz w:val="32"/>
          <w:szCs w:val="32"/>
        </w:rPr>
        <w:t xml:space="preserve">    （八）牵头编制</w:t>
      </w:r>
      <w:r>
        <w:rPr>
          <w:rFonts w:ascii="仿宋_GB2312" w:hAnsi="Calibri" w:eastAsia="仿宋_GB2312"/>
          <w:sz w:val="32"/>
          <w:szCs w:val="32"/>
        </w:rPr>
        <w:t>国有资产管理情况报告；</w:t>
      </w:r>
      <w:r>
        <w:rPr>
          <w:rFonts w:hint="eastAsia" w:ascii="仿宋_GB2312" w:hAnsi="Calibri" w:eastAsia="仿宋_GB2312"/>
          <w:sz w:val="32"/>
          <w:szCs w:val="32"/>
        </w:rPr>
        <w:t>负责拟订行政事业单位国有资产管理规章制度，并负责组织实施</w:t>
      </w:r>
      <w:r>
        <w:rPr>
          <w:rFonts w:ascii="仿宋_GB2312" w:hAnsi="Calibri" w:eastAsia="仿宋_GB2312"/>
          <w:sz w:val="32"/>
          <w:szCs w:val="32"/>
        </w:rPr>
        <w:t>和监督</w:t>
      </w:r>
      <w:r>
        <w:rPr>
          <w:rFonts w:hint="eastAsia" w:ascii="仿宋_GB2312" w:hAnsi="Calibri" w:eastAsia="仿宋_GB2312"/>
          <w:sz w:val="32"/>
          <w:szCs w:val="32"/>
        </w:rPr>
        <w:t>检查；</w:t>
      </w:r>
      <w:r>
        <w:rPr>
          <w:rFonts w:hint="eastAsia" w:ascii="仿宋_GB2312" w:hAnsi="Calibri" w:eastAsia="仿宋_GB2312"/>
          <w:color w:val="000000"/>
          <w:sz w:val="32"/>
          <w:szCs w:val="32"/>
        </w:rPr>
        <w:t>会同</w:t>
      </w:r>
      <w:r>
        <w:rPr>
          <w:rFonts w:ascii="仿宋_GB2312" w:hAnsi="Calibri" w:eastAsia="仿宋_GB2312"/>
          <w:color w:val="000000"/>
          <w:sz w:val="32"/>
          <w:szCs w:val="32"/>
        </w:rPr>
        <w:t>有关部门</w:t>
      </w:r>
      <w:r>
        <w:rPr>
          <w:rFonts w:hint="eastAsia" w:ascii="仿宋_GB2312" w:hAnsi="Calibri" w:eastAsia="仿宋_GB2312"/>
          <w:color w:val="000000"/>
          <w:sz w:val="32"/>
          <w:szCs w:val="32"/>
        </w:rPr>
        <w:t>拟定行政事业单位国有资产配置标准，并</w:t>
      </w:r>
      <w:r>
        <w:rPr>
          <w:rFonts w:ascii="仿宋_GB2312" w:hAnsi="Calibri" w:eastAsia="仿宋_GB2312"/>
          <w:color w:val="000000"/>
          <w:sz w:val="32"/>
          <w:szCs w:val="32"/>
        </w:rPr>
        <w:t>负责</w:t>
      </w:r>
      <w:r>
        <w:rPr>
          <w:rFonts w:hint="eastAsia" w:ascii="仿宋_GB2312" w:hAnsi="Calibri" w:eastAsia="仿宋_GB2312"/>
          <w:color w:val="000000"/>
          <w:sz w:val="32"/>
          <w:szCs w:val="32"/>
        </w:rPr>
        <w:t>购置经费的预算管理</w:t>
      </w:r>
      <w:r>
        <w:rPr>
          <w:rFonts w:ascii="仿宋_GB2312" w:hAnsi="Calibri" w:eastAsia="仿宋_GB2312"/>
          <w:sz w:val="32"/>
          <w:szCs w:val="32"/>
        </w:rPr>
        <w:t>，</w:t>
      </w:r>
      <w:r>
        <w:rPr>
          <w:rFonts w:hint="eastAsia" w:ascii="仿宋_GB2312" w:hAnsi="Calibri" w:eastAsia="仿宋_GB2312"/>
          <w:sz w:val="32"/>
          <w:szCs w:val="32"/>
        </w:rPr>
        <w:t>制定需要全区统一规定的开支标准和支出政策。承担全区机关事业单位公务车辆编制管理职责。</w:t>
      </w:r>
    </w:p>
    <w:p>
      <w:pPr>
        <w:ind w:firstLine="645"/>
        <w:rPr>
          <w:rFonts w:ascii="仿宋_GB2312" w:hAnsi="Calibri" w:eastAsia="仿宋_GB2312"/>
          <w:sz w:val="32"/>
          <w:szCs w:val="32"/>
        </w:rPr>
      </w:pPr>
      <w:r>
        <w:rPr>
          <w:rFonts w:hint="eastAsia" w:ascii="仿宋_GB2312" w:hAnsi="Calibri" w:eastAsia="仿宋_GB2312"/>
          <w:sz w:val="32"/>
          <w:szCs w:val="32"/>
        </w:rPr>
        <w:t>（九）负责编制全区国有资本经营预决算草案，制定国有资本经营预算制度和办法，收取区属企业国有资本收益；组织实施企业财务制度；按规定管理地方金融类企业国有资产，拟订企业国有资产管理相关制度。</w:t>
      </w:r>
    </w:p>
    <w:p>
      <w:pPr>
        <w:ind w:firstLine="645"/>
        <w:rPr>
          <w:rFonts w:ascii="仿宋_GB2312" w:hAnsi="Calibri" w:eastAsia="仿宋_GB2312"/>
          <w:sz w:val="32"/>
          <w:szCs w:val="32"/>
          <w:u w:val="single"/>
        </w:rPr>
      </w:pPr>
      <w:r>
        <w:rPr>
          <w:rFonts w:hint="eastAsia" w:ascii="仿宋_GB2312" w:hAnsi="Calibri" w:eastAsia="仿宋_GB2312"/>
          <w:sz w:val="32"/>
          <w:szCs w:val="32"/>
        </w:rPr>
        <w:t>（十）按照区政府授权，代表区政府对财政出资的国有企业行使出资人权利，重大事项报区政府批准。</w:t>
      </w:r>
    </w:p>
    <w:p>
      <w:pPr>
        <w:ind w:firstLine="645"/>
        <w:rPr>
          <w:rFonts w:ascii="仿宋_GB2312" w:hAnsi="Calibri" w:eastAsia="仿宋_GB2312"/>
          <w:sz w:val="32"/>
          <w:szCs w:val="32"/>
        </w:rPr>
      </w:pPr>
      <w:r>
        <w:rPr>
          <w:rFonts w:hint="eastAsia" w:ascii="仿宋_GB2312" w:hAnsi="Calibri" w:eastAsia="仿宋_GB2312"/>
          <w:sz w:val="32"/>
          <w:szCs w:val="32"/>
        </w:rPr>
        <w:t>（十一） 负责办理和监督全区财政的经济社会发展支出、政府</w:t>
      </w:r>
      <w:r>
        <w:rPr>
          <w:rFonts w:ascii="仿宋_GB2312" w:hAnsi="Calibri" w:eastAsia="仿宋_GB2312"/>
          <w:sz w:val="32"/>
          <w:szCs w:val="32"/>
        </w:rPr>
        <w:t>性</w:t>
      </w:r>
      <w:r>
        <w:rPr>
          <w:rFonts w:hint="eastAsia" w:ascii="仿宋_GB2312" w:hAnsi="Calibri" w:eastAsia="仿宋_GB2312"/>
          <w:sz w:val="32"/>
          <w:szCs w:val="32"/>
        </w:rPr>
        <w:t>投资项目的财政拨款，组织执行基本建设财务管理制度；负责有关政策性补贴和专项储备资金管理。负责财政预算评审管理</w:t>
      </w:r>
      <w:r>
        <w:rPr>
          <w:rFonts w:ascii="仿宋_GB2312" w:hAnsi="Calibri" w:eastAsia="仿宋_GB2312"/>
          <w:sz w:val="32"/>
          <w:szCs w:val="32"/>
        </w:rPr>
        <w:t>。</w:t>
      </w:r>
    </w:p>
    <w:p>
      <w:pPr>
        <w:rPr>
          <w:rFonts w:ascii="仿宋_GB2312" w:hAnsi="Calibri" w:eastAsia="仿宋_GB2312"/>
          <w:sz w:val="32"/>
          <w:szCs w:val="32"/>
        </w:rPr>
      </w:pPr>
      <w:r>
        <w:rPr>
          <w:rFonts w:hint="eastAsia" w:ascii="仿宋_GB2312" w:hAnsi="Calibri" w:eastAsia="仿宋_GB2312"/>
          <w:sz w:val="32"/>
          <w:szCs w:val="32"/>
        </w:rPr>
        <w:t xml:space="preserve">    （十二）负责审核并编制</w:t>
      </w:r>
      <w:r>
        <w:rPr>
          <w:rFonts w:ascii="仿宋_GB2312" w:hAnsi="Calibri" w:eastAsia="仿宋_GB2312"/>
          <w:sz w:val="32"/>
          <w:szCs w:val="32"/>
        </w:rPr>
        <w:t>全区社会保险基金预决算草案，</w:t>
      </w:r>
      <w:r>
        <w:rPr>
          <w:rFonts w:hint="eastAsia" w:ascii="仿宋_GB2312" w:hAnsi="Calibri" w:eastAsia="仿宋_GB2312"/>
          <w:sz w:val="32"/>
          <w:szCs w:val="32"/>
        </w:rPr>
        <w:t>会同</w:t>
      </w:r>
      <w:r>
        <w:rPr>
          <w:rFonts w:ascii="仿宋_GB2312" w:hAnsi="Calibri" w:eastAsia="仿宋_GB2312"/>
          <w:sz w:val="32"/>
          <w:szCs w:val="32"/>
        </w:rPr>
        <w:t>有关部门拟订有关资金（</w:t>
      </w:r>
      <w:r>
        <w:rPr>
          <w:rFonts w:hint="eastAsia" w:ascii="仿宋_GB2312" w:hAnsi="Calibri" w:eastAsia="仿宋_GB2312"/>
          <w:sz w:val="32"/>
          <w:szCs w:val="32"/>
        </w:rPr>
        <w:t>基金</w:t>
      </w:r>
      <w:r>
        <w:rPr>
          <w:rFonts w:ascii="仿宋_GB2312" w:hAnsi="Calibri" w:eastAsia="仿宋_GB2312"/>
          <w:sz w:val="32"/>
          <w:szCs w:val="32"/>
        </w:rPr>
        <w:t>）财务管理制度并组织实施。承担</w:t>
      </w:r>
      <w:r>
        <w:rPr>
          <w:rFonts w:hint="eastAsia" w:ascii="仿宋_GB2312" w:hAnsi="Calibri" w:eastAsia="仿宋_GB2312"/>
          <w:sz w:val="32"/>
          <w:szCs w:val="32"/>
        </w:rPr>
        <w:t>社会保险基金财政监管</w:t>
      </w:r>
      <w:r>
        <w:rPr>
          <w:rFonts w:ascii="仿宋_GB2312" w:hAnsi="Calibri" w:eastAsia="仿宋_GB2312"/>
          <w:sz w:val="32"/>
          <w:szCs w:val="32"/>
        </w:rPr>
        <w:t>工作</w:t>
      </w:r>
      <w:r>
        <w:rPr>
          <w:rFonts w:hint="eastAsia" w:ascii="仿宋_GB2312" w:hAnsi="Calibri" w:eastAsia="仿宋_GB2312"/>
          <w:sz w:val="32"/>
          <w:szCs w:val="32"/>
        </w:rPr>
        <w:t>。</w:t>
      </w:r>
    </w:p>
    <w:p>
      <w:pPr>
        <w:rPr>
          <w:rFonts w:ascii="仿宋_GB2312" w:hAnsi="Calibri" w:eastAsia="仿宋_GB2312"/>
          <w:sz w:val="32"/>
          <w:szCs w:val="32"/>
        </w:rPr>
      </w:pPr>
      <w:r>
        <w:rPr>
          <w:rFonts w:hint="eastAsia" w:ascii="仿宋_GB2312" w:hAnsi="Calibri" w:eastAsia="仿宋_GB2312"/>
          <w:sz w:val="32"/>
          <w:szCs w:val="32"/>
        </w:rPr>
        <w:t xml:space="preserve">    （十三）执行政府债务管理制度和政策</w:t>
      </w:r>
      <w:r>
        <w:rPr>
          <w:rFonts w:ascii="仿宋_GB2312" w:hAnsi="Calibri" w:eastAsia="仿宋_GB2312"/>
          <w:sz w:val="32"/>
          <w:szCs w:val="32"/>
        </w:rPr>
        <w:t>，拟定具体办法</w:t>
      </w:r>
      <w:r>
        <w:rPr>
          <w:rFonts w:hint="eastAsia" w:ascii="仿宋_GB2312" w:hAnsi="Calibri" w:eastAsia="仿宋_GB2312"/>
          <w:sz w:val="32"/>
          <w:szCs w:val="32"/>
        </w:rPr>
        <w:t>。</w:t>
      </w:r>
      <w:r>
        <w:rPr>
          <w:rFonts w:ascii="仿宋_GB2312" w:hAnsi="Calibri" w:eastAsia="仿宋_GB2312"/>
          <w:sz w:val="32"/>
          <w:szCs w:val="32"/>
        </w:rPr>
        <w:t>负责政府债务限额</w:t>
      </w:r>
      <w:r>
        <w:rPr>
          <w:rFonts w:hint="eastAsia" w:ascii="仿宋_GB2312" w:hAnsi="Calibri" w:eastAsia="仿宋_GB2312"/>
          <w:sz w:val="32"/>
          <w:szCs w:val="32"/>
        </w:rPr>
        <w:t>管理</w:t>
      </w:r>
      <w:r>
        <w:rPr>
          <w:rFonts w:ascii="仿宋_GB2312" w:hAnsi="Calibri" w:eastAsia="仿宋_GB2312"/>
          <w:sz w:val="32"/>
          <w:szCs w:val="32"/>
        </w:rPr>
        <w:t>、</w:t>
      </w:r>
      <w:r>
        <w:rPr>
          <w:rFonts w:hint="eastAsia" w:ascii="仿宋_GB2312" w:hAnsi="Calibri" w:eastAsia="仿宋_GB2312"/>
          <w:sz w:val="32"/>
          <w:szCs w:val="32"/>
        </w:rPr>
        <w:t>债券发行</w:t>
      </w:r>
      <w:r>
        <w:rPr>
          <w:rFonts w:ascii="仿宋_GB2312" w:hAnsi="Calibri" w:eastAsia="仿宋_GB2312"/>
          <w:sz w:val="32"/>
          <w:szCs w:val="32"/>
        </w:rPr>
        <w:t>和还本付息等工作</w:t>
      </w:r>
      <w:r>
        <w:rPr>
          <w:rFonts w:hint="eastAsia" w:ascii="仿宋_GB2312" w:hAnsi="Calibri" w:eastAsia="仿宋_GB2312"/>
          <w:sz w:val="32"/>
          <w:szCs w:val="32"/>
        </w:rPr>
        <w:t>。</w:t>
      </w:r>
      <w:r>
        <w:rPr>
          <w:rFonts w:ascii="仿宋_GB2312" w:hAnsi="Calibri" w:eastAsia="仿宋_GB2312"/>
          <w:sz w:val="32"/>
          <w:szCs w:val="32"/>
        </w:rPr>
        <w:t>执行国家</w:t>
      </w:r>
      <w:r>
        <w:rPr>
          <w:rFonts w:hint="eastAsia" w:ascii="仿宋_GB2312" w:hAnsi="Calibri" w:eastAsia="仿宋_GB2312"/>
          <w:sz w:val="32"/>
          <w:szCs w:val="32"/>
        </w:rPr>
        <w:t>外债管理政策</w:t>
      </w:r>
      <w:r>
        <w:rPr>
          <w:rFonts w:ascii="仿宋_GB2312" w:hAnsi="Calibri" w:eastAsia="仿宋_GB2312"/>
          <w:sz w:val="32"/>
          <w:szCs w:val="32"/>
        </w:rPr>
        <w:t>，拟定具体办法，管理区政府国外债权债务</w:t>
      </w:r>
      <w:r>
        <w:rPr>
          <w:rFonts w:hint="eastAsia" w:ascii="仿宋_GB2312" w:hAnsi="Calibri" w:eastAsia="仿宋_GB2312"/>
          <w:sz w:val="32"/>
          <w:szCs w:val="32"/>
        </w:rPr>
        <w:t>。</w:t>
      </w:r>
    </w:p>
    <w:p>
      <w:pPr>
        <w:rPr>
          <w:rFonts w:ascii="仿宋_GB2312" w:hAnsi="Calibri" w:eastAsia="仿宋_GB2312"/>
          <w:sz w:val="32"/>
          <w:szCs w:val="32"/>
        </w:rPr>
      </w:pPr>
      <w:r>
        <w:rPr>
          <w:rFonts w:hint="eastAsia" w:ascii="仿宋_GB2312" w:hAnsi="Calibri" w:eastAsia="仿宋_GB2312"/>
          <w:sz w:val="32"/>
          <w:szCs w:val="32"/>
        </w:rPr>
        <w:t xml:space="preserve">    （十四）负责管理全区会计工作，监督和规范会计行为，组织实施国家统一的会计制度。</w:t>
      </w:r>
    </w:p>
    <w:p>
      <w:pPr>
        <w:rPr>
          <w:rFonts w:ascii="仿宋_GB2312" w:hAnsi="Calibri" w:eastAsia="仿宋_GB2312"/>
          <w:sz w:val="32"/>
          <w:szCs w:val="32"/>
        </w:rPr>
      </w:pPr>
      <w:r>
        <w:rPr>
          <w:rFonts w:hint="eastAsia" w:ascii="仿宋_GB2312" w:hAnsi="Calibri" w:eastAsia="仿宋_GB2312"/>
          <w:sz w:val="32"/>
          <w:szCs w:val="32"/>
        </w:rPr>
        <w:t xml:space="preserve">    （十五）负责对政府、部门和单位、政策和项目全面实施预算绩效管理。监督检查财税法规、政策的执行情况。</w:t>
      </w:r>
    </w:p>
    <w:p>
      <w:pPr>
        <w:ind w:firstLine="640" w:firstLineChars="200"/>
        <w:rPr>
          <w:rFonts w:ascii="仿宋_GB2312" w:hAnsi="Calibri" w:eastAsia="仿宋_GB2312"/>
          <w:sz w:val="32"/>
          <w:szCs w:val="32"/>
        </w:rPr>
      </w:pPr>
      <w:r>
        <w:rPr>
          <w:rFonts w:hint="eastAsia" w:ascii="仿宋_GB2312" w:hAnsi="Calibri" w:eastAsia="仿宋_GB2312"/>
          <w:sz w:val="32"/>
          <w:szCs w:val="32"/>
        </w:rPr>
        <w:t>（十六）负责全区政府采购的管理，依法制定政府采购管理制度；组织</w:t>
      </w:r>
      <w:r>
        <w:rPr>
          <w:rFonts w:ascii="仿宋_GB2312" w:hAnsi="Calibri" w:eastAsia="仿宋_GB2312"/>
          <w:sz w:val="32"/>
          <w:szCs w:val="32"/>
        </w:rPr>
        <w:t>审核、编制</w:t>
      </w:r>
      <w:r>
        <w:rPr>
          <w:rFonts w:hint="eastAsia" w:ascii="仿宋_GB2312" w:hAnsi="Calibri" w:eastAsia="仿宋_GB2312"/>
          <w:sz w:val="32"/>
          <w:szCs w:val="32"/>
        </w:rPr>
        <w:t>政府采购年度预算，</w:t>
      </w:r>
      <w:r>
        <w:rPr>
          <w:rFonts w:ascii="仿宋_GB2312" w:hAnsi="Calibri" w:eastAsia="仿宋_GB2312"/>
          <w:sz w:val="32"/>
          <w:szCs w:val="32"/>
        </w:rPr>
        <w:t>监督</w:t>
      </w:r>
      <w:r>
        <w:rPr>
          <w:rFonts w:hint="eastAsia" w:ascii="仿宋_GB2312" w:hAnsi="Calibri" w:eastAsia="仿宋_GB2312"/>
          <w:sz w:val="32"/>
          <w:szCs w:val="32"/>
        </w:rPr>
        <w:t>年度政府采购预算执行</w:t>
      </w:r>
      <w:r>
        <w:rPr>
          <w:rFonts w:ascii="仿宋_GB2312" w:hAnsi="Calibri" w:eastAsia="仿宋_GB2312"/>
          <w:sz w:val="32"/>
          <w:szCs w:val="32"/>
        </w:rPr>
        <w:t>；</w:t>
      </w:r>
      <w:r>
        <w:rPr>
          <w:rFonts w:hint="eastAsia" w:ascii="仿宋_GB2312" w:hAnsi="Calibri" w:eastAsia="仿宋_GB2312"/>
          <w:sz w:val="32"/>
          <w:szCs w:val="32"/>
        </w:rPr>
        <w:t>对政府采购活动进行监督。</w:t>
      </w:r>
    </w:p>
    <w:p>
      <w:pPr>
        <w:ind w:firstLine="640" w:firstLineChars="200"/>
        <w:rPr>
          <w:rFonts w:ascii="仿宋_GB2312" w:hAnsi="Calibri" w:eastAsia="仿宋_GB2312"/>
          <w:sz w:val="32"/>
          <w:szCs w:val="32"/>
        </w:rPr>
      </w:pPr>
      <w:r>
        <w:rPr>
          <w:rFonts w:hint="eastAsia" w:ascii="仿宋_GB2312" w:hAnsi="Calibri" w:eastAsia="仿宋_GB2312"/>
          <w:sz w:val="32"/>
          <w:szCs w:val="32"/>
        </w:rPr>
        <w:t>（十七）承担政府和社会资本合作的有关工作。</w:t>
      </w:r>
    </w:p>
    <w:p>
      <w:pPr>
        <w:ind w:firstLine="645"/>
        <w:rPr>
          <w:rFonts w:ascii="仿宋_GB2312" w:hAnsi="Calibri" w:eastAsia="仿宋_GB2312"/>
          <w:sz w:val="32"/>
          <w:szCs w:val="32"/>
        </w:rPr>
      </w:pPr>
      <w:r>
        <w:rPr>
          <w:rFonts w:hint="eastAsia" w:ascii="仿宋_GB2312" w:hAnsi="Calibri" w:eastAsia="仿宋_GB2312"/>
          <w:sz w:val="32"/>
          <w:szCs w:val="32"/>
        </w:rPr>
        <w:t>（十八）按照区政府有关规定，管理收费管理中心和保定市徐水区</w:t>
      </w:r>
      <w:r>
        <w:rPr>
          <w:rFonts w:ascii="仿宋_GB2312" w:hAnsi="Calibri" w:eastAsia="仿宋_GB2312"/>
          <w:sz w:val="32"/>
          <w:szCs w:val="32"/>
        </w:rPr>
        <w:t>财政投资评审中心</w:t>
      </w:r>
      <w:r>
        <w:rPr>
          <w:rFonts w:hint="eastAsia" w:ascii="仿宋_GB2312" w:hAnsi="Calibri" w:eastAsia="仿宋_GB2312"/>
          <w:sz w:val="32"/>
          <w:szCs w:val="32"/>
        </w:rPr>
        <w:t>。</w:t>
      </w:r>
    </w:p>
    <w:p>
      <w:pPr>
        <w:adjustRightInd w:val="0"/>
        <w:snapToGrid w:val="0"/>
        <w:spacing w:line="520" w:lineRule="exact"/>
        <w:ind w:firstLine="640" w:firstLineChars="200"/>
        <w:rPr>
          <w:rFonts w:ascii="仿宋_GB2312" w:hAnsi="仿宋" w:eastAsia="仿宋_GB2312"/>
          <w:sz w:val="32"/>
          <w:szCs w:val="32"/>
          <w:u w:val="single"/>
        </w:rPr>
      </w:pPr>
      <w:r>
        <w:rPr>
          <w:rFonts w:hint="eastAsia" w:ascii="仿宋_GB2312" w:hAnsi="Calibri" w:eastAsia="仿宋_GB2312"/>
          <w:sz w:val="32"/>
          <w:szCs w:val="32"/>
        </w:rPr>
        <w:t>（十九）承办区政府交办的其他事项。</w:t>
      </w:r>
    </w:p>
    <w:p>
      <w:pPr>
        <w:numPr>
          <w:ilvl w:val="0"/>
          <w:numId w:val="0"/>
        </w:numPr>
        <w:spacing w:line="360" w:lineRule="auto"/>
        <w:rPr>
          <w:rFonts w:hint="eastAsia" w:ascii="仿宋" w:hAnsi="仿宋" w:eastAsia="仿宋"/>
          <w:b/>
          <w:sz w:val="32"/>
          <w:szCs w:val="32"/>
        </w:rPr>
      </w:pPr>
    </w:p>
    <w:p>
      <w:pPr>
        <w:spacing w:line="360" w:lineRule="auto"/>
        <w:ind w:firstLine="640" w:firstLineChars="200"/>
        <w:rPr>
          <w:rFonts w:ascii="仿宋" w:hAnsi="仿宋" w:eastAsia="仿宋"/>
          <w:sz w:val="32"/>
          <w:szCs w:val="32"/>
        </w:rPr>
      </w:pPr>
    </w:p>
    <w:p>
      <w:pPr>
        <w:numPr>
          <w:ilvl w:val="0"/>
          <w:numId w:val="1"/>
        </w:numPr>
        <w:spacing w:line="360" w:lineRule="auto"/>
        <w:ind w:left="0" w:leftChars="0" w:firstLine="643" w:firstLineChars="200"/>
        <w:rPr>
          <w:rFonts w:hint="eastAsia" w:ascii="仿宋" w:hAnsi="仿宋" w:eastAsia="仿宋"/>
          <w:b/>
          <w:sz w:val="32"/>
          <w:szCs w:val="32"/>
        </w:rPr>
      </w:pPr>
      <w:r>
        <w:rPr>
          <w:rFonts w:hint="eastAsia" w:ascii="仿宋" w:hAnsi="仿宋" w:eastAsia="仿宋"/>
          <w:b/>
          <w:sz w:val="32"/>
          <w:szCs w:val="32"/>
        </w:rPr>
        <w:t>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w:t>
            </w:r>
            <w:r>
              <w:rPr>
                <w:rFonts w:ascii="仿宋_GB2312" w:hAnsi="仿宋" w:eastAsia="仿宋_GB2312"/>
                <w:bCs/>
                <w:sz w:val="24"/>
                <w:szCs w:val="24"/>
              </w:rPr>
              <w:t>市徐水区财政局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w:t>
            </w:r>
            <w:r>
              <w:rPr>
                <w:rFonts w:ascii="仿宋_GB2312" w:hAnsi="仿宋" w:eastAsia="仿宋_GB2312"/>
                <w:bCs/>
                <w:sz w:val="24"/>
                <w:szCs w:val="24"/>
              </w:rPr>
              <w:t>定市徐水区财政局收费管理中心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保定市徐水区财政投资评审中心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hint="default" w:ascii="仿宋_GB2312" w:hAnsi="仿宋" w:eastAsia="仿宋_GB2312"/>
                <w:bCs/>
                <w:sz w:val="24"/>
                <w:szCs w:val="24"/>
                <w:lang w:val="en-US"/>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numPr>
          <w:ilvl w:val="0"/>
          <w:numId w:val="0"/>
        </w:numPr>
        <w:spacing w:line="360" w:lineRule="auto"/>
        <w:ind w:leftChars="200"/>
        <w:rPr>
          <w:rFonts w:hint="eastAsia" w:ascii="仿宋" w:hAnsi="仿宋" w:eastAsia="仿宋"/>
          <w:b/>
          <w:sz w:val="32"/>
          <w:szCs w:val="32"/>
        </w:rPr>
      </w:pPr>
    </w:p>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default" w:ascii="仿宋" w:hAnsi="仿宋" w:eastAsia="仿宋"/>
          <w:sz w:val="32"/>
          <w:szCs w:val="32"/>
          <w:lang w:val="en-US"/>
        </w:rPr>
        <w:t>1930.03</w:t>
      </w:r>
      <w:r>
        <w:rPr>
          <w:rFonts w:ascii="仿宋" w:hAnsi="仿宋" w:eastAsia="仿宋"/>
          <w:sz w:val="32"/>
          <w:szCs w:val="32"/>
        </w:rPr>
        <w:t>万元,其中：一般公共预算收入</w:t>
      </w:r>
      <w:r>
        <w:rPr>
          <w:rFonts w:hint="default" w:ascii="仿宋" w:hAnsi="仿宋" w:eastAsia="仿宋"/>
          <w:sz w:val="32"/>
          <w:szCs w:val="32"/>
          <w:lang w:val="en-US"/>
        </w:rPr>
        <w:t>1730.03</w:t>
      </w:r>
      <w:r>
        <w:rPr>
          <w:rFonts w:ascii="仿宋" w:hAnsi="仿宋" w:eastAsia="仿宋"/>
          <w:sz w:val="32"/>
          <w:szCs w:val="32"/>
        </w:rPr>
        <w:t>万元，基金预算收入</w:t>
      </w:r>
      <w:r>
        <w:rPr>
          <w:rFonts w:hint="default" w:ascii="仿宋" w:hAnsi="仿宋" w:eastAsia="仿宋"/>
          <w:sz w:val="32"/>
          <w:szCs w:val="32"/>
          <w:lang w:val="en-US"/>
        </w:rPr>
        <w:t>0</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w:t>
      </w:r>
      <w:r>
        <w:rPr>
          <w:rFonts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上年结转结余收入</w:t>
      </w:r>
      <w:r>
        <w:rPr>
          <w:rFonts w:hint="default" w:ascii="仿宋" w:hAnsi="仿宋" w:eastAsia="仿宋"/>
          <w:sz w:val="32"/>
          <w:szCs w:val="32"/>
          <w:lang w:val="en-US" w:eastAsia="zh-CN"/>
        </w:rPr>
        <w:t>200</w:t>
      </w:r>
      <w:r>
        <w:rPr>
          <w:rFonts w:hint="eastAsia" w:ascii="仿宋" w:hAnsi="仿宋" w:eastAsia="仿宋"/>
          <w:sz w:val="32"/>
          <w:szCs w:val="32"/>
          <w:lang w:val="en-US" w:eastAsia="zh-CN"/>
        </w:rPr>
        <w:t>万元</w:t>
      </w:r>
      <w:r>
        <w:rPr>
          <w:rFonts w:ascii="仿宋" w:hAnsi="仿宋" w:eastAsia="仿宋"/>
          <w:sz w:val="32"/>
          <w:szCs w:val="32"/>
        </w:rPr>
        <w:t>。</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年部门支出预算：</w:t>
      </w:r>
      <w:r>
        <w:rPr>
          <w:rFonts w:hint="default" w:ascii="仿宋" w:hAnsi="仿宋" w:eastAsia="仿宋"/>
          <w:sz w:val="32"/>
          <w:szCs w:val="32"/>
          <w:lang w:val="en-US"/>
        </w:rPr>
        <w:t>1930.03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基本支出1345.82万元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1151.64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194.18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584.21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default" w:ascii="仿宋" w:hAnsi="仿宋" w:eastAsia="仿宋"/>
          <w:sz w:val="32"/>
          <w:szCs w:val="32"/>
          <w:lang w:val="en-US"/>
        </w:rPr>
        <w:t>3</w:t>
      </w:r>
      <w:r>
        <w:rPr>
          <w:rFonts w:hint="eastAsia" w:ascii="仿宋" w:hAnsi="仿宋" w:eastAsia="仿宋"/>
          <w:sz w:val="32"/>
          <w:szCs w:val="32"/>
        </w:rPr>
        <w:t>84.21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hint="default" w:ascii="仿宋" w:hAnsi="仿宋" w:eastAsia="仿宋"/>
          <w:sz w:val="32"/>
          <w:szCs w:val="32"/>
          <w:lang w:val="en-US"/>
        </w:rPr>
        <w:t>9</w:t>
      </w:r>
      <w:r>
        <w:rPr>
          <w:rFonts w:hint="eastAsia" w:ascii="仿宋" w:hAnsi="仿宋" w:eastAsia="仿宋"/>
          <w:sz w:val="32"/>
          <w:szCs w:val="32"/>
        </w:rPr>
        <w:t>30.03万元，较上年</w:t>
      </w:r>
      <w:r>
        <w:rPr>
          <w:rFonts w:ascii="仿宋" w:hAnsi="仿宋" w:eastAsia="仿宋"/>
          <w:sz w:val="32"/>
          <w:szCs w:val="32"/>
        </w:rPr>
        <w:t>减少</w:t>
      </w:r>
      <w:r>
        <w:rPr>
          <w:rFonts w:hint="default" w:ascii="仿宋" w:hAnsi="仿宋" w:eastAsia="仿宋"/>
          <w:sz w:val="32"/>
          <w:szCs w:val="32"/>
          <w:lang w:val="en-US"/>
        </w:rPr>
        <w:t>94.79</w:t>
      </w:r>
      <w:r>
        <w:rPr>
          <w:rFonts w:ascii="仿宋" w:hAnsi="仿宋" w:eastAsia="仿宋"/>
          <w:sz w:val="32"/>
          <w:szCs w:val="32"/>
        </w:rPr>
        <w:t>万元。其中:基本支出增加</w:t>
      </w:r>
      <w:r>
        <w:rPr>
          <w:rFonts w:hint="default" w:ascii="仿宋" w:hAnsi="仿宋" w:eastAsia="仿宋"/>
          <w:sz w:val="32"/>
          <w:szCs w:val="32"/>
          <w:lang w:val="en-US"/>
        </w:rPr>
        <w:t>447.08</w:t>
      </w:r>
      <w:r>
        <w:rPr>
          <w:rFonts w:ascii="仿宋" w:hAnsi="仿宋" w:eastAsia="仿宋"/>
          <w:sz w:val="32"/>
          <w:szCs w:val="32"/>
        </w:rPr>
        <w:t>万元，主要原因是</w:t>
      </w:r>
      <w:r>
        <w:rPr>
          <w:rFonts w:hint="eastAsia" w:ascii="仿宋" w:hAnsi="仿宋" w:eastAsia="仿宋"/>
          <w:sz w:val="32"/>
          <w:szCs w:val="32"/>
          <w:lang w:val="en-US" w:eastAsia="zh-CN"/>
        </w:rPr>
        <w:t>人员经费增加</w:t>
      </w:r>
      <w:r>
        <w:rPr>
          <w:rFonts w:ascii="仿宋" w:hAnsi="仿宋" w:eastAsia="仿宋"/>
          <w:sz w:val="32"/>
          <w:szCs w:val="32"/>
        </w:rPr>
        <w:t>；项目支出减少</w:t>
      </w:r>
      <w:r>
        <w:rPr>
          <w:rFonts w:hint="default" w:ascii="仿宋" w:hAnsi="仿宋" w:eastAsia="仿宋"/>
          <w:sz w:val="32"/>
          <w:szCs w:val="32"/>
          <w:lang w:val="en-US"/>
        </w:rPr>
        <w:t>541.87</w:t>
      </w:r>
      <w:r>
        <w:rPr>
          <w:rFonts w:ascii="仿宋" w:hAnsi="仿宋" w:eastAsia="仿宋"/>
          <w:sz w:val="32"/>
          <w:szCs w:val="32"/>
        </w:rPr>
        <w:t>万元，主要原因是</w:t>
      </w:r>
      <w:r>
        <w:rPr>
          <w:rFonts w:hint="eastAsia" w:ascii="仿宋" w:hAnsi="仿宋" w:eastAsia="仿宋"/>
          <w:sz w:val="32"/>
          <w:szCs w:val="32"/>
          <w:lang w:val="en-US" w:eastAsia="zh-CN"/>
        </w:rPr>
        <w:t>本年项目经费减少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年我部门机关运行经费安排</w:t>
      </w:r>
      <w:r>
        <w:rPr>
          <w:rFonts w:hint="default" w:ascii="仿宋" w:hAnsi="仿宋" w:eastAsia="仿宋"/>
          <w:sz w:val="32"/>
          <w:szCs w:val="32"/>
          <w:lang w:val="en-US"/>
        </w:rPr>
        <w:t>194.18</w:t>
      </w:r>
      <w:r>
        <w:rPr>
          <w:rFonts w:ascii="仿宋" w:hAnsi="仿宋" w:eastAsia="仿宋"/>
          <w:sz w:val="32"/>
          <w:szCs w:val="32"/>
        </w:rPr>
        <w:t>万元，其中办公费</w:t>
      </w:r>
      <w:r>
        <w:rPr>
          <w:rFonts w:hint="default" w:ascii="仿宋" w:hAnsi="仿宋" w:eastAsia="仿宋"/>
          <w:sz w:val="32"/>
          <w:szCs w:val="32"/>
          <w:lang w:val="en-US"/>
        </w:rPr>
        <w:t>85.71</w:t>
      </w:r>
      <w:r>
        <w:rPr>
          <w:rFonts w:ascii="仿宋" w:hAnsi="仿宋" w:eastAsia="仿宋"/>
          <w:sz w:val="32"/>
          <w:szCs w:val="32"/>
        </w:rPr>
        <w:t>万元，邮电费</w:t>
      </w:r>
      <w:r>
        <w:rPr>
          <w:rFonts w:hint="default" w:ascii="仿宋" w:hAnsi="仿宋" w:eastAsia="仿宋"/>
          <w:sz w:val="32"/>
          <w:szCs w:val="32"/>
          <w:lang w:val="en-US"/>
        </w:rPr>
        <w:t>12.48</w:t>
      </w:r>
      <w:r>
        <w:rPr>
          <w:rFonts w:ascii="仿宋" w:hAnsi="仿宋" w:eastAsia="仿宋"/>
          <w:sz w:val="32"/>
          <w:szCs w:val="32"/>
        </w:rPr>
        <w:t>万元，工会经费、福利费</w:t>
      </w:r>
      <w:r>
        <w:rPr>
          <w:rFonts w:hint="default" w:ascii="仿宋" w:hAnsi="仿宋" w:eastAsia="仿宋"/>
          <w:sz w:val="32"/>
          <w:szCs w:val="32"/>
          <w:lang w:val="en-US"/>
        </w:rPr>
        <w:t>14.9</w:t>
      </w:r>
      <w:r>
        <w:rPr>
          <w:rFonts w:ascii="仿宋" w:hAnsi="仿宋" w:eastAsia="仿宋"/>
          <w:sz w:val="32"/>
          <w:szCs w:val="32"/>
        </w:rPr>
        <w:t>万元，公务用车运行维护费</w:t>
      </w:r>
      <w:r>
        <w:rPr>
          <w:rFonts w:hint="default" w:ascii="仿宋" w:hAnsi="仿宋" w:eastAsia="仿宋"/>
          <w:sz w:val="32"/>
          <w:szCs w:val="32"/>
          <w:lang w:val="en-US"/>
        </w:rPr>
        <w:t>4.86</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76.23</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r>
        <w:rPr>
          <w:rFonts w:hint="eastAsia" w:ascii="方正小标宋_GBK" w:eastAsia="方正小标宋_GBK"/>
          <w:sz w:val="44"/>
        </w:rPr>
        <w:t>第四部分：财政拨款“三公”经费预算情况及增减变化原因</w:t>
      </w:r>
    </w:p>
    <w:p>
      <w:pPr>
        <w:jc w:val="center"/>
        <w:outlineLvl w:val="0"/>
        <w:rPr>
          <w:rFonts w:hint="eastAsia" w:ascii="方正小标宋_GBK" w:eastAsia="方正小标宋_GBK"/>
          <w:sz w:val="44"/>
        </w:rPr>
      </w:pP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9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auto"/>
                      <w:kern w:val="0"/>
                      <w:sz w:val="24"/>
                      <w:szCs w:val="24"/>
                      <w:lang w:val="en-US" w:eastAsia="zh-CN"/>
                    </w:rPr>
                  </w:pPr>
                  <w:r>
                    <w:rPr>
                      <w:rFonts w:hint="default" w:ascii="仿宋_GB2312" w:hAnsi="宋体" w:eastAsia="仿宋_GB2312" w:cs="宋体"/>
                      <w:color w:val="auto"/>
                      <w:kern w:val="0"/>
                      <w:sz w:val="24"/>
                      <w:szCs w:val="24"/>
                      <w:lang w:val="en-US" w:eastAsia="zh-CN"/>
                    </w:rPr>
                    <w:t>2</w:t>
                  </w:r>
                  <w:r>
                    <w:rPr>
                      <w:rFonts w:hint="eastAsia" w:ascii="仿宋_GB2312" w:hAnsi="宋体" w:eastAsia="仿宋_GB2312" w:cs="宋体"/>
                      <w:color w:val="auto"/>
                      <w:kern w:val="0"/>
                      <w:sz w:val="24"/>
                      <w:szCs w:val="24"/>
                      <w:lang w:val="en-US" w:eastAsia="zh-CN"/>
                    </w:rPr>
                    <w:t>年均未安排此项经费</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4"/>
                      <w:szCs w:val="24"/>
                      <w:lang w:val="en-US" w:eastAsia="zh-CN"/>
                    </w:rPr>
                  </w:pPr>
                  <w:r>
                    <w:rPr>
                      <w:rFonts w:hint="default" w:ascii="仿宋_GB2312" w:hAnsi="宋体" w:eastAsia="仿宋_GB2312" w:cs="宋体"/>
                      <w:color w:val="auto"/>
                      <w:kern w:val="0"/>
                      <w:sz w:val="24"/>
                      <w:szCs w:val="24"/>
                      <w:lang w:val="en-US" w:eastAsia="zh-CN"/>
                    </w:rPr>
                    <w:t>2</w:t>
                  </w:r>
                  <w:r>
                    <w:rPr>
                      <w:rFonts w:hint="eastAsia" w:ascii="仿宋_GB2312" w:hAnsi="宋体" w:eastAsia="仿宋_GB2312" w:cs="宋体"/>
                      <w:color w:val="auto"/>
                      <w:kern w:val="0"/>
                      <w:sz w:val="24"/>
                      <w:szCs w:val="24"/>
                      <w:lang w:val="en-US" w:eastAsia="zh-CN"/>
                    </w:rPr>
                    <w:t>年均未安排此项经费</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22</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4.86</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-17.14</w:t>
                  </w:r>
                </w:p>
              </w:tc>
              <w:tc>
                <w:tcPr>
                  <w:tcW w:w="239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厉行节约，根据以往年度实际支出编制预算</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7.3</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1.58</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-5.72</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厉行节约，根据以往年度实际支出编制预算</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29.3</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6.44</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-22.86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厉行节约，根据以往年度实际支出编制预算</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2"/>
        <w:keepNext w:val="0"/>
        <w:keepLines w:val="0"/>
        <w:pageBreakBefore w:val="0"/>
        <w:widowControl/>
        <w:kinsoku/>
        <w:wordWrap/>
        <w:overflowPunct/>
        <w:topLinePunct w:val="0"/>
        <w:autoSpaceDE w:val="0"/>
        <w:autoSpaceDN w:val="0"/>
        <w:bidi w:val="0"/>
        <w:adjustRightInd w:val="0"/>
        <w:snapToGrid/>
        <w:spacing w:line="600" w:lineRule="exact"/>
        <w:ind w:firstLine="560" w:firstLineChars="200"/>
        <w:textAlignment w:val="auto"/>
        <w:rPr>
          <w:rFonts w:hint="eastAsia" w:hAnsi="宋体"/>
          <w:color w:val="000000"/>
          <w:sz w:val="28"/>
          <w:szCs w:val="28"/>
        </w:rPr>
      </w:pPr>
      <w:r>
        <w:rPr>
          <w:rFonts w:hint="eastAsia" w:hAnsi="宋体"/>
          <w:sz w:val="28"/>
          <w:szCs w:val="28"/>
        </w:rPr>
        <w:t>以习近平新时代中国特色社会主义思想为指导，全面贯彻党的十九大和十九届五中全会精神，</w:t>
      </w:r>
      <w:r>
        <w:rPr>
          <w:rFonts w:hint="eastAsia" w:hAnsi="宋体"/>
          <w:color w:val="000000"/>
          <w:sz w:val="28"/>
          <w:szCs w:val="28"/>
        </w:rPr>
        <w:t>紧紧围绕区委发展战略和决策部署，坚持稳中求进工作总基调，坚持新发展理念，坚持推动高质量发展，以《</w:t>
      </w:r>
      <w:r>
        <w:rPr>
          <w:rFonts w:hint="eastAsia" w:hAnsi="宋体"/>
          <w:color w:val="000000"/>
          <w:sz w:val="28"/>
          <w:szCs w:val="28"/>
          <w:lang w:val="en-US" w:eastAsia="zh-CN"/>
        </w:rPr>
        <w:t>中华人民共和国</w:t>
      </w:r>
      <w:r>
        <w:rPr>
          <w:rFonts w:hint="eastAsia" w:hAnsi="宋体"/>
          <w:color w:val="000000"/>
          <w:sz w:val="28"/>
          <w:szCs w:val="28"/>
        </w:rPr>
        <w:t>预算法》为依据，以全面建设高质量财政为主线，持续优化收支结构，推进预算绩效管理，防范化解财政风险，增强财政可持续性，推进财政收入规模进一步壮大，保障能力进一步增强，理财水平进一步提升，资源配置更加科学，资金使用更加高效，财政风险有效防控，全年财政平稳运行，努力为建设经济强区、幸福徐水，打造雄安绿色服务桥头堡、保定高端发展先行区提供更加有力的财政支撑。</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1、财政保障能力进一步增强</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绩效目标：财源基础和财政收入规模进一步壮大，可用财力稳步增长；争取上级支持有力有效，支持力度进一步加大。</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绩效指标：202</w:t>
      </w:r>
      <w:r>
        <w:rPr>
          <w:rFonts w:hint="default" w:ascii="宋体" w:hAnsi="宋体" w:eastAsia="宋体"/>
          <w:sz w:val="28"/>
          <w:lang w:val="en-US"/>
        </w:rPr>
        <w:t>2</w:t>
      </w:r>
      <w:r>
        <w:rPr>
          <w:rFonts w:ascii="宋体" w:hAnsi="宋体" w:eastAsia="宋体"/>
          <w:sz w:val="28"/>
        </w:rPr>
        <w:t>年，一般公共预算收入按计划完成，实现稳定增长，可用财力规模比上年只增不减；争取上级支持超过</w:t>
      </w:r>
      <w:r>
        <w:rPr>
          <w:rFonts w:hint="eastAsia" w:ascii="宋体" w:hAnsi="宋体" w:eastAsia="宋体"/>
          <w:sz w:val="28"/>
          <w:lang w:eastAsia="zh-CN"/>
        </w:rPr>
        <w:t>上</w:t>
      </w:r>
      <w:r>
        <w:rPr>
          <w:rFonts w:ascii="宋体" w:hAnsi="宋体" w:eastAsia="宋体"/>
          <w:sz w:val="28"/>
        </w:rPr>
        <w:t>年水平。</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2、保障和改善民生力度进一步加大</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绩效目标：就业、教育、社保等普惠性、兜底性民生保障水平持续提高，财政助推脱贫防贫长效机制进一步完善，财政支持生态环境治理取得积极成效，民心工程资金保障有力。</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绩效指标：民生支出占比保持在80%左右，就业和社保、教育、扶贫、乡村振兴、大气污染防治等财政投入按政策足额落实。</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3、财政运行健康平稳</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绩效目标：债务风险水平总体可控；全区财政运行平稳。</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绩效指标：政府债务不发生违约事件，政府债券还本付息不发生风险事件，政府债务规模控制在红线以下；</w:t>
      </w:r>
      <w:r>
        <w:rPr>
          <w:rFonts w:ascii="Times New Roman" w:hAnsi="Times New Roman" w:eastAsia="Times New Roman"/>
          <w:sz w:val="28"/>
        </w:rPr>
        <w:t>“</w:t>
      </w:r>
      <w:r>
        <w:rPr>
          <w:rFonts w:ascii="宋体" w:hAnsi="宋体" w:eastAsia="宋体"/>
          <w:sz w:val="28"/>
        </w:rPr>
        <w:t>三保</w:t>
      </w:r>
      <w:r>
        <w:rPr>
          <w:rFonts w:ascii="Times New Roman" w:hAnsi="Times New Roman" w:eastAsia="Times New Roman"/>
          <w:sz w:val="28"/>
        </w:rPr>
        <w:t>”</w:t>
      </w:r>
      <w:r>
        <w:rPr>
          <w:rFonts w:ascii="宋体" w:hAnsi="宋体" w:eastAsia="宋体"/>
          <w:sz w:val="28"/>
        </w:rPr>
        <w:t>支出足额保障，资金支出安全高效。</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4、现代财政制度进一步健全</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绩效目标：预算绩效管理和政府财务报告制度、国有资产报告制度、政府购买服务、政府采购制度以及差旅费网上报销管理持续深化；消费税、资源税更改革按照上级部署落地落实。</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绩效指标：预算绩效管理体系基本建成；政府财务报告、国有资产报告编制完成并完成报告；差旅费网上报销管理开展试点。</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5、财政财务管理工作进一步规范</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目标：预算编制更加细化实化，财政预决算公开工作内容完备、时间及时；财政支出机制得到健全，资金支出更加及时、高效、均衡、有序；财政监督更加有力，绩效评价工作质量进一步提高；依法理财水平进一步提高。</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sz w:val="28"/>
        </w:rPr>
      </w:pPr>
      <w:r>
        <w:rPr>
          <w:rFonts w:ascii="宋体" w:hAnsi="宋体" w:eastAsia="宋体"/>
          <w:sz w:val="28"/>
        </w:rPr>
        <w:t>绩效指标：区直部门预决算在法定期限内公开率达到100%；全年财政支出达到95%以上，结余结转率低于5%；重点领域和项目绩效评价较上年增加；全年不发生财政管理工作不发生违法违规案件。</w:t>
      </w:r>
    </w:p>
    <w:p>
      <w:pPr>
        <w:numPr>
          <w:ilvl w:val="0"/>
          <w:numId w:val="1"/>
        </w:numPr>
        <w:spacing w:before="10" w:after="10"/>
        <w:ind w:left="0" w:leftChars="0" w:firstLine="560" w:firstLineChars="200"/>
        <w:jc w:val="left"/>
        <w:outlineLvl w:val="1"/>
        <w:rPr>
          <w:rFonts w:ascii="方正黑体_GBK" w:hAnsi="方正黑体_GBK" w:eastAsia="方正黑体_GBK" w:cs="方正黑体_GBK"/>
          <w:color w:val="000000"/>
          <w:sz w:val="28"/>
        </w:rPr>
      </w:pPr>
      <w:bookmarkStart w:id="2" w:name="_Toc_2_2_0000000003"/>
      <w:r>
        <w:rPr>
          <w:rFonts w:ascii="方正黑体_GBK" w:hAnsi="方正黑体_GBK" w:eastAsia="方正黑体_GBK" w:cs="方正黑体_GBK"/>
          <w:color w:val="000000"/>
          <w:sz w:val="28"/>
        </w:rPr>
        <w:t>工作保障措施</w:t>
      </w:r>
      <w:bookmarkEnd w:id="2"/>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1、加强组织领导。建立健全部门预算绩效管理路径和制度体系，不断完善工作机制和工作流程，将事前评估、目标管理、运行监控、绩效评价、结果应用等各项改革措施，有效融入预算管理的全过程、各环节。围绕年度总体绩效目标和分类绩效目标，细化工作方案，明确责任主体和实施进度要求，确保如期完成。</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2、狠抓任务落实。按照</w:t>
      </w:r>
      <w:r>
        <w:rPr>
          <w:rFonts w:ascii="Times New Roman" w:hAnsi="Times New Roman" w:eastAsia="Times New Roman"/>
          <w:sz w:val="28"/>
        </w:rPr>
        <w:t>“</w:t>
      </w:r>
      <w:r>
        <w:rPr>
          <w:rFonts w:ascii="宋体" w:hAnsi="宋体" w:eastAsia="宋体"/>
          <w:sz w:val="28"/>
        </w:rPr>
        <w:t>谁花钱、谁负责，谁牵总、谁主责</w:t>
      </w:r>
      <w:r>
        <w:rPr>
          <w:rFonts w:ascii="Times New Roman" w:hAnsi="Times New Roman" w:eastAsia="Times New Roman"/>
          <w:sz w:val="28"/>
        </w:rPr>
        <w:t>”</w:t>
      </w:r>
      <w:r>
        <w:rPr>
          <w:rFonts w:ascii="宋体" w:hAnsi="宋体" w:eastAsia="宋体"/>
          <w:sz w:val="28"/>
        </w:rPr>
        <w:t>的原则，明确各单位预算绩效管理职责。充分调动各项目单位的积极性和主动性，由项目单位负责科学制定分管项目和内容的中期、终期绩效目标和评价指标，动态收集评估数据信息，开展预算绩效中期评估、终期评价，落实整改措施等。</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3、强化预算执行。强化财政预算执行的刚性约束，及时启动项目和支付资金，加快履行政府采购程序，优化部门预算支出结构，创新财政资金支出思路，合理改进支出方式，做的按照时间节点完成支出任务。进一步加快转移支付资金下达进度，督促有关单位加快执行进度。规范财政资金使用和管理，强化内部控制制度建设，更好地发挥财政资金的使用效益。</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4、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5、用好电子信息系统。充分运用覆盖全面、高度集成的业务管理系统，和预算绩效编制管理、预算执行管理、财政风险防控管理等系统，着力提升技术引领、支撑和保障作用。</w:t>
      </w:r>
    </w:p>
    <w:p>
      <w:pPr>
        <w:pStyle w:val="12"/>
        <w:widowControl/>
        <w:rPr>
          <w:rFonts w:ascii="Times New Roman" w:hAnsi="Times New Roman" w:eastAsia="Times New Roman"/>
          <w:sz w:val="28"/>
        </w:rPr>
      </w:pPr>
    </w:p>
    <w:p>
      <w:pPr>
        <w:numPr>
          <w:ilvl w:val="0"/>
          <w:numId w:val="0"/>
        </w:numPr>
        <w:spacing w:before="10" w:after="10"/>
        <w:ind w:leftChars="200"/>
        <w:jc w:val="left"/>
        <w:outlineLvl w:val="1"/>
        <w:rPr>
          <w:rFonts w:ascii="方正黑体_GBK" w:hAnsi="方正黑体_GBK" w:eastAsia="方正黑体_GBK" w:cs="方正黑体_GBK"/>
          <w:color w:val="000000"/>
          <w:sz w:val="28"/>
        </w:rPr>
      </w:pP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sz w:val="28"/>
        </w:rPr>
      </w:pPr>
    </w:p>
    <w:p>
      <w:pPr>
        <w:pStyle w:val="12"/>
        <w:keepNext w:val="0"/>
        <w:keepLines w:val="0"/>
        <w:pageBreakBefore w:val="0"/>
        <w:widowControl/>
        <w:kinsoku/>
        <w:wordWrap/>
        <w:overflowPunct/>
        <w:topLinePunct w:val="0"/>
        <w:autoSpaceDE w:val="0"/>
        <w:autoSpaceDN w:val="0"/>
        <w:bidi w:val="0"/>
        <w:adjustRightInd w:val="0"/>
        <w:snapToGrid/>
        <w:spacing w:line="600" w:lineRule="exact"/>
        <w:ind w:firstLine="560" w:firstLineChars="200"/>
        <w:textAlignment w:val="auto"/>
        <w:rPr>
          <w:rFonts w:hint="eastAsia" w:hAnsi="宋体"/>
          <w:color w:val="000000"/>
          <w:sz w:val="28"/>
          <w:szCs w:val="28"/>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ind w:firstLine="560"/>
        <w:outlineLvl w:val="3"/>
        <w:rPr>
          <w:rFonts w:ascii="方正仿宋_GBK" w:hAnsi="方正仿宋_GBK" w:eastAsia="方正仿宋_GBK" w:cs="方正仿宋_GBK"/>
          <w:color w:val="000000"/>
          <w:sz w:val="28"/>
        </w:rPr>
      </w:pPr>
      <w:bookmarkStart w:id="3" w:name="_Toc_4_4_0000000004"/>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财政信息化建设专项经费</w:t>
      </w:r>
      <w:r>
        <w:rPr>
          <w:rFonts w:ascii="方正仿宋_GBK" w:hAnsi="方正仿宋_GBK" w:eastAsia="方正仿宋_GBK" w:cs="方正仿宋_GBK"/>
          <w:color w:val="000000"/>
          <w:sz w:val="28"/>
        </w:rPr>
        <w:t>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default" w:eastAsia="方正书宋_GBK"/>
                <w:lang w:val="en-US" w:eastAsia="zh-CN"/>
              </w:rPr>
            </w:pPr>
            <w:r>
              <w:rPr>
                <w:rFonts w:hint="default"/>
                <w:lang w:val="en-US"/>
              </w:rPr>
              <w:t>318</w:t>
            </w:r>
            <w:r>
              <w:t>001</w:t>
            </w:r>
            <w:r>
              <w:rPr>
                <w:rFonts w:hint="eastAsia"/>
                <w:lang w:val="en-US" w:eastAsia="zh-CN"/>
              </w:rPr>
              <w:t>保定市徐水区财政局本级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rPr>
                <w:rFonts w:hint="eastAsia"/>
              </w:rPr>
              <w:t>13062522P00456710463D</w:t>
            </w:r>
          </w:p>
        </w:tc>
        <w:tc>
          <w:tcPr>
            <w:tcW w:w="1587" w:type="dxa"/>
            <w:vAlign w:val="center"/>
          </w:tcPr>
          <w:p>
            <w:pPr>
              <w:pStyle w:val="16"/>
            </w:pPr>
            <w:r>
              <w:t>项目名称</w:t>
            </w:r>
          </w:p>
        </w:tc>
        <w:tc>
          <w:tcPr>
            <w:tcW w:w="4422" w:type="dxa"/>
            <w:gridSpan w:val="3"/>
            <w:vAlign w:val="center"/>
          </w:tcPr>
          <w:p>
            <w:pPr>
              <w:pStyle w:val="17"/>
            </w:pPr>
            <w:r>
              <w:rPr>
                <w:rFonts w:hint="eastAsia"/>
              </w:rPr>
              <w:t>财政信息化建设专项经费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rPr>
                <w:rFonts w:hint="default"/>
                <w:lang w:val="en-US"/>
              </w:rPr>
              <w:t>21</w:t>
            </w:r>
            <w:r>
              <w:t>.00</w:t>
            </w:r>
          </w:p>
        </w:tc>
        <w:tc>
          <w:tcPr>
            <w:tcW w:w="1587" w:type="dxa"/>
            <w:vAlign w:val="center"/>
          </w:tcPr>
          <w:p>
            <w:pPr>
              <w:pStyle w:val="16"/>
            </w:pPr>
            <w:r>
              <w:t>其中：财政    资金</w:t>
            </w:r>
          </w:p>
        </w:tc>
        <w:tc>
          <w:tcPr>
            <w:tcW w:w="1304" w:type="dxa"/>
            <w:vAlign w:val="center"/>
          </w:tcPr>
          <w:p>
            <w:pPr>
              <w:pStyle w:val="17"/>
            </w:pPr>
            <w:r>
              <w:rPr>
                <w:rFonts w:hint="default"/>
                <w:lang w:val="en-US"/>
              </w:rPr>
              <w:t>21</w:t>
            </w:r>
            <w:r>
              <w:t>.00</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rPr>
                <w:rFonts w:hint="eastAsia"/>
              </w:rPr>
              <w:t>购置路由器、交换机和业务系统监控平台建设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p>
        </w:tc>
        <w:tc>
          <w:tcPr>
            <w:tcW w:w="1587" w:type="dxa"/>
            <w:vAlign w:val="center"/>
          </w:tcPr>
          <w:p>
            <w:pPr>
              <w:pStyle w:val="18"/>
            </w:pPr>
          </w:p>
        </w:tc>
        <w:tc>
          <w:tcPr>
            <w:tcW w:w="1304" w:type="dxa"/>
            <w:vAlign w:val="center"/>
          </w:tcPr>
          <w:p>
            <w:pPr>
              <w:pStyle w:val="18"/>
            </w:pP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通过加强财政信息化建设，新增或更新网络设备，打造省市县且所有部门共享共用的信息化平台。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完成设备购置、业务系统监控平台建设工作</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3.该项目</w:t>
            </w:r>
            <w:r>
              <w:rPr>
                <w:rFonts w:hint="eastAsia" w:ascii="方正书宋_GBK" w:eastAsia="方正书宋_GBK"/>
              </w:rPr>
              <w:t>预计2022年11月支付完毕</w:t>
            </w:r>
            <w:r>
              <w:rPr>
                <w:rFonts w:ascii="方正书宋_GBK" w:eastAsia="方正书宋_GBK"/>
              </w:rPr>
              <w:t>。</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keepNext w:val="0"/>
              <w:keepLines w:val="0"/>
              <w:widowControl/>
              <w:suppressLineNumbers w:val="0"/>
              <w:jc w:val="left"/>
              <w:textAlignment w:val="center"/>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设备购置数</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反映路由器、交换机等设备购置数量情况</w:t>
            </w:r>
          </w:p>
        </w:tc>
        <w:tc>
          <w:tcPr>
            <w:tcW w:w="1276" w:type="dxa"/>
            <w:vAlign w:val="center"/>
          </w:tcPr>
          <w:p>
            <w:pPr>
              <w:spacing w:line="300" w:lineRule="exact"/>
              <w:jc w:val="left"/>
              <w:rPr>
                <w:rFonts w:hint="eastAsia" w:ascii="方正书宋_GBK" w:eastAsia="方正书宋_GBK"/>
                <w:lang w:val="en-US" w:eastAsia="zh-CN"/>
              </w:rPr>
            </w:pPr>
            <w:r>
              <w:rPr>
                <w:rFonts w:hint="default" w:ascii="方正书宋_GBK" w:eastAsia="方正书宋_GBK"/>
                <w:lang w:val="en-US"/>
              </w:rPr>
              <w:t>=3</w:t>
            </w:r>
            <w:r>
              <w:rPr>
                <w:rFonts w:hint="eastAsia" w:ascii="方正书宋_GBK" w:eastAsia="方正书宋_GBK"/>
                <w:lang w:val="en-US" w:eastAsia="zh-CN"/>
              </w:rPr>
              <w:t>台</w:t>
            </w:r>
          </w:p>
        </w:tc>
        <w:tc>
          <w:tcPr>
            <w:tcW w:w="1843"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业务监控平台建设数</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反映业务监控平台建设数量情况</w:t>
            </w:r>
          </w:p>
        </w:tc>
        <w:tc>
          <w:tcPr>
            <w:tcW w:w="1276" w:type="dxa"/>
            <w:vAlign w:val="center"/>
          </w:tcPr>
          <w:p>
            <w:pPr>
              <w:pStyle w:val="17"/>
              <w:spacing w:line="300" w:lineRule="exact"/>
              <w:ind w:firstLine="329" w:firstLineChars="0"/>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个</w:t>
            </w:r>
          </w:p>
        </w:tc>
        <w:tc>
          <w:tcPr>
            <w:tcW w:w="1843" w:type="dxa"/>
            <w:vAlign w:val="center"/>
          </w:tcPr>
          <w:p>
            <w:pPr>
              <w:spacing w:line="300" w:lineRule="exact"/>
              <w:rPr>
                <w:rFonts w:hAnsiTheme="minorHAnsi" w:cstheme="minorBidi"/>
                <w:kern w:val="2"/>
                <w:szCs w:val="22"/>
                <w:lang w:eastAsia="zh-CN"/>
              </w:rPr>
            </w:pPr>
            <w:r>
              <w:rPr>
                <w:rFonts w:hint="eastAsia" w:ascii="方正书宋_GBK" w:eastAsia="方正书宋_GBK"/>
                <w:lang w:val="en-US"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设备验收合格率</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反映购置的路由器、交换机等设备验收合格情况</w:t>
            </w:r>
          </w:p>
        </w:tc>
        <w:tc>
          <w:tcPr>
            <w:tcW w:w="1276" w:type="dxa"/>
            <w:vAlign w:val="center"/>
          </w:tcPr>
          <w:p>
            <w:pPr>
              <w:pStyle w:val="17"/>
              <w:spacing w:line="300" w:lineRule="exact"/>
              <w:rPr>
                <w:rFonts w:hint="default" w:hAnsiTheme="minorHAnsi" w:cstheme="minorBidi"/>
                <w:kern w:val="2"/>
                <w:szCs w:val="22"/>
                <w:lang w:val="en-US" w:eastAsia="zh-CN"/>
              </w:rPr>
            </w:pPr>
            <w:r>
              <w:rPr>
                <w:rFonts w:hint="default" w:hAnsiTheme="minorHAnsi" w:cstheme="minorBidi"/>
                <w:kern w:val="2"/>
                <w:szCs w:val="22"/>
                <w:lang w:val="en-US" w:eastAsia="zh-CN"/>
              </w:rPr>
              <w:t>=100%</w:t>
            </w:r>
          </w:p>
        </w:tc>
        <w:tc>
          <w:tcPr>
            <w:tcW w:w="1843" w:type="dxa"/>
            <w:vAlign w:val="center"/>
          </w:tcPr>
          <w:p>
            <w:pPr>
              <w:spacing w:line="300" w:lineRule="exact"/>
              <w:rPr>
                <w:rFonts w:hAnsiTheme="minorHAnsi" w:cstheme="minorBidi"/>
                <w:kern w:val="2"/>
                <w:szCs w:val="22"/>
                <w:lang w:eastAsia="zh-CN"/>
              </w:rPr>
            </w:pPr>
            <w:r>
              <w:rPr>
                <w:rFonts w:hint="eastAsia" w:ascii="方正书宋_GBK" w:eastAsia="方正书宋_GBK"/>
                <w:lang w:val="en-US"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业务监控平台功能符合率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反映业务监控平台的功能是否符合要求</w:t>
            </w:r>
          </w:p>
        </w:tc>
        <w:tc>
          <w:tcPr>
            <w:tcW w:w="1276" w:type="dxa"/>
            <w:vAlign w:val="center"/>
          </w:tcPr>
          <w:p>
            <w:pPr>
              <w:pStyle w:val="17"/>
              <w:spacing w:line="300" w:lineRule="exact"/>
              <w:rPr>
                <w:rFonts w:hint="default" w:ascii="方正书宋_GBK" w:eastAsia="方正书宋_GBK" w:hAnsiTheme="minorHAnsi" w:cstheme="minorBidi"/>
                <w:kern w:val="2"/>
                <w:sz w:val="21"/>
                <w:szCs w:val="22"/>
                <w:lang w:val="en-US" w:eastAsia="zh-CN" w:bidi="ar-SA"/>
              </w:rPr>
            </w:pPr>
            <w:r>
              <w:rPr>
                <w:rFonts w:hint="default" w:hAnsiTheme="minorHAnsi" w:cstheme="minorBidi"/>
                <w:kern w:val="2"/>
                <w:szCs w:val="22"/>
                <w:lang w:val="en-US" w:eastAsia="zh-CN"/>
              </w:rPr>
              <w:t>=100%</w:t>
            </w:r>
          </w:p>
        </w:tc>
        <w:tc>
          <w:tcPr>
            <w:tcW w:w="1843" w:type="dxa"/>
            <w:vAlign w:val="center"/>
          </w:tcPr>
          <w:p>
            <w:pPr>
              <w:spacing w:line="300" w:lineRule="exact"/>
              <w:rPr>
                <w:rFonts w:hAnsiTheme="minorHAnsi" w:cstheme="minorBidi"/>
                <w:kern w:val="2"/>
                <w:szCs w:val="22"/>
                <w:lang w:eastAsia="zh-CN"/>
              </w:rPr>
            </w:pPr>
            <w:r>
              <w:rPr>
                <w:rFonts w:hint="eastAsia" w:ascii="方正书宋_GBK" w:eastAsia="方正书宋_GBK"/>
                <w:lang w:val="en-US"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设备购置及时率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反映路由器、交换机等设备购置的及时程度</w:t>
            </w:r>
          </w:p>
        </w:tc>
        <w:tc>
          <w:tcPr>
            <w:tcW w:w="1276" w:type="dxa"/>
            <w:vAlign w:val="center"/>
          </w:tcPr>
          <w:p>
            <w:pPr>
              <w:pStyle w:val="17"/>
              <w:spacing w:line="300" w:lineRule="exact"/>
              <w:rPr>
                <w:rFonts w:hint="default" w:ascii="方正书宋_GBK" w:eastAsia="方正书宋_GBK" w:hAnsiTheme="minorHAnsi" w:cstheme="minorBidi"/>
                <w:kern w:val="2"/>
                <w:sz w:val="21"/>
                <w:szCs w:val="22"/>
                <w:lang w:val="en-US" w:eastAsia="zh-CN" w:bidi="ar-SA"/>
              </w:rPr>
            </w:pPr>
            <w:r>
              <w:rPr>
                <w:rFonts w:hint="default" w:hAnsiTheme="minorHAnsi" w:cstheme="minorBidi"/>
                <w:kern w:val="2"/>
                <w:szCs w:val="22"/>
                <w:lang w:val="en-US" w:eastAsia="zh-CN"/>
              </w:rPr>
              <w:t>=100%</w:t>
            </w:r>
          </w:p>
        </w:tc>
        <w:tc>
          <w:tcPr>
            <w:tcW w:w="1843" w:type="dxa"/>
            <w:vAlign w:val="center"/>
          </w:tcPr>
          <w:p>
            <w:pPr>
              <w:spacing w:line="300" w:lineRule="exact"/>
              <w:rPr>
                <w:rFonts w:hAnsiTheme="minorHAnsi" w:cstheme="minorBidi"/>
                <w:kern w:val="2"/>
                <w:szCs w:val="22"/>
                <w:lang w:eastAsia="zh-CN"/>
              </w:rPr>
            </w:pPr>
            <w:r>
              <w:rPr>
                <w:rFonts w:hint="eastAsia" w:ascii="方正书宋_GBK" w:eastAsia="方正书宋_GBK"/>
                <w:lang w:val="en-US"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业务监控平台搭建及时率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反映业务监控平台搭建的及时程度</w:t>
            </w:r>
          </w:p>
        </w:tc>
        <w:tc>
          <w:tcPr>
            <w:tcW w:w="1276" w:type="dxa"/>
            <w:vAlign w:val="center"/>
          </w:tcPr>
          <w:p>
            <w:pPr>
              <w:pStyle w:val="17"/>
              <w:spacing w:line="300" w:lineRule="exact"/>
              <w:rPr>
                <w:rFonts w:hint="default" w:hAnsiTheme="minorHAnsi" w:cstheme="minorBidi"/>
                <w:kern w:val="2"/>
                <w:szCs w:val="22"/>
                <w:lang w:val="en-US" w:eastAsia="zh-CN"/>
              </w:rPr>
            </w:pPr>
            <w:r>
              <w:rPr>
                <w:rFonts w:hint="default" w:ascii="Arial" w:hAnsi="Arial" w:cs="Arial"/>
                <w:kern w:val="2"/>
                <w:szCs w:val="22"/>
                <w:lang w:eastAsia="zh-CN"/>
              </w:rPr>
              <w:t>≤</w:t>
            </w:r>
            <w:r>
              <w:rPr>
                <w:rFonts w:hint="default" w:hAnsiTheme="minorHAnsi" w:cstheme="minorBidi"/>
                <w:kern w:val="2"/>
                <w:szCs w:val="22"/>
                <w:lang w:val="en-US" w:eastAsia="zh-CN"/>
              </w:rPr>
              <w:t>21</w:t>
            </w:r>
            <w:r>
              <w:rPr>
                <w:rFonts w:hint="eastAsia" w:hAnsiTheme="minorHAnsi" w:cstheme="minorBidi"/>
                <w:kern w:val="2"/>
                <w:szCs w:val="22"/>
                <w:lang w:val="en-US" w:eastAsia="zh-CN"/>
              </w:rPr>
              <w:t>万元</w:t>
            </w:r>
          </w:p>
        </w:tc>
        <w:tc>
          <w:tcPr>
            <w:tcW w:w="1843" w:type="dxa"/>
            <w:vAlign w:val="center"/>
          </w:tcPr>
          <w:p>
            <w:pPr>
              <w:spacing w:line="300" w:lineRule="exact"/>
              <w:rPr>
                <w:rFonts w:hAnsiTheme="minorHAnsi" w:cstheme="minorBidi"/>
                <w:kern w:val="2"/>
                <w:szCs w:val="22"/>
                <w:lang w:eastAsia="zh-CN"/>
              </w:rPr>
            </w:pPr>
            <w:r>
              <w:rPr>
                <w:rFonts w:hint="eastAsia" w:ascii="方正书宋_GBK" w:eastAsia="方正书宋_GBK"/>
                <w:lang w:val="en-US"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成本指标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财政信息化建设成本</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反映项目支出金额不高于预算金额</w:t>
            </w:r>
          </w:p>
        </w:tc>
        <w:tc>
          <w:tcPr>
            <w:tcW w:w="1276" w:type="dxa"/>
            <w:vAlign w:val="center"/>
          </w:tcPr>
          <w:p>
            <w:pPr>
              <w:pStyle w:val="17"/>
              <w:spacing w:line="300" w:lineRule="exact"/>
              <w:rPr>
                <w:rFonts w:hint="default" w:hAnsiTheme="minorHAnsi" w:cstheme="minorBidi"/>
                <w:kern w:val="2"/>
                <w:szCs w:val="22"/>
                <w:lang w:val="en-US" w:eastAsia="zh-CN"/>
              </w:rPr>
            </w:pPr>
            <w:r>
              <w:rPr>
                <w:rFonts w:hint="default" w:hAnsiTheme="minorHAnsi" w:cstheme="minorBidi"/>
                <w:kern w:val="2"/>
                <w:szCs w:val="22"/>
                <w:lang w:val="en-US" w:eastAsia="zh-CN"/>
              </w:rPr>
              <w:t>=100%</w:t>
            </w:r>
          </w:p>
        </w:tc>
        <w:tc>
          <w:tcPr>
            <w:tcW w:w="1843" w:type="dxa"/>
            <w:vAlign w:val="center"/>
          </w:tcPr>
          <w:p>
            <w:pPr>
              <w:spacing w:line="300" w:lineRule="exact"/>
              <w:rPr>
                <w:rFonts w:hAnsiTheme="minorHAnsi" w:cstheme="minorBidi"/>
                <w:kern w:val="2"/>
                <w:szCs w:val="22"/>
                <w:lang w:eastAsia="zh-CN"/>
              </w:rPr>
            </w:pPr>
            <w:r>
              <w:rPr>
                <w:rFonts w:hint="eastAsia" w:ascii="方正书宋_GBK" w:eastAsia="方正书宋_GBK"/>
                <w:lang w:val="en-US"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社会效益指标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数据信息共享率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反映上下级之间信息联网和数据共享情况</w:t>
            </w:r>
          </w:p>
        </w:tc>
        <w:tc>
          <w:tcPr>
            <w:tcW w:w="1276" w:type="dxa"/>
            <w:vAlign w:val="center"/>
          </w:tcPr>
          <w:p>
            <w:pPr>
              <w:spacing w:line="300" w:lineRule="exact"/>
              <w:jc w:val="left"/>
              <w:rPr>
                <w:rFonts w:hint="default" w:ascii="方正书宋_GBK" w:eastAsia="方正书宋_GBK"/>
                <w:lang w:val="en-US"/>
              </w:rPr>
            </w:pPr>
            <w:r>
              <w:rPr>
                <w:rFonts w:hint="default" w:ascii="方正书宋_GBK" w:eastAsia="方正书宋_GBK"/>
                <w:lang w:val="en-US"/>
              </w:rPr>
              <w:t>=100%</w:t>
            </w:r>
          </w:p>
        </w:tc>
        <w:tc>
          <w:tcPr>
            <w:tcW w:w="1843" w:type="dxa"/>
            <w:vAlign w:val="center"/>
          </w:tcPr>
          <w:p>
            <w:pPr>
              <w:spacing w:line="300" w:lineRule="exact"/>
              <w:jc w:val="left"/>
              <w:rPr>
                <w:rFonts w:ascii="方正书宋_GBK" w:eastAsia="方正书宋_GBK"/>
              </w:rPr>
            </w:pPr>
            <w:r>
              <w:rPr>
                <w:rFonts w:hint="eastAsia" w:ascii="方正书宋_GBK" w:eastAsia="方正书宋_GBK"/>
                <w:lang w:val="en-US"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工作人员满意度</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反映工作人员对办公网络及业务平台功能的满意程度</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≥85%</w:t>
            </w:r>
          </w:p>
        </w:tc>
        <w:tc>
          <w:tcPr>
            <w:tcW w:w="1843" w:type="dxa"/>
            <w:vAlign w:val="center"/>
          </w:tcPr>
          <w:p>
            <w:pPr>
              <w:spacing w:line="300" w:lineRule="exact"/>
              <w:jc w:val="left"/>
              <w:rPr>
                <w:rFonts w:ascii="方正书宋_GBK" w:eastAsia="方正书宋_GBK"/>
              </w:rPr>
            </w:pPr>
            <w:r>
              <w:rPr>
                <w:rFonts w:hint="eastAsia" w:ascii="方正书宋_GBK" w:eastAsia="方正书宋_GBK"/>
                <w:lang w:val="en-US" w:eastAsia="zh-CN"/>
              </w:rPr>
              <w:t>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财政法律法规政策宣传、培训及法律咨询服务专项经费</w:t>
      </w:r>
      <w:r>
        <w:rPr>
          <w:rFonts w:ascii="方正仿宋_GBK" w:hAnsi="方正仿宋_GBK" w:eastAsia="方正仿宋_GBK" w:cs="方正仿宋_GBK"/>
          <w:color w:val="000000"/>
          <w:sz w:val="28"/>
        </w:rPr>
        <w:t>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rPr>
                <w:rFonts w:hint="default"/>
                <w:lang w:val="en-US"/>
              </w:rPr>
              <w:t>318</w:t>
            </w:r>
            <w:r>
              <w:t>001</w:t>
            </w:r>
            <w:r>
              <w:rPr>
                <w:rFonts w:hint="eastAsia"/>
                <w:lang w:val="en-US" w:eastAsia="zh-CN"/>
              </w:rPr>
              <w:t>保定市徐水区财政局本级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rPr>
                <w:rFonts w:hint="eastAsia"/>
              </w:rPr>
              <w:t>13062522P004567104616</w:t>
            </w:r>
          </w:p>
        </w:tc>
        <w:tc>
          <w:tcPr>
            <w:tcW w:w="1587" w:type="dxa"/>
            <w:vAlign w:val="center"/>
          </w:tcPr>
          <w:p>
            <w:pPr>
              <w:pStyle w:val="16"/>
            </w:pPr>
            <w:r>
              <w:t>项目名称</w:t>
            </w:r>
          </w:p>
        </w:tc>
        <w:tc>
          <w:tcPr>
            <w:tcW w:w="4422" w:type="dxa"/>
            <w:gridSpan w:val="3"/>
            <w:vAlign w:val="center"/>
          </w:tcPr>
          <w:p>
            <w:pPr>
              <w:pStyle w:val="17"/>
            </w:pPr>
            <w:r>
              <w:rPr>
                <w:rFonts w:hint="eastAsia"/>
              </w:rPr>
              <w:t>财政法律法规政策宣传、培训及法律咨询服务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rPr>
                <w:rFonts w:hint="default"/>
                <w:lang w:val="en-US"/>
              </w:rPr>
            </w:pPr>
            <w:r>
              <w:rPr>
                <w:rFonts w:hint="default"/>
                <w:lang w:val="en-US"/>
              </w:rPr>
              <w:t>19.20</w:t>
            </w:r>
          </w:p>
        </w:tc>
        <w:tc>
          <w:tcPr>
            <w:tcW w:w="1587" w:type="dxa"/>
            <w:vAlign w:val="center"/>
          </w:tcPr>
          <w:p>
            <w:pPr>
              <w:pStyle w:val="16"/>
            </w:pPr>
            <w:r>
              <w:t>其中：财政    资金</w:t>
            </w:r>
          </w:p>
        </w:tc>
        <w:tc>
          <w:tcPr>
            <w:tcW w:w="1304" w:type="dxa"/>
            <w:vAlign w:val="center"/>
          </w:tcPr>
          <w:p>
            <w:pPr>
              <w:pStyle w:val="17"/>
              <w:rPr>
                <w:rFonts w:hint="default"/>
                <w:lang w:val="en-US"/>
              </w:rPr>
            </w:pPr>
            <w:r>
              <w:rPr>
                <w:rFonts w:hint="default"/>
                <w:lang w:val="en-US"/>
              </w:rPr>
              <w:t>19.20</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该项目</w:t>
            </w:r>
            <w:r>
              <w:rPr>
                <w:rFonts w:hint="eastAsia"/>
                <w:lang w:val="en-US" w:eastAsia="zh-CN"/>
              </w:rPr>
              <w:t>主要</w:t>
            </w:r>
            <w:r>
              <w:rPr>
                <w:rFonts w:hint="eastAsia"/>
              </w:rPr>
              <w:t>用于财政宣传培训任务，聘请法律顾问等支出</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p>
        </w:tc>
        <w:tc>
          <w:tcPr>
            <w:tcW w:w="1587" w:type="dxa"/>
            <w:vAlign w:val="center"/>
          </w:tcPr>
          <w:p>
            <w:pPr>
              <w:pStyle w:val="18"/>
            </w:pPr>
          </w:p>
        </w:tc>
        <w:tc>
          <w:tcPr>
            <w:tcW w:w="1304" w:type="dxa"/>
            <w:vAlign w:val="center"/>
          </w:tcPr>
          <w:p>
            <w:pPr>
              <w:pStyle w:val="18"/>
            </w:pP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通过开展法律法规宣传教育活动，提高全区财政法律知识水平，提升财会人员法律素养</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 xml:space="preserve">2.  </w:t>
            </w:r>
            <w:r>
              <w:rPr>
                <w:rFonts w:hint="eastAsia" w:ascii="方正书宋_GBK" w:eastAsia="方正书宋_GBK"/>
              </w:rPr>
              <w:t>当年完成财政宣传培训任务，聘请法律顾问</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3.该项目</w:t>
            </w:r>
            <w:r>
              <w:rPr>
                <w:rFonts w:hint="eastAsia" w:ascii="方正书宋_GBK" w:eastAsia="方正书宋_GBK"/>
              </w:rPr>
              <w:t>预计2022年11月底支出完毕</w:t>
            </w:r>
            <w:r>
              <w:rPr>
                <w:rFonts w:ascii="方正书宋_GBK" w:eastAsia="方正书宋_GBK"/>
              </w:rPr>
              <w:t>。</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培训人数</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反映培训农村财会人员、财政系统人员数量情况</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≥300</w:t>
            </w:r>
            <w:r>
              <w:rPr>
                <w:rFonts w:hint="eastAsia" w:ascii="Calibri" w:hAnsi="Calibri" w:eastAsia="宋体" w:cs="Calibri"/>
                <w:i w:val="0"/>
                <w:iCs w:val="0"/>
                <w:color w:val="000000"/>
                <w:kern w:val="0"/>
                <w:sz w:val="22"/>
                <w:szCs w:val="22"/>
                <w:u w:val="none"/>
                <w:lang w:val="en-US" w:eastAsia="zh-CN" w:bidi="ar"/>
              </w:rPr>
              <w:t>人</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宣传手册印刷数</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反映宣传手册印刷数量情况</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≥200</w:t>
            </w:r>
            <w:r>
              <w:rPr>
                <w:rFonts w:hint="eastAsia" w:ascii="Calibri" w:hAnsi="Calibri" w:eastAsia="宋体" w:cs="Calibri"/>
                <w:i w:val="0"/>
                <w:iCs w:val="0"/>
                <w:color w:val="000000"/>
                <w:kern w:val="0"/>
                <w:sz w:val="22"/>
                <w:szCs w:val="22"/>
                <w:u w:val="none"/>
                <w:lang w:val="en-US" w:eastAsia="zh-CN" w:bidi="ar"/>
              </w:rPr>
              <w:t>册</w:t>
            </w:r>
          </w:p>
        </w:tc>
        <w:tc>
          <w:tcPr>
            <w:tcW w:w="1843" w:type="dxa"/>
            <w:vAlign w:val="center"/>
          </w:tcPr>
          <w:p>
            <w:pPr>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法律顾问聘请数</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反映法律顾问聘请数量情况</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人</w:t>
            </w:r>
          </w:p>
        </w:tc>
        <w:tc>
          <w:tcPr>
            <w:tcW w:w="1843" w:type="dxa"/>
            <w:vAlign w:val="center"/>
          </w:tcPr>
          <w:p>
            <w:pPr>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培训人员到位率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反映应参加培训的人员是否全部到位</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手册印刷合格率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反映印刷的宣传手册是否合格</w:t>
            </w: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聘用条件符合率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反映聘用的法律顾问是否符合聘用要求</w:t>
            </w: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培训开展及时率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反映农村财会人员、财政系统人员培训开展的及时程度</w:t>
            </w: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宣传手册印刷及时率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反映宣传手册印刷的及时程度</w:t>
            </w: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法律顾问聘请及时率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反映法律顾问聘请的及时程度</w:t>
            </w: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成本指标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项目预算控制数</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不高于预算金额</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≤19.2</w:t>
            </w:r>
            <w:r>
              <w:rPr>
                <w:rFonts w:hint="eastAsia" w:ascii="Calibri" w:hAnsi="Calibri" w:eastAsia="宋体" w:cs="Calibri"/>
                <w:i w:val="0"/>
                <w:iCs w:val="0"/>
                <w:color w:val="000000"/>
                <w:kern w:val="0"/>
                <w:sz w:val="22"/>
                <w:szCs w:val="22"/>
                <w:u w:val="none"/>
                <w:lang w:val="en-US" w:eastAsia="zh-CN" w:bidi="ar"/>
              </w:rPr>
              <w:t>万</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社会效益指标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财会人员业务水平提高</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反映财会人员业务水平提高程度</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通过调查问卷，认为自身业务水平提升的人员比例为80%</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参训人员满意度</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反映参加财务知识培训人员对培训工作的满意程度</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≥85%</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bl>
    <w:p>
      <w:pPr>
        <w:sectPr>
          <w:pgSz w:w="11900" w:h="16840"/>
          <w:pgMar w:top="1984" w:right="1304" w:bottom="1134" w:left="1304" w:header="720" w:footer="720" w:gutter="0"/>
          <w:cols w:space="720" w:num="1"/>
        </w:sectPr>
      </w:pPr>
    </w:p>
    <w:p>
      <w:pPr>
        <w:jc w:val="both"/>
        <w:rPr>
          <w:rFonts w:ascii="方正仿宋_GBK" w:hAnsi="方正仿宋_GBK" w:eastAsia="方正仿宋_GBK" w:cs="方正仿宋_GBK"/>
          <w:color w:val="000000"/>
          <w:sz w:val="28"/>
        </w:rPr>
      </w:pPr>
      <w:bookmarkStart w:id="5" w:name="_Toc_4_4_0000000006"/>
    </w:p>
    <w:p>
      <w:pPr>
        <w:ind w:firstLine="280" w:firstLineChars="100"/>
        <w:jc w:val="both"/>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国库集中支付电子化代理业务专项经费</w:t>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rPr>
                <w:rFonts w:hint="default"/>
                <w:lang w:val="en-US"/>
              </w:rPr>
              <w:t>318</w:t>
            </w:r>
            <w:r>
              <w:t>001</w:t>
            </w:r>
            <w:r>
              <w:rPr>
                <w:rFonts w:hint="eastAsia"/>
                <w:lang w:val="en-US" w:eastAsia="zh-CN"/>
              </w:rPr>
              <w:t>保定市徐水区财政局本级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rPr>
                <w:rFonts w:hint="eastAsia"/>
              </w:rPr>
              <w:t>13062522P00456710456C</w:t>
            </w:r>
          </w:p>
        </w:tc>
        <w:tc>
          <w:tcPr>
            <w:tcW w:w="1587" w:type="dxa"/>
            <w:vAlign w:val="center"/>
          </w:tcPr>
          <w:p>
            <w:pPr>
              <w:pStyle w:val="16"/>
            </w:pPr>
            <w:r>
              <w:t>项目名称</w:t>
            </w:r>
          </w:p>
        </w:tc>
        <w:tc>
          <w:tcPr>
            <w:tcW w:w="4422" w:type="dxa"/>
            <w:gridSpan w:val="3"/>
            <w:vAlign w:val="center"/>
          </w:tcPr>
          <w:p>
            <w:pPr>
              <w:pStyle w:val="17"/>
            </w:pPr>
            <w:r>
              <w:rPr>
                <w:rFonts w:hint="eastAsia"/>
              </w:rPr>
              <w:t>国库集中支付电子化代理业务专项经费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rPr>
                <w:rFonts w:hint="default"/>
                <w:lang w:val="en-US"/>
              </w:rPr>
            </w:pPr>
            <w:r>
              <w:rPr>
                <w:rFonts w:hint="default"/>
                <w:lang w:val="en-US"/>
              </w:rPr>
              <w:t>180.00</w:t>
            </w:r>
          </w:p>
        </w:tc>
        <w:tc>
          <w:tcPr>
            <w:tcW w:w="1587" w:type="dxa"/>
            <w:vAlign w:val="center"/>
          </w:tcPr>
          <w:p>
            <w:pPr>
              <w:pStyle w:val="16"/>
            </w:pPr>
            <w:r>
              <w:t>其中：财政    资金</w:t>
            </w:r>
          </w:p>
        </w:tc>
        <w:tc>
          <w:tcPr>
            <w:tcW w:w="1304" w:type="dxa"/>
            <w:vAlign w:val="center"/>
          </w:tcPr>
          <w:p>
            <w:pPr>
              <w:pStyle w:val="17"/>
              <w:rPr>
                <w:rFonts w:hint="default"/>
                <w:lang w:val="en-US"/>
              </w:rPr>
            </w:pPr>
            <w:r>
              <w:t xml:space="preserve"> </w:t>
            </w:r>
            <w:r>
              <w:rPr>
                <w:rFonts w:hint="default"/>
                <w:lang w:val="en-US"/>
              </w:rPr>
              <w:t>180.00</w:t>
            </w:r>
          </w:p>
        </w:tc>
        <w:tc>
          <w:tcPr>
            <w:tcW w:w="1276" w:type="dxa"/>
            <w:vAlign w:val="center"/>
          </w:tcPr>
          <w:p>
            <w:pPr>
              <w:pStyle w:val="16"/>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该项目主要用于</w:t>
            </w:r>
            <w:r>
              <w:rPr>
                <w:rFonts w:hint="eastAsia"/>
              </w:rPr>
              <w:t>支付2021年银行代理业务费</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p>
        </w:tc>
        <w:tc>
          <w:tcPr>
            <w:tcW w:w="1587" w:type="dxa"/>
            <w:vAlign w:val="center"/>
          </w:tcPr>
          <w:p>
            <w:pPr>
              <w:pStyle w:val="18"/>
            </w:pPr>
            <w:r>
              <w:rPr>
                <w:rFonts w:hint="default"/>
                <w:lang w:val="en-US"/>
              </w:rPr>
              <w:t>10</w:t>
            </w:r>
            <w:r>
              <w:t>0%</w:t>
            </w:r>
          </w:p>
        </w:tc>
        <w:tc>
          <w:tcPr>
            <w:tcW w:w="1304" w:type="dxa"/>
            <w:vAlign w:val="center"/>
          </w:tcPr>
          <w:p>
            <w:pPr>
              <w:pStyle w:val="18"/>
            </w:pPr>
            <w:r>
              <w:rPr>
                <w:rFonts w:hint="default"/>
                <w:lang w:val="en-US"/>
              </w:rPr>
              <w:t>100</w:t>
            </w:r>
            <w:r>
              <w:t>%</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按照业务情况支付各银行代理服务费，保障财政资金支付顺畅。确保实现国库集中支付电子化，提升财政财务管理现代化水平</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 xml:space="preserve">2. </w:t>
            </w:r>
            <w:r>
              <w:rPr>
                <w:rFonts w:hint="eastAsia" w:ascii="方正书宋_GBK" w:eastAsia="方正书宋_GBK"/>
              </w:rPr>
              <w:t>完成上年代理费用支付工作</w:t>
            </w:r>
            <w:r>
              <w:rPr>
                <w:rFonts w:ascii="方正书宋_GBK" w:eastAsia="方正书宋_GBK"/>
              </w:rPr>
              <w:t>。</w:t>
            </w:r>
          </w:p>
          <w:p>
            <w:pPr>
              <w:spacing w:line="300" w:lineRule="exact"/>
              <w:jc w:val="left"/>
            </w:pPr>
            <w:r>
              <w:rPr>
                <w:rFonts w:ascii="方正书宋_GBK" w:eastAsia="方正书宋_GBK"/>
              </w:rPr>
              <w:t>3.</w:t>
            </w:r>
            <w:r>
              <w:rPr>
                <w:rFonts w:hint="default" w:ascii="方正书宋_GBK" w:eastAsia="方正书宋_GBK"/>
                <w:lang w:val="en-US"/>
              </w:rPr>
              <w:t xml:space="preserve"> </w:t>
            </w:r>
            <w:r>
              <w:rPr>
                <w:rFonts w:hint="eastAsia" w:ascii="方正书宋_GBK" w:eastAsia="方正书宋_GBK"/>
              </w:rPr>
              <w:t>2022年6月份前一次性付清</w:t>
            </w:r>
            <w:r>
              <w:rPr>
                <w:rFonts w:ascii="方正书宋_GBK" w:eastAsia="方正书宋_GBK"/>
              </w:rPr>
              <w:t>。</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代理银行数量</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反映需支付代理费用的银行数量情况</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=6</w:t>
            </w:r>
            <w:r>
              <w:rPr>
                <w:rFonts w:hint="eastAsia" w:ascii="Calibri" w:hAnsi="Calibri" w:eastAsia="宋体" w:cs="Calibri"/>
                <w:i w:val="0"/>
                <w:iCs w:val="0"/>
                <w:color w:val="000000"/>
                <w:kern w:val="0"/>
                <w:sz w:val="22"/>
                <w:szCs w:val="22"/>
                <w:u w:val="none"/>
                <w:lang w:val="en-US" w:eastAsia="zh-CN" w:bidi="ar"/>
              </w:rPr>
              <w:t>家</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支付准确率</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反映支付的代理银行是否准确</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支付及时率</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反映支付银行代理费的及时程度</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成本指标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国库集中支付电子化代理业务成本</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反映项目支出金额不高于预算金额</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≤180</w:t>
            </w:r>
            <w:r>
              <w:rPr>
                <w:rFonts w:hint="eastAsia" w:ascii="Calibri" w:hAnsi="Calibri" w:eastAsia="宋体" w:cs="Calibri"/>
                <w:i w:val="0"/>
                <w:iCs w:val="0"/>
                <w:color w:val="000000"/>
                <w:kern w:val="0"/>
                <w:sz w:val="22"/>
                <w:szCs w:val="22"/>
                <w:u w:val="none"/>
                <w:lang w:val="en-US" w:eastAsia="zh-CN" w:bidi="ar"/>
              </w:rPr>
              <w:t>万</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社会效益指标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电子化支付率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反映通过电子化形式支付资金量占全部支付资金比例情况</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≥80%</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spacing w:line="300" w:lineRule="exact"/>
              <w:jc w:val="left"/>
              <w:rPr>
                <w:rFonts w:ascii="方正书宋_GBK" w:eastAsia="方正书宋_GBK"/>
              </w:rPr>
            </w:pPr>
          </w:p>
        </w:tc>
        <w:tc>
          <w:tcPr>
            <w:tcW w:w="1332"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843" w:type="dxa"/>
            <w:vAlign w:val="center"/>
          </w:tcPr>
          <w:p>
            <w:pPr>
              <w:spacing w:line="300" w:lineRule="exact"/>
              <w:jc w:val="left"/>
              <w:rPr>
                <w:rFonts w:ascii="方正书宋_GBK" w:eastAsia="方正书宋_GBK"/>
              </w:rPr>
            </w:pPr>
          </w:p>
        </w:tc>
      </w:tr>
    </w:tbl>
    <w:p>
      <w:pPr>
        <w:jc w:val="both"/>
        <w:rPr>
          <w:rFonts w:ascii="方正仿宋_GBK" w:hAnsi="方正仿宋_GBK" w:eastAsia="方正仿宋_GBK" w:cs="方正仿宋_GBK"/>
          <w:color w:val="000000"/>
          <w:sz w:val="28"/>
        </w:rPr>
      </w:pPr>
    </w:p>
    <w:p>
      <w:pPr>
        <w:ind w:firstLine="280" w:firstLineChars="100"/>
        <w:jc w:val="both"/>
        <w:rPr>
          <w:rFonts w:ascii="方正仿宋_GBK" w:hAnsi="方正仿宋_GBK" w:eastAsia="方正仿宋_GBK" w:cs="方正仿宋_GBK"/>
          <w:color w:val="000000"/>
          <w:sz w:val="28"/>
        </w:rPr>
      </w:pPr>
    </w:p>
    <w:p>
      <w:pPr>
        <w:ind w:firstLine="280" w:firstLineChars="100"/>
        <w:jc w:val="both"/>
        <w:rPr>
          <w:rFonts w:ascii="方正仿宋_GBK" w:hAnsi="方正仿宋_GBK" w:eastAsia="方正仿宋_GBK" w:cs="方正仿宋_GBK"/>
          <w:color w:val="000000"/>
          <w:sz w:val="28"/>
        </w:rPr>
      </w:pPr>
    </w:p>
    <w:p>
      <w:pPr>
        <w:ind w:firstLine="280" w:firstLineChars="100"/>
        <w:jc w:val="both"/>
      </w:pPr>
      <w:r>
        <w:rPr>
          <w:rFonts w:hint="default" w:ascii="方正仿宋_GBK" w:hAnsi="方正仿宋_GBK" w:eastAsia="方正仿宋_GBK" w:cs="方正仿宋_GBK"/>
          <w:color w:val="000000"/>
          <w:sz w:val="28"/>
          <w:lang w:val="en-US"/>
        </w:rPr>
        <w:t>4</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预算绩效评估评价经费</w:t>
      </w:r>
      <w:r>
        <w:rPr>
          <w:rFonts w:ascii="方正仿宋_GBK" w:hAnsi="方正仿宋_GBK" w:eastAsia="方正仿宋_GBK" w:cs="方正仿宋_GBK"/>
          <w:color w:val="000000"/>
          <w:sz w:val="28"/>
        </w:rPr>
        <w:t>绩效目标表</w:t>
      </w:r>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rPr>
                <w:rFonts w:hint="default"/>
                <w:lang w:val="en-US"/>
              </w:rPr>
              <w:t>318</w:t>
            </w:r>
            <w:r>
              <w:t>001</w:t>
            </w:r>
            <w:r>
              <w:rPr>
                <w:rFonts w:hint="eastAsia"/>
                <w:lang w:val="en-US" w:eastAsia="zh-CN"/>
              </w:rPr>
              <w:t>保定市徐水区财政局本级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rPr>
                <w:rFonts w:hint="eastAsia"/>
              </w:rPr>
              <w:t>13062522P004567104280</w:t>
            </w:r>
          </w:p>
        </w:tc>
        <w:tc>
          <w:tcPr>
            <w:tcW w:w="1587" w:type="dxa"/>
            <w:vAlign w:val="center"/>
          </w:tcPr>
          <w:p>
            <w:pPr>
              <w:pStyle w:val="16"/>
            </w:pPr>
            <w:r>
              <w:t>项目名称</w:t>
            </w:r>
          </w:p>
        </w:tc>
        <w:tc>
          <w:tcPr>
            <w:tcW w:w="4423" w:type="dxa"/>
            <w:gridSpan w:val="3"/>
            <w:vAlign w:val="center"/>
          </w:tcPr>
          <w:p>
            <w:pPr>
              <w:pStyle w:val="17"/>
            </w:pPr>
            <w:r>
              <w:rPr>
                <w:rFonts w:hint="eastAsia"/>
              </w:rPr>
              <w:t>预算绩效评估评价经费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rPr>
                <w:rFonts w:hint="default"/>
                <w:lang w:val="en-US"/>
              </w:rPr>
            </w:pPr>
            <w:r>
              <w:rPr>
                <w:rFonts w:hint="default"/>
                <w:lang w:val="en-US"/>
              </w:rPr>
              <w:t>93.00</w:t>
            </w:r>
          </w:p>
        </w:tc>
        <w:tc>
          <w:tcPr>
            <w:tcW w:w="1587" w:type="dxa"/>
            <w:vAlign w:val="center"/>
          </w:tcPr>
          <w:p>
            <w:pPr>
              <w:pStyle w:val="16"/>
            </w:pPr>
            <w:r>
              <w:t>其中：财政    资金</w:t>
            </w:r>
          </w:p>
        </w:tc>
        <w:tc>
          <w:tcPr>
            <w:tcW w:w="1304" w:type="dxa"/>
            <w:vAlign w:val="center"/>
          </w:tcPr>
          <w:p>
            <w:pPr>
              <w:pStyle w:val="17"/>
              <w:rPr>
                <w:rFonts w:hint="default"/>
                <w:lang w:val="en-US"/>
              </w:rPr>
            </w:pPr>
            <w:r>
              <w:t xml:space="preserve"> </w:t>
            </w:r>
            <w:r>
              <w:rPr>
                <w:rFonts w:hint="default"/>
                <w:lang w:val="en-US"/>
              </w:rPr>
              <w:t>93.00</w:t>
            </w:r>
          </w:p>
        </w:tc>
        <w:tc>
          <w:tcPr>
            <w:tcW w:w="1276" w:type="dxa"/>
            <w:vAlign w:val="center"/>
          </w:tcPr>
          <w:p>
            <w:pPr>
              <w:pStyle w:val="16"/>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该项目主要用于</w:t>
            </w:r>
            <w:r>
              <w:rPr>
                <w:rFonts w:hint="eastAsia"/>
              </w:rPr>
              <w:t>事前绩效评估、事后绩效评价、目标审核工作</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tbl>
            <w:tblPr>
              <w:tblStyle w:val="5"/>
              <w:tblW w:w="522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22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13.44%</w:t>
                  </w:r>
                </w:p>
              </w:tc>
            </w:tr>
          </w:tbl>
          <w:p>
            <w:pPr>
              <w:pStyle w:val="18"/>
            </w:pPr>
          </w:p>
        </w:tc>
        <w:tc>
          <w:tcPr>
            <w:tcW w:w="1587" w:type="dxa"/>
            <w:vAlign w:val="center"/>
          </w:tcPr>
          <w:p>
            <w:pPr>
              <w:keepNext w:val="0"/>
              <w:keepLines w:val="0"/>
              <w:widowControl/>
              <w:suppressLineNumbers w:val="0"/>
              <w:jc w:val="center"/>
              <w:textAlignment w:val="center"/>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13.44%</w:t>
            </w:r>
          </w:p>
        </w:tc>
        <w:tc>
          <w:tcPr>
            <w:tcW w:w="1304" w:type="dxa"/>
            <w:vAlign w:val="center"/>
          </w:tcPr>
          <w:p>
            <w:pPr>
              <w:keepNext w:val="0"/>
              <w:keepLines w:val="0"/>
              <w:widowControl/>
              <w:suppressLineNumbers w:val="0"/>
              <w:jc w:val="center"/>
              <w:textAlignment w:val="center"/>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24.19%</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通过开展事前绩效评估、事后绩效评价、目标审核等工作，提高下一预算年度的预算资金分配决策的科学性、精准性、公正性。</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 xml:space="preserve">2. </w:t>
            </w:r>
            <w:r>
              <w:rPr>
                <w:rFonts w:hint="eastAsia" w:ascii="方正书宋_GBK" w:eastAsia="方正书宋_GBK"/>
              </w:rPr>
              <w:t>完成事前绩效评估、事后绩效评价、目标审核任务</w:t>
            </w:r>
            <w:r>
              <w:rPr>
                <w:rFonts w:ascii="方正书宋_GBK" w:eastAsia="方正书宋_GBK"/>
              </w:rPr>
              <w:t>。</w:t>
            </w:r>
          </w:p>
          <w:p>
            <w:pPr>
              <w:spacing w:line="300" w:lineRule="exact"/>
              <w:jc w:val="left"/>
            </w:pPr>
            <w:r>
              <w:rPr>
                <w:rFonts w:ascii="方正书宋_GBK" w:eastAsia="方正书宋_GBK"/>
              </w:rPr>
              <w:t>3.</w:t>
            </w:r>
            <w:r>
              <w:rPr>
                <w:rFonts w:hint="default" w:ascii="方正书宋_GBK" w:eastAsia="方正书宋_GBK"/>
                <w:lang w:val="en-US"/>
              </w:rPr>
              <w:t xml:space="preserve"> </w:t>
            </w:r>
            <w:r>
              <w:rPr>
                <w:rFonts w:hint="eastAsia" w:ascii="方正书宋_GBK" w:eastAsia="方正书宋_GBK"/>
              </w:rPr>
              <w:t>按照项目开展情况2月份预计支出12.5万，7月份预计支出10万，11月份预计支出70.5万</w:t>
            </w:r>
            <w:r>
              <w:rPr>
                <w:rFonts w:ascii="方正书宋_GBK" w:eastAsia="方正书宋_GBK"/>
              </w:rPr>
              <w:t>。</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事前绩效评估项目个数</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反映委托第三方完成事前绩效审核个数</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≥15</w:t>
            </w:r>
            <w:r>
              <w:rPr>
                <w:rFonts w:hint="eastAsia" w:ascii="Calibri" w:hAnsi="Calibri" w:eastAsia="宋体" w:cs="Calibri"/>
                <w:i w:val="0"/>
                <w:iCs w:val="0"/>
                <w:color w:val="000000"/>
                <w:kern w:val="0"/>
                <w:sz w:val="22"/>
                <w:szCs w:val="22"/>
                <w:u w:val="none"/>
                <w:lang w:val="en-US" w:eastAsia="zh-CN" w:bidi="ar"/>
              </w:rPr>
              <w:t>个</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事后绩效评价涉及领域数</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反映委托第三方完成事后绩效评价领域数</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≥4</w:t>
            </w:r>
            <w:r>
              <w:rPr>
                <w:rFonts w:hint="eastAsia" w:ascii="Calibri" w:hAnsi="Calibri" w:eastAsia="宋体" w:cs="Calibri"/>
                <w:i w:val="0"/>
                <w:iCs w:val="0"/>
                <w:color w:val="000000"/>
                <w:kern w:val="0"/>
                <w:sz w:val="22"/>
                <w:szCs w:val="22"/>
                <w:u w:val="none"/>
                <w:lang w:val="en-US" w:eastAsia="zh-CN" w:bidi="ar"/>
              </w:rPr>
              <w:t>个</w:t>
            </w:r>
          </w:p>
        </w:tc>
        <w:tc>
          <w:tcPr>
            <w:tcW w:w="1843" w:type="dxa"/>
            <w:vAlign w:val="center"/>
          </w:tcPr>
          <w:p>
            <w:pPr>
              <w:pStyle w:val="17"/>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绩效目标审核部门数</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反映委托第三方完成绩效目标审核的部门数量</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≥70</w:t>
            </w:r>
            <w:r>
              <w:rPr>
                <w:rFonts w:hint="eastAsia" w:ascii="Calibri" w:hAnsi="Calibri" w:eastAsia="宋体" w:cs="Calibri"/>
                <w:i w:val="0"/>
                <w:iCs w:val="0"/>
                <w:color w:val="000000"/>
                <w:kern w:val="0"/>
                <w:sz w:val="22"/>
                <w:szCs w:val="22"/>
                <w:u w:val="none"/>
                <w:lang w:val="en-US" w:eastAsia="zh-CN" w:bidi="ar"/>
              </w:rPr>
              <w:t>个</w:t>
            </w:r>
          </w:p>
        </w:tc>
        <w:tc>
          <w:tcPr>
            <w:tcW w:w="1843" w:type="dxa"/>
            <w:vAlign w:val="center"/>
          </w:tcPr>
          <w:p>
            <w:pPr>
              <w:pStyle w:val="17"/>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报告验收通过率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反映第三方出具的事前与事后报告通过委托方验收的情况</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目标审核结果符合率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反映经第三方审核修改后的部门绩效目标是否符合绩效目标申报要求</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报告出具及时率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反映第三方出具事前与事后报告的及时程度</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成本指标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预算绩效评估评价成本</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不高于预算金额</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≤93</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社会效益指标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评估报告和审核意见被采纳率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反映审核报告和审核意见被采纳的比率</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≥90%</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委托方满意度</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反映委托方对第三方提供服务的满意程度</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≥85%</w:t>
            </w:r>
          </w:p>
        </w:tc>
        <w:tc>
          <w:tcPr>
            <w:tcW w:w="1843"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计划要求</w:t>
            </w:r>
          </w:p>
        </w:tc>
      </w:tr>
    </w:tbl>
    <w:p>
      <w:pPr>
        <w:jc w:val="both"/>
        <w:rPr>
          <w:rFonts w:ascii="方正仿宋_GBK" w:hAnsi="方正仿宋_GBK" w:eastAsia="方正仿宋_GBK" w:cs="方正仿宋_GBK"/>
          <w:color w:val="000000"/>
          <w:sz w:val="28"/>
        </w:rPr>
      </w:pPr>
    </w:p>
    <w:p>
      <w:pPr>
        <w:jc w:val="both"/>
        <w:rPr>
          <w:rFonts w:ascii="方正仿宋_GBK" w:hAnsi="方正仿宋_GBK" w:eastAsia="方正仿宋_GBK" w:cs="方正仿宋_GBK"/>
          <w:color w:val="000000"/>
          <w:sz w:val="28"/>
        </w:rPr>
      </w:pPr>
    </w:p>
    <w:p>
      <w:pPr>
        <w:ind w:firstLine="280" w:firstLineChars="100"/>
        <w:jc w:val="both"/>
      </w:pPr>
      <w:r>
        <w:rPr>
          <w:rFonts w:hint="default" w:ascii="方正仿宋_GBK" w:hAnsi="方正仿宋_GBK" w:eastAsia="方正仿宋_GBK" w:cs="方正仿宋_GBK"/>
          <w:color w:val="000000"/>
          <w:sz w:val="28"/>
          <w:lang w:val="en-US"/>
        </w:rPr>
        <w:t>5</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财政监督管理服务费</w:t>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rPr>
                <w:rFonts w:hint="default"/>
                <w:lang w:val="en-US"/>
              </w:rPr>
              <w:t>318</w:t>
            </w:r>
            <w:r>
              <w:t>001</w:t>
            </w:r>
            <w:r>
              <w:rPr>
                <w:rFonts w:hint="eastAsia"/>
                <w:lang w:val="en-US" w:eastAsia="zh-CN"/>
              </w:rPr>
              <w:t>保定市徐水区财政局本级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rPr>
                <w:rFonts w:hint="eastAsia"/>
              </w:rPr>
              <w:t>13062522P00456710460J</w:t>
            </w:r>
          </w:p>
        </w:tc>
        <w:tc>
          <w:tcPr>
            <w:tcW w:w="1587" w:type="dxa"/>
            <w:vAlign w:val="center"/>
          </w:tcPr>
          <w:p>
            <w:pPr>
              <w:pStyle w:val="16"/>
            </w:pPr>
            <w:r>
              <w:t>项目名称</w:t>
            </w:r>
          </w:p>
        </w:tc>
        <w:tc>
          <w:tcPr>
            <w:tcW w:w="4422" w:type="dxa"/>
            <w:gridSpan w:val="3"/>
            <w:vAlign w:val="center"/>
          </w:tcPr>
          <w:p>
            <w:pPr>
              <w:pStyle w:val="17"/>
            </w:pPr>
            <w:r>
              <w:rPr>
                <w:rFonts w:hint="eastAsia"/>
              </w:rPr>
              <w:t>财政监督管理服务费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rPr>
                <w:rFonts w:hint="default"/>
                <w:lang w:val="en-US"/>
              </w:rPr>
            </w:pPr>
            <w:r>
              <w:rPr>
                <w:rFonts w:hint="default"/>
                <w:lang w:val="en-US"/>
              </w:rPr>
              <w:t>22.90</w:t>
            </w:r>
          </w:p>
        </w:tc>
        <w:tc>
          <w:tcPr>
            <w:tcW w:w="1587" w:type="dxa"/>
            <w:vAlign w:val="center"/>
          </w:tcPr>
          <w:p>
            <w:pPr>
              <w:pStyle w:val="16"/>
            </w:pPr>
            <w:r>
              <w:t>其中：财政    资金</w:t>
            </w:r>
          </w:p>
        </w:tc>
        <w:tc>
          <w:tcPr>
            <w:tcW w:w="1304" w:type="dxa"/>
            <w:vAlign w:val="center"/>
          </w:tcPr>
          <w:p>
            <w:pPr>
              <w:pStyle w:val="17"/>
              <w:rPr>
                <w:rFonts w:hint="default"/>
                <w:lang w:val="en-US"/>
              </w:rPr>
            </w:pPr>
            <w:r>
              <w:t xml:space="preserve"> </w:t>
            </w:r>
            <w:r>
              <w:rPr>
                <w:rFonts w:hint="default"/>
                <w:lang w:val="en-US"/>
              </w:rPr>
              <w:t>22.90</w:t>
            </w:r>
          </w:p>
        </w:tc>
        <w:tc>
          <w:tcPr>
            <w:tcW w:w="1276" w:type="dxa"/>
            <w:vAlign w:val="center"/>
          </w:tcPr>
          <w:p>
            <w:pPr>
              <w:pStyle w:val="16"/>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该项目</w:t>
            </w:r>
            <w:r>
              <w:rPr>
                <w:rFonts w:hint="eastAsia"/>
              </w:rPr>
              <w:t>支付第三方监督检查、审计和资产评估服务费</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p>
        </w:tc>
        <w:tc>
          <w:tcPr>
            <w:tcW w:w="1587" w:type="dxa"/>
            <w:vAlign w:val="center"/>
          </w:tcPr>
          <w:p>
            <w:pPr>
              <w:pStyle w:val="18"/>
            </w:pPr>
          </w:p>
        </w:tc>
        <w:tc>
          <w:tcPr>
            <w:tcW w:w="1304" w:type="dxa"/>
            <w:vAlign w:val="center"/>
          </w:tcPr>
          <w:p>
            <w:pPr>
              <w:pStyle w:val="18"/>
            </w:pPr>
            <w:r>
              <w:rPr>
                <w:rFonts w:hint="default"/>
                <w:lang w:val="en-US"/>
              </w:rPr>
              <w:t>8.73</w:t>
            </w:r>
            <w:r>
              <w:t>%</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统筹各类专项检查和专项治理工作，提高财政预算管理质量，保障财政资金安全高效</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 xml:space="preserve">2. </w:t>
            </w:r>
            <w:r>
              <w:rPr>
                <w:rFonts w:hint="eastAsia" w:ascii="方正书宋_GBK" w:eastAsia="方正书宋_GBK"/>
              </w:rPr>
              <w:t>完成当年监督检查、审计、资产评估工作</w:t>
            </w:r>
            <w:r>
              <w:rPr>
                <w:rFonts w:ascii="方正书宋_GBK" w:eastAsia="方正书宋_GBK"/>
              </w:rPr>
              <w:t>。</w:t>
            </w:r>
          </w:p>
          <w:p>
            <w:pPr>
              <w:spacing w:line="300" w:lineRule="exact"/>
              <w:jc w:val="left"/>
            </w:pPr>
            <w:r>
              <w:rPr>
                <w:rFonts w:ascii="方正书宋_GBK" w:eastAsia="方正书宋_GBK"/>
              </w:rPr>
              <w:t>3.</w:t>
            </w:r>
            <w:r>
              <w:rPr>
                <w:rFonts w:hint="default" w:ascii="方正书宋_GBK" w:eastAsia="方正书宋_GBK"/>
                <w:lang w:val="en-US"/>
              </w:rPr>
              <w:t xml:space="preserve"> </w:t>
            </w:r>
            <w:r>
              <w:rPr>
                <w:rFonts w:hint="eastAsia" w:ascii="方正书宋_GBK" w:eastAsia="方正书宋_GBK"/>
              </w:rPr>
              <w:t>9月份支出2万，12月份前支出20.9万</w:t>
            </w:r>
            <w:r>
              <w:rPr>
                <w:rFonts w:ascii="方正书宋_GBK" w:eastAsia="方正书宋_GBK"/>
              </w:rPr>
              <w:t>。</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监督检查次数</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反映委托第三方开展监督检查、审计、资产评估次数情况</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≥3</w:t>
            </w:r>
            <w:r>
              <w:rPr>
                <w:rFonts w:hint="eastAsia" w:ascii="Calibri" w:hAnsi="Calibri" w:eastAsia="宋体" w:cs="Calibri"/>
                <w:i w:val="0"/>
                <w:iCs w:val="0"/>
                <w:color w:val="000000"/>
                <w:kern w:val="0"/>
                <w:sz w:val="22"/>
                <w:szCs w:val="22"/>
                <w:u w:val="none"/>
                <w:lang w:val="en-US" w:eastAsia="zh-CN" w:bidi="ar"/>
              </w:rPr>
              <w:t>次</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报告合格率</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反映第三方出具的监督检查、审计、资产评估等报告质量是否合格</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检查工作开展及时率</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反映第三方开展检查工作的及时程度</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成本指标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财政监督管理服务成本</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反映项目支出金额不高于预算金额</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≤22.90</w:t>
            </w:r>
            <w:r>
              <w:rPr>
                <w:rFonts w:hint="eastAsia" w:ascii="Calibri" w:hAnsi="Calibri" w:eastAsia="宋体" w:cs="Calibri"/>
                <w:i w:val="0"/>
                <w:iCs w:val="0"/>
                <w:color w:val="000000"/>
                <w:kern w:val="0"/>
                <w:sz w:val="22"/>
                <w:szCs w:val="22"/>
                <w:u w:val="none"/>
                <w:lang w:val="en-US" w:eastAsia="zh-CN" w:bidi="ar"/>
              </w:rPr>
              <w:t>万</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社会效益指标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问题整改率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反映通过监督检查、审计、资产评估等工作发现的问题整改情况</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≥90%</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spacing w:line="300" w:lineRule="exact"/>
              <w:jc w:val="left"/>
              <w:rPr>
                <w:rFonts w:ascii="方正书宋_GBK" w:eastAsia="方正书宋_GBK"/>
              </w:rPr>
            </w:pPr>
          </w:p>
        </w:tc>
        <w:tc>
          <w:tcPr>
            <w:tcW w:w="1332"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843" w:type="dxa"/>
            <w:vAlign w:val="center"/>
          </w:tcPr>
          <w:p>
            <w:pPr>
              <w:spacing w:line="300" w:lineRule="exact"/>
              <w:jc w:val="left"/>
              <w:rPr>
                <w:rFonts w:ascii="方正书宋_GBK" w:eastAsia="方正书宋_GBK"/>
              </w:rPr>
            </w:pPr>
          </w:p>
        </w:tc>
      </w:tr>
    </w:tbl>
    <w:p>
      <w:pPr>
        <w:jc w:val="both"/>
        <w:rPr>
          <w:rFonts w:ascii="方正仿宋_GBK" w:hAnsi="方正仿宋_GBK" w:eastAsia="方正仿宋_GBK" w:cs="方正仿宋_GBK"/>
          <w:color w:val="000000"/>
          <w:sz w:val="28"/>
        </w:rPr>
      </w:pPr>
    </w:p>
    <w:p>
      <w:pPr>
        <w:ind w:firstLine="280" w:firstLineChars="100"/>
        <w:jc w:val="both"/>
        <w:rPr>
          <w:rFonts w:ascii="方正仿宋_GBK" w:hAnsi="方正仿宋_GBK" w:eastAsia="方正仿宋_GBK" w:cs="方正仿宋_GBK"/>
          <w:color w:val="000000"/>
          <w:sz w:val="28"/>
        </w:rPr>
      </w:pPr>
    </w:p>
    <w:p>
      <w:pPr>
        <w:ind w:firstLine="280" w:firstLineChars="100"/>
        <w:jc w:val="both"/>
      </w:pPr>
      <w:r>
        <w:rPr>
          <w:rFonts w:hint="default" w:ascii="方正仿宋_GBK" w:hAnsi="方正仿宋_GBK" w:eastAsia="方正仿宋_GBK" w:cs="方正仿宋_GBK"/>
          <w:color w:val="000000"/>
          <w:sz w:val="28"/>
          <w:lang w:val="en-US"/>
        </w:rPr>
        <w:t>6</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财政网络和设备运行维护专项经费（运转保障）</w:t>
      </w:r>
      <w:r>
        <w:rPr>
          <w:rFonts w:ascii="方正仿宋_GBK" w:hAnsi="方正仿宋_GBK" w:eastAsia="方正仿宋_GBK" w:cs="方正仿宋_GBK"/>
          <w:color w:val="000000"/>
          <w:sz w:val="28"/>
        </w:rPr>
        <w:t>绩效目标表</w:t>
      </w:r>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rPr>
                <w:rFonts w:hint="default"/>
                <w:lang w:val="en-US"/>
              </w:rPr>
              <w:t>318</w:t>
            </w:r>
            <w:r>
              <w:t>001</w:t>
            </w:r>
            <w:r>
              <w:rPr>
                <w:rFonts w:hint="eastAsia"/>
                <w:lang w:val="en-US" w:eastAsia="zh-CN"/>
              </w:rPr>
              <w:t>保定市徐水区财政局本级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rPr>
                <w:rFonts w:hint="eastAsia"/>
              </w:rPr>
              <w:t>13062522P00456510164R</w:t>
            </w:r>
          </w:p>
        </w:tc>
        <w:tc>
          <w:tcPr>
            <w:tcW w:w="1587" w:type="dxa"/>
            <w:vAlign w:val="center"/>
          </w:tcPr>
          <w:p>
            <w:pPr>
              <w:pStyle w:val="16"/>
            </w:pPr>
            <w:r>
              <w:t>项目名称</w:t>
            </w:r>
          </w:p>
        </w:tc>
        <w:tc>
          <w:tcPr>
            <w:tcW w:w="4423" w:type="dxa"/>
            <w:gridSpan w:val="3"/>
            <w:vAlign w:val="center"/>
          </w:tcPr>
          <w:p>
            <w:pPr>
              <w:pStyle w:val="17"/>
            </w:pPr>
            <w:r>
              <w:rPr>
                <w:rFonts w:hint="eastAsia"/>
              </w:rPr>
              <w:t>财政网络和设备运行维护专项经费（运转保障）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rPr>
                <w:rFonts w:hint="default"/>
                <w:lang w:val="en-US"/>
              </w:rPr>
            </w:pPr>
            <w:r>
              <w:rPr>
                <w:rFonts w:hint="default"/>
                <w:lang w:val="en-US"/>
              </w:rPr>
              <w:t>48.11</w:t>
            </w:r>
          </w:p>
        </w:tc>
        <w:tc>
          <w:tcPr>
            <w:tcW w:w="1587" w:type="dxa"/>
            <w:vAlign w:val="center"/>
          </w:tcPr>
          <w:p>
            <w:pPr>
              <w:pStyle w:val="16"/>
            </w:pPr>
            <w:r>
              <w:t>其中：财政    资金</w:t>
            </w:r>
          </w:p>
        </w:tc>
        <w:tc>
          <w:tcPr>
            <w:tcW w:w="1304" w:type="dxa"/>
            <w:vAlign w:val="center"/>
          </w:tcPr>
          <w:p>
            <w:pPr>
              <w:pStyle w:val="17"/>
              <w:rPr>
                <w:rFonts w:hint="default"/>
                <w:lang w:val="en-US"/>
              </w:rPr>
            </w:pPr>
            <w:r>
              <w:t xml:space="preserve"> </w:t>
            </w:r>
            <w:r>
              <w:rPr>
                <w:rFonts w:hint="default"/>
                <w:lang w:val="en-US"/>
              </w:rPr>
              <w:t>48.11</w:t>
            </w:r>
          </w:p>
        </w:tc>
        <w:tc>
          <w:tcPr>
            <w:tcW w:w="1276" w:type="dxa"/>
            <w:vAlign w:val="center"/>
          </w:tcPr>
          <w:p>
            <w:pPr>
              <w:pStyle w:val="16"/>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该项目主要用于</w:t>
            </w:r>
            <w:bookmarkStart w:id="6" w:name="_GoBack"/>
            <w:bookmarkEnd w:id="6"/>
            <w:r>
              <w:rPr>
                <w:rFonts w:hint="eastAsia"/>
                <w:lang w:val="en-US" w:eastAsia="zh-CN"/>
              </w:rPr>
              <w:t>财政</w:t>
            </w:r>
            <w:r>
              <w:rPr>
                <w:rFonts w:hint="eastAsia"/>
              </w:rPr>
              <w:t>网络租赁、维护工作</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tbl>
            <w:tblPr>
              <w:tblStyle w:val="5"/>
              <w:tblW w:w="522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22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p>
              </w:tc>
            </w:tr>
          </w:tbl>
          <w:p>
            <w:pPr>
              <w:pStyle w:val="18"/>
            </w:pPr>
          </w:p>
        </w:tc>
        <w:tc>
          <w:tcPr>
            <w:tcW w:w="1587" w:type="dxa"/>
            <w:vAlign w:val="center"/>
          </w:tcPr>
          <w:p>
            <w:pPr>
              <w:keepNext w:val="0"/>
              <w:keepLines w:val="0"/>
              <w:widowControl/>
              <w:suppressLineNumbers w:val="0"/>
              <w:jc w:val="center"/>
              <w:textAlignment w:val="center"/>
              <w:rPr>
                <w:rFonts w:ascii="Calibri" w:hAnsi="Calibri" w:eastAsia="宋体" w:cs="Calibri"/>
                <w:i w:val="0"/>
                <w:iCs w:val="0"/>
                <w:color w:val="000000"/>
                <w:kern w:val="2"/>
                <w:sz w:val="22"/>
                <w:szCs w:val="22"/>
                <w:u w:val="none"/>
                <w:lang w:val="en-US" w:eastAsia="zh-CN" w:bidi="ar-SA"/>
              </w:rPr>
            </w:pPr>
          </w:p>
        </w:tc>
        <w:tc>
          <w:tcPr>
            <w:tcW w:w="1304" w:type="dxa"/>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2"/>
                <w:sz w:val="22"/>
                <w:szCs w:val="22"/>
                <w:u w:val="none"/>
                <w:lang w:val="en-US" w:eastAsia="zh-CN" w:bidi="ar-SA"/>
              </w:rPr>
              <w:t>100%</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通过对财政内网和财政专网的运行维护管理，推进区乡两级财政网络的总体规划和组织实施为财政业务运行提供安全稳定的网络环境支撑。</w:t>
            </w:r>
          </w:p>
          <w:p>
            <w:pPr>
              <w:spacing w:line="300" w:lineRule="exact"/>
              <w:jc w:val="left"/>
              <w:rPr>
                <w:rFonts w:ascii="方正书宋_GBK" w:eastAsia="方正书宋_GBK"/>
              </w:rPr>
            </w:pPr>
            <w:r>
              <w:rPr>
                <w:rFonts w:ascii="方正书宋_GBK" w:eastAsia="方正书宋_GBK"/>
              </w:rPr>
              <w:t xml:space="preserve">2. </w:t>
            </w:r>
            <w:r>
              <w:rPr>
                <w:rFonts w:hint="eastAsia" w:ascii="方正书宋_GBK" w:eastAsia="方正书宋_GBK"/>
              </w:rPr>
              <w:t>完成网络租赁、维护工作</w:t>
            </w:r>
            <w:r>
              <w:rPr>
                <w:rFonts w:ascii="方正书宋_GBK" w:eastAsia="方正书宋_GBK"/>
              </w:rPr>
              <w:t>。</w:t>
            </w:r>
          </w:p>
          <w:p>
            <w:pPr>
              <w:spacing w:line="300" w:lineRule="exact"/>
              <w:jc w:val="left"/>
            </w:pPr>
            <w:r>
              <w:rPr>
                <w:rFonts w:ascii="方正书宋_GBK" w:eastAsia="方正书宋_GBK"/>
              </w:rPr>
              <w:t>3.</w:t>
            </w:r>
            <w:r>
              <w:rPr>
                <w:rFonts w:hint="default" w:ascii="方正书宋_GBK" w:eastAsia="方正书宋_GBK"/>
                <w:lang w:val="en-US"/>
              </w:rPr>
              <w:t xml:space="preserve"> </w:t>
            </w:r>
            <w:r>
              <w:rPr>
                <w:rFonts w:hint="eastAsia" w:ascii="方正书宋_GBK" w:eastAsia="方正书宋_GBK"/>
              </w:rPr>
              <w:t>按合同约定支付，10月份完成支付</w:t>
            </w:r>
            <w:r>
              <w:rPr>
                <w:rFonts w:ascii="方正书宋_GBK" w:eastAsia="方正书宋_GBK"/>
              </w:rPr>
              <w:t>。</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网络租赁数</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反映网络租赁数量情况</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≥3</w:t>
            </w:r>
            <w:r>
              <w:rPr>
                <w:rFonts w:hint="eastAsia" w:ascii="Calibri" w:hAnsi="Calibri" w:eastAsia="宋体" w:cs="Calibri"/>
                <w:i w:val="0"/>
                <w:iCs w:val="0"/>
                <w:color w:val="000000"/>
                <w:kern w:val="0"/>
                <w:sz w:val="22"/>
                <w:szCs w:val="22"/>
                <w:u w:val="none"/>
                <w:lang w:val="en-US" w:eastAsia="zh-CN" w:bidi="ar"/>
              </w:rPr>
              <w:t>条</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系统维护工作完成率</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反映财政网络维护工作完成情况</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网络信号覆盖率</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反映网络信号对单位的覆盖情况</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系统正常运转率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反映财政网络正常运转情况</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网络租赁及时率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反映网络租赁的及时程度</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系统维护及时率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反映财政网络系统维护的及时程度</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成本指标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财政网络和设备运行维护成本</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项目支出金额不高于预算金额</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≤48.11</w:t>
            </w:r>
            <w:r>
              <w:rPr>
                <w:rFonts w:hint="eastAsia" w:ascii="Calibri" w:hAnsi="Calibri" w:eastAsia="宋体" w:cs="Calibri"/>
                <w:i w:val="0"/>
                <w:iCs w:val="0"/>
                <w:color w:val="000000"/>
                <w:kern w:val="0"/>
                <w:sz w:val="22"/>
                <w:szCs w:val="22"/>
                <w:u w:val="none"/>
                <w:lang w:val="en-US" w:eastAsia="zh-CN" w:bidi="ar"/>
              </w:rPr>
              <w:t>万</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社会效益指标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网络安全稳定性提高</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反映租赁及维护对整体网络安全稳定性的提高程度</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发生网络瘫痪次数为0</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网络使用人员满意度</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反映网络使用人员对网络安全稳定的满意程度</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≥85%</w:t>
            </w:r>
          </w:p>
        </w:tc>
        <w:tc>
          <w:tcPr>
            <w:tcW w:w="1843"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计划要求</w:t>
            </w:r>
          </w:p>
        </w:tc>
      </w:tr>
    </w:tbl>
    <w:p>
      <w:pPr>
        <w:ind w:firstLine="280" w:firstLineChars="100"/>
        <w:jc w:val="both"/>
        <w:rPr>
          <w:rFonts w:ascii="方正仿宋_GBK" w:hAnsi="方正仿宋_GBK" w:eastAsia="方正仿宋_GBK" w:cs="方正仿宋_GBK"/>
          <w:color w:val="000000"/>
          <w:sz w:val="28"/>
        </w:rPr>
      </w:pPr>
    </w:p>
    <w:p>
      <w:pPr>
        <w:ind w:firstLine="280" w:firstLineChars="100"/>
        <w:jc w:val="both"/>
        <w:rPr>
          <w:rFonts w:ascii="方正仿宋_GBK" w:hAnsi="方正仿宋_GBK" w:eastAsia="方正仿宋_GBK" w:cs="方正仿宋_GBK"/>
          <w:color w:val="000000"/>
          <w:sz w:val="28"/>
        </w:rPr>
      </w:pPr>
    </w:p>
    <w:p>
      <w:pPr>
        <w:ind w:firstLine="280" w:firstLineChars="100"/>
        <w:jc w:val="both"/>
        <w:rPr>
          <w:rFonts w:ascii="方正仿宋_GBK" w:hAnsi="方正仿宋_GBK" w:eastAsia="方正仿宋_GBK" w:cs="方正仿宋_GBK"/>
          <w:color w:val="000000"/>
          <w:sz w:val="28"/>
        </w:rPr>
      </w:pPr>
    </w:p>
    <w:p>
      <w:pPr>
        <w:ind w:firstLine="280" w:firstLineChars="100"/>
        <w:jc w:val="both"/>
      </w:pPr>
      <w:r>
        <w:rPr>
          <w:rFonts w:hint="default" w:ascii="方正仿宋_GBK" w:hAnsi="方正仿宋_GBK" w:eastAsia="方正仿宋_GBK" w:cs="方正仿宋_GBK"/>
          <w:color w:val="000000"/>
          <w:sz w:val="28"/>
          <w:lang w:val="en-US"/>
        </w:rPr>
        <w:t>7</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2020年落实财政政策措施真抓实干成效明显地方督查激励奖励资金</w:t>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rPr>
                <w:rFonts w:hint="default"/>
                <w:lang w:val="en-US"/>
              </w:rPr>
              <w:t>318</w:t>
            </w:r>
            <w:r>
              <w:t>001</w:t>
            </w:r>
            <w:r>
              <w:rPr>
                <w:rFonts w:hint="eastAsia"/>
                <w:lang w:val="en-US" w:eastAsia="zh-CN"/>
              </w:rPr>
              <w:t>保定市徐水区财政局本级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rPr>
                <w:rFonts w:hint="eastAsia"/>
              </w:rPr>
              <w:t>13062521P004561100044</w:t>
            </w:r>
          </w:p>
        </w:tc>
        <w:tc>
          <w:tcPr>
            <w:tcW w:w="1587" w:type="dxa"/>
            <w:vAlign w:val="center"/>
          </w:tcPr>
          <w:p>
            <w:pPr>
              <w:pStyle w:val="16"/>
            </w:pPr>
            <w:r>
              <w:t>项目名称</w:t>
            </w:r>
          </w:p>
        </w:tc>
        <w:tc>
          <w:tcPr>
            <w:tcW w:w="4422" w:type="dxa"/>
            <w:gridSpan w:val="3"/>
            <w:vAlign w:val="center"/>
          </w:tcPr>
          <w:p>
            <w:pPr>
              <w:pStyle w:val="17"/>
            </w:pPr>
            <w:r>
              <w:rPr>
                <w:rFonts w:hint="eastAsia"/>
              </w:rPr>
              <w:t>2020年落实财政政策措施真抓实干成效明显地方督查激励奖励资金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rPr>
                <w:rFonts w:hint="default"/>
                <w:lang w:val="en-US"/>
              </w:rPr>
            </w:pPr>
            <w:r>
              <w:rPr>
                <w:rFonts w:hint="default"/>
                <w:lang w:val="en-US"/>
              </w:rPr>
              <w:t>200.00</w:t>
            </w:r>
          </w:p>
        </w:tc>
        <w:tc>
          <w:tcPr>
            <w:tcW w:w="1587" w:type="dxa"/>
            <w:vAlign w:val="center"/>
          </w:tcPr>
          <w:p>
            <w:pPr>
              <w:pStyle w:val="16"/>
            </w:pPr>
            <w:r>
              <w:t>其中：财政    资金</w:t>
            </w:r>
          </w:p>
        </w:tc>
        <w:tc>
          <w:tcPr>
            <w:tcW w:w="1304" w:type="dxa"/>
            <w:vAlign w:val="center"/>
          </w:tcPr>
          <w:p>
            <w:pPr>
              <w:pStyle w:val="17"/>
              <w:rPr>
                <w:rFonts w:hint="default"/>
                <w:lang w:val="en-US"/>
              </w:rPr>
            </w:pPr>
            <w:r>
              <w:rPr>
                <w:rFonts w:hint="default"/>
                <w:lang w:val="en-US"/>
              </w:rPr>
              <w:t>200.00</w:t>
            </w:r>
          </w:p>
        </w:tc>
        <w:tc>
          <w:tcPr>
            <w:tcW w:w="1276" w:type="dxa"/>
            <w:vAlign w:val="center"/>
          </w:tcPr>
          <w:p>
            <w:pPr>
              <w:pStyle w:val="16"/>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该项目</w:t>
            </w:r>
            <w:r>
              <w:rPr>
                <w:rFonts w:hint="eastAsia"/>
                <w:lang w:val="en-US" w:eastAsia="zh-CN"/>
              </w:rPr>
              <w:t>用于</w:t>
            </w:r>
            <w:r>
              <w:rPr>
                <w:rFonts w:hint="eastAsia"/>
              </w:rPr>
              <w:t>加强财政管理过程中的各项支出，包括标准档案室建设、信息化建设以及财政管理中的其他支出。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p>
        </w:tc>
        <w:tc>
          <w:tcPr>
            <w:tcW w:w="1587" w:type="dxa"/>
            <w:vAlign w:val="center"/>
          </w:tcPr>
          <w:p>
            <w:pPr>
              <w:pStyle w:val="18"/>
              <w:rPr>
                <w:rFonts w:hint="default"/>
                <w:lang w:val="en-US"/>
              </w:rPr>
            </w:pPr>
            <w:r>
              <w:rPr>
                <w:rFonts w:hint="default"/>
                <w:lang w:val="en-US"/>
              </w:rPr>
              <w:t>20%</w:t>
            </w:r>
          </w:p>
        </w:tc>
        <w:tc>
          <w:tcPr>
            <w:tcW w:w="1304" w:type="dxa"/>
            <w:vAlign w:val="center"/>
          </w:tcPr>
          <w:p>
            <w:pPr>
              <w:pStyle w:val="18"/>
              <w:rPr>
                <w:rFonts w:hint="default"/>
                <w:lang w:val="en-US"/>
              </w:rPr>
            </w:pPr>
            <w:r>
              <w:rPr>
                <w:rFonts w:hint="default"/>
                <w:lang w:val="en-US"/>
              </w:rPr>
              <w:t>30%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贯彻落实积极财政政策的各项具体措施，不断提高财政资金使用效益。</w:t>
            </w:r>
          </w:p>
          <w:p>
            <w:pPr>
              <w:spacing w:line="300" w:lineRule="exact"/>
              <w:jc w:val="left"/>
              <w:rPr>
                <w:rFonts w:ascii="方正书宋_GBK" w:eastAsia="方正书宋_GBK"/>
              </w:rPr>
            </w:pPr>
            <w:r>
              <w:rPr>
                <w:rFonts w:ascii="方正书宋_GBK" w:eastAsia="方正书宋_GBK"/>
              </w:rPr>
              <w:t xml:space="preserve">2. </w:t>
            </w:r>
            <w:r>
              <w:rPr>
                <w:rFonts w:hint="eastAsia" w:ascii="方正书宋_GBK" w:eastAsia="方正书宋_GBK"/>
              </w:rPr>
              <w:t>认真完成财政各项工作</w:t>
            </w:r>
            <w:r>
              <w:rPr>
                <w:rFonts w:ascii="方正书宋_GBK" w:eastAsia="方正书宋_GBK"/>
              </w:rPr>
              <w:t>。</w:t>
            </w:r>
          </w:p>
          <w:p>
            <w:pPr>
              <w:spacing w:line="300" w:lineRule="exact"/>
              <w:jc w:val="left"/>
            </w:pPr>
            <w:r>
              <w:rPr>
                <w:rFonts w:ascii="方正书宋_GBK" w:eastAsia="方正书宋_GBK"/>
              </w:rPr>
              <w:t>3.</w:t>
            </w:r>
            <w:r>
              <w:rPr>
                <w:rFonts w:hint="default" w:ascii="方正书宋_GBK" w:eastAsia="方正书宋_GBK"/>
                <w:lang w:val="en-US"/>
              </w:rPr>
              <w:t xml:space="preserve"> </w:t>
            </w:r>
            <w:r>
              <w:rPr>
                <w:rFonts w:hint="eastAsia" w:ascii="方正书宋_GBK" w:eastAsia="方正书宋_GBK"/>
                <w:lang w:val="en-US" w:eastAsia="zh-CN"/>
              </w:rPr>
              <w:t>该项目</w:t>
            </w:r>
            <w:r>
              <w:rPr>
                <w:rFonts w:hint="eastAsia" w:ascii="方正书宋_GBK" w:eastAsia="方正书宋_GBK"/>
              </w:rPr>
              <w:t>预计2021年11月支付完毕</w:t>
            </w:r>
            <w:r>
              <w:rPr>
                <w:rFonts w:ascii="方正书宋_GBK" w:eastAsia="方正书宋_GBK"/>
              </w:rPr>
              <w:t>。</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成本指标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项目预算控制数</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不高于预算金额</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≤200</w:t>
            </w:r>
            <w:r>
              <w:rPr>
                <w:rFonts w:hint="eastAsia" w:ascii="Calibri" w:hAnsi="Calibri" w:eastAsia="宋体" w:cs="Calibri"/>
                <w:i w:val="0"/>
                <w:iCs w:val="0"/>
                <w:color w:val="000000"/>
                <w:kern w:val="0"/>
                <w:sz w:val="22"/>
                <w:szCs w:val="22"/>
                <w:u w:val="none"/>
                <w:lang w:val="en-US" w:eastAsia="zh-CN" w:bidi="ar"/>
              </w:rPr>
              <w:t>万</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标准化档案室建设数量</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反映标准化档案室建设的数量情况</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套</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标准化档案室建设及时率</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反映标准化档案室建设及时程度</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≥95%</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设备验收合格率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反映档案室等设备验收合格情况</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社会效益指标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档案管理效率提高</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档案保管安全、规范、完整，查阅更加便捷</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通过调查问卷，认为档案管理更加规范、便捷的人员比例为80%</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spacing w:line="300" w:lineRule="exact"/>
              <w:jc w:val="left"/>
              <w:rPr>
                <w:rFonts w:ascii="方正书宋_GBK" w:eastAsia="方正书宋_GBK"/>
              </w:rPr>
            </w:pPr>
          </w:p>
        </w:tc>
        <w:tc>
          <w:tcPr>
            <w:tcW w:w="1332"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843" w:type="dxa"/>
            <w:vAlign w:val="center"/>
          </w:tcPr>
          <w:p>
            <w:pPr>
              <w:spacing w:line="300" w:lineRule="exact"/>
              <w:jc w:val="left"/>
              <w:rPr>
                <w:rFonts w:ascii="方正书宋_GBK" w:eastAsia="方正书宋_GBK"/>
              </w:rPr>
            </w:pPr>
          </w:p>
        </w:tc>
      </w:tr>
    </w:tbl>
    <w:p>
      <w:pPr>
        <w:ind w:firstLine="280" w:firstLineChars="100"/>
        <w:jc w:val="both"/>
        <w:rPr>
          <w:rFonts w:ascii="方正仿宋_GBK" w:hAnsi="方正仿宋_GBK" w:eastAsia="方正仿宋_GBK" w:cs="方正仿宋_GBK"/>
          <w:color w:val="000000"/>
          <w:sz w:val="28"/>
        </w:rPr>
      </w:pPr>
    </w:p>
    <w:p>
      <w:pPr>
        <w:ind w:firstLine="280" w:firstLineChars="100"/>
        <w:jc w:val="both"/>
      </w:pPr>
      <w:r>
        <w:rPr>
          <w:rFonts w:hint="default" w:ascii="方正仿宋_GBK" w:hAnsi="方正仿宋_GBK" w:eastAsia="方正仿宋_GBK" w:cs="方正仿宋_GBK"/>
          <w:color w:val="000000"/>
          <w:sz w:val="28"/>
          <w:lang w:val="en-US"/>
        </w:rPr>
        <w:t>8</w:t>
      </w:r>
      <w:r>
        <w:rPr>
          <w:rFonts w:ascii="方正仿宋_GBK" w:hAnsi="方正仿宋_GBK" w:eastAsia="方正仿宋_GBK" w:cs="方正仿宋_GBK"/>
          <w:color w:val="000000"/>
          <w:sz w:val="28"/>
        </w:rPr>
        <w:t>.其他</w:t>
      </w:r>
      <w:r>
        <w:rPr>
          <w:rFonts w:hint="eastAsia" w:ascii="方正仿宋_GBK" w:hAnsi="方正仿宋_GBK" w:eastAsia="方正仿宋_GBK" w:cs="方正仿宋_GBK"/>
          <w:color w:val="000000"/>
          <w:sz w:val="28"/>
          <w:lang w:val="en-US" w:eastAsia="zh-CN"/>
        </w:rPr>
        <w:t>收入</w:t>
      </w:r>
      <w:r>
        <w:rPr>
          <w:rFonts w:ascii="方正仿宋_GBK" w:hAnsi="方正仿宋_GBK" w:eastAsia="方正仿宋_GBK" w:cs="方正仿宋_GBK"/>
          <w:color w:val="000000"/>
          <w:sz w:val="28"/>
        </w:rPr>
        <w:t>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rPr>
                <w:rFonts w:hint="default"/>
                <w:lang w:val="en-US"/>
              </w:rPr>
              <w:t>318</w:t>
            </w:r>
            <w:r>
              <w:t>001</w:t>
            </w:r>
            <w:r>
              <w:rPr>
                <w:rFonts w:hint="eastAsia"/>
                <w:lang w:val="en-US" w:eastAsia="zh-CN"/>
              </w:rPr>
              <w:t>保定市徐水区财政局本级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rPr>
                <w:rFonts w:hint="eastAsia"/>
              </w:rPr>
              <w:t>13062522P004598100718</w:t>
            </w:r>
          </w:p>
        </w:tc>
        <w:tc>
          <w:tcPr>
            <w:tcW w:w="1587" w:type="dxa"/>
            <w:vAlign w:val="center"/>
          </w:tcPr>
          <w:p>
            <w:pPr>
              <w:pStyle w:val="16"/>
            </w:pPr>
            <w:r>
              <w:t>项目名称</w:t>
            </w:r>
          </w:p>
        </w:tc>
        <w:tc>
          <w:tcPr>
            <w:tcW w:w="4422" w:type="dxa"/>
            <w:gridSpan w:val="3"/>
            <w:vAlign w:val="center"/>
          </w:tcPr>
          <w:p>
            <w:pPr>
              <w:pStyle w:val="17"/>
              <w:rPr>
                <w:rFonts w:hint="default" w:eastAsia="方正书宋_GBK"/>
                <w:lang w:val="en-US" w:eastAsia="zh-CN"/>
              </w:rPr>
            </w:pPr>
            <w:r>
              <w:t>其他</w:t>
            </w:r>
            <w:r>
              <w:rPr>
                <w:rFonts w:hint="eastAsia"/>
                <w:lang w:val="en-US" w:eastAsia="zh-CN"/>
              </w:rPr>
              <w:t>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0.10</w:t>
            </w:r>
          </w:p>
        </w:tc>
        <w:tc>
          <w:tcPr>
            <w:tcW w:w="1587" w:type="dxa"/>
            <w:vAlign w:val="center"/>
          </w:tcPr>
          <w:p>
            <w:pPr>
              <w:pStyle w:val="16"/>
            </w:pPr>
            <w:r>
              <w:t>其中：财政    资金</w:t>
            </w:r>
          </w:p>
        </w:tc>
        <w:tc>
          <w:tcPr>
            <w:tcW w:w="1304" w:type="dxa"/>
            <w:vAlign w:val="center"/>
          </w:tcPr>
          <w:p>
            <w:pPr>
              <w:pStyle w:val="17"/>
            </w:pPr>
            <w:r>
              <w:t xml:space="preserve"> </w:t>
            </w:r>
          </w:p>
        </w:tc>
        <w:tc>
          <w:tcPr>
            <w:tcW w:w="1276" w:type="dxa"/>
            <w:vAlign w:val="center"/>
          </w:tcPr>
          <w:p>
            <w:pPr>
              <w:pStyle w:val="16"/>
            </w:pPr>
            <w:r>
              <w:t>其他资金</w:t>
            </w:r>
          </w:p>
        </w:tc>
        <w:tc>
          <w:tcPr>
            <w:tcW w:w="1843" w:type="dxa"/>
            <w:vAlign w:val="center"/>
          </w:tcPr>
          <w:p>
            <w:pPr>
              <w:pStyle w:val="17"/>
            </w:pPr>
            <w:r>
              <w:t>0.10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该项目主要用于日常办公经费支出。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p>
        </w:tc>
        <w:tc>
          <w:tcPr>
            <w:tcW w:w="1587" w:type="dxa"/>
            <w:vAlign w:val="center"/>
          </w:tcPr>
          <w:p>
            <w:pPr>
              <w:pStyle w:val="18"/>
            </w:pPr>
          </w:p>
        </w:tc>
        <w:tc>
          <w:tcPr>
            <w:tcW w:w="1304" w:type="dxa"/>
            <w:vAlign w:val="center"/>
          </w:tcPr>
          <w:p>
            <w:pPr>
              <w:pStyle w:val="18"/>
            </w:pP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合理利用单位其他收入（利息收入）</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 xml:space="preserve">2.  </w:t>
            </w:r>
            <w:r>
              <w:rPr>
                <w:rFonts w:hint="eastAsia" w:ascii="方正书宋_GBK" w:eastAsia="方正书宋_GBK"/>
              </w:rPr>
              <w:t>正确使用单位其他收入（利息收入）</w:t>
            </w:r>
            <w:r>
              <w:rPr>
                <w:rFonts w:ascii="方正书宋_GBK" w:eastAsia="方正书宋_GBK"/>
              </w:rPr>
              <w:t>。</w:t>
            </w:r>
          </w:p>
          <w:p>
            <w:pPr>
              <w:spacing w:line="300" w:lineRule="exact"/>
              <w:jc w:val="left"/>
            </w:pPr>
            <w:r>
              <w:rPr>
                <w:rFonts w:ascii="方正书宋_GBK" w:eastAsia="方正书宋_GBK"/>
              </w:rPr>
              <w:t>3.</w:t>
            </w:r>
            <w:r>
              <w:rPr>
                <w:rFonts w:hint="eastAsia" w:ascii="方正书宋_GBK" w:eastAsia="方正书宋_GBK"/>
              </w:rPr>
              <w:t>预计2022年12月底支出完成</w:t>
            </w:r>
            <w:r>
              <w:rPr>
                <w:rFonts w:ascii="方正书宋_GBK" w:eastAsia="方正书宋_GBK"/>
              </w:rPr>
              <w:t>。</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收到其他收入的次数</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全年利息收入的次数</w:t>
            </w:r>
          </w:p>
        </w:tc>
        <w:tc>
          <w:tcPr>
            <w:tcW w:w="1276" w:type="dxa"/>
            <w:vAlign w:val="top"/>
          </w:tcPr>
          <w:p>
            <w:pPr>
              <w:keepNext w:val="0"/>
              <w:keepLines w:val="0"/>
              <w:widowControl/>
              <w:suppressLineNumbers w:val="0"/>
              <w:jc w:val="left"/>
              <w:textAlignment w:val="top"/>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=4</w:t>
            </w:r>
            <w:r>
              <w:rPr>
                <w:rFonts w:hint="eastAsia" w:ascii="Calibri" w:hAnsi="Calibri" w:eastAsia="宋体" w:cs="Calibri"/>
                <w:i w:val="0"/>
                <w:iCs w:val="0"/>
                <w:color w:val="000000"/>
                <w:kern w:val="0"/>
                <w:sz w:val="22"/>
                <w:szCs w:val="22"/>
                <w:u w:val="none"/>
                <w:lang w:val="en-US" w:eastAsia="zh-CN" w:bidi="ar"/>
              </w:rPr>
              <w:t>次</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质量指标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利息收入合法合规性</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利息收入合法合规性</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时效指标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利息收入及时性</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利息收入及时性</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成本指标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项目资金支出控制数</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项目资金是否在预算控制数内</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0.1</w:t>
            </w:r>
            <w:r>
              <w:rPr>
                <w:rFonts w:hint="eastAsia" w:ascii="宋体" w:hAnsi="宋体" w:eastAsia="宋体" w:cs="宋体"/>
                <w:i w:val="0"/>
                <w:iCs w:val="0"/>
                <w:color w:val="000000"/>
                <w:kern w:val="0"/>
                <w:sz w:val="22"/>
                <w:szCs w:val="22"/>
                <w:u w:val="none"/>
                <w:lang w:val="en-US" w:eastAsia="zh-CN" w:bidi="ar"/>
              </w:rPr>
              <w:t>万元</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经济效益指标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缓解单位日常经费紧张的比率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缓解单位日常经费紧张的比率</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1%</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spacing w:line="300" w:lineRule="exact"/>
              <w:jc w:val="left"/>
              <w:rPr>
                <w:rFonts w:ascii="方正书宋_GBK" w:eastAsia="方正书宋_GBK"/>
              </w:rPr>
            </w:pPr>
          </w:p>
        </w:tc>
        <w:tc>
          <w:tcPr>
            <w:tcW w:w="1332"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843" w:type="dxa"/>
            <w:vAlign w:val="center"/>
          </w:tcPr>
          <w:p>
            <w:pPr>
              <w:spacing w:line="300" w:lineRule="exact"/>
              <w:jc w:val="left"/>
              <w:rPr>
                <w:rFonts w:ascii="方正书宋_GBK" w:eastAsia="方正书宋_GBK"/>
              </w:rPr>
            </w:pPr>
          </w:p>
        </w:tc>
      </w:tr>
    </w:tbl>
    <w:p>
      <w:pPr>
        <w:jc w:val="center"/>
        <w:outlineLvl w:val="0"/>
        <w:rPr>
          <w:rFonts w:ascii="方正书宋_GBK" w:eastAsia="方正书宋_GBK"/>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年，我部门无政府采购预算，空表列示。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附部门政府采购预算表空表。</w:t>
      </w:r>
    </w:p>
    <w:tbl>
      <w:tblPr>
        <w:tblStyle w:val="5"/>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04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部门政府采购预算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4"/>
                <w:szCs w:val="24"/>
                <w:u w:val="none"/>
              </w:rPr>
            </w:pPr>
            <w:r>
              <w:rPr>
                <w:rStyle w:val="10"/>
                <w:rFonts w:hint="eastAsia" w:eastAsia="等线"/>
                <w:lang w:val="en-US" w:eastAsia="zh-CN" w:bidi="ar"/>
              </w:rPr>
              <w:t>保定市徐水区财政</w:t>
            </w:r>
            <w:r>
              <w:rPr>
                <w:rStyle w:val="11"/>
                <w:lang w:val="en-US" w:eastAsia="zh-CN" w:bidi="ar"/>
              </w:rPr>
              <w:t>局</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政府采购项目来源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采购物品名称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政府采购目录序号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计量  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单价</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政府采购金额（当年部门预算安排资金）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预算资金</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财政专户核拨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  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r>
    </w:tbl>
    <w:p>
      <w:pPr>
        <w:spacing w:line="360" w:lineRule="auto"/>
        <w:ind w:firstLine="640" w:firstLineChars="200"/>
        <w:rPr>
          <w:rFonts w:hint="eastAsia" w:ascii="仿宋" w:hAnsi="仿宋" w:eastAsia="仿宋"/>
          <w:sz w:val="32"/>
          <w:szCs w:val="32"/>
        </w:rPr>
      </w:pPr>
    </w:p>
    <w:p>
      <w:pPr>
        <w:spacing w:line="360" w:lineRule="auto"/>
        <w:rPr>
          <w:rFonts w:hint="eastAsia"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hint="default" w:ascii="仿宋" w:hAnsi="仿宋" w:eastAsia="仿宋"/>
          <w:sz w:val="32"/>
          <w:szCs w:val="32"/>
          <w:lang w:val="en-US"/>
        </w:rPr>
        <w:t>1595.55</w:t>
      </w:r>
      <w:r>
        <w:rPr>
          <w:rFonts w:hint="eastAsia" w:ascii="仿宋" w:hAnsi="仿宋" w:eastAsia="仿宋"/>
          <w:sz w:val="32"/>
          <w:szCs w:val="32"/>
        </w:rPr>
        <w:t>万元（详见下表）。</w:t>
      </w:r>
      <w:r>
        <w:rPr>
          <w:rFonts w:ascii="仿宋" w:hAnsi="仿宋" w:eastAsia="仿宋"/>
          <w:sz w:val="32"/>
          <w:szCs w:val="32"/>
        </w:rPr>
        <w:t xml:space="preserve"> 本年度拟购置固定资产总额为</w:t>
      </w:r>
      <w:r>
        <w:rPr>
          <w:rFonts w:hint="default" w:ascii="仿宋" w:hAnsi="仿宋" w:eastAsia="仿宋"/>
          <w:sz w:val="32"/>
          <w:szCs w:val="32"/>
          <w:lang w:val="en-US"/>
        </w:rPr>
        <w:t>100.30</w:t>
      </w:r>
      <w:r>
        <w:rPr>
          <w:rFonts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未</w:t>
      </w:r>
      <w:r>
        <w:rPr>
          <w:rFonts w:ascii="仿宋" w:hAnsi="仿宋" w:eastAsia="仿宋"/>
          <w:sz w:val="32"/>
          <w:szCs w:val="32"/>
        </w:rPr>
        <w:t>列入政府采购预算</w:t>
      </w:r>
      <w:r>
        <w:rPr>
          <w:rFonts w:hint="eastAsia" w:ascii="仿宋" w:hAnsi="仿宋" w:eastAsia="仿宋"/>
          <w:sz w:val="32"/>
          <w:szCs w:val="32"/>
          <w:lang w:eastAsia="zh-CN"/>
        </w:rPr>
        <w:t>（</w:t>
      </w:r>
      <w:r>
        <w:rPr>
          <w:rFonts w:hint="eastAsia" w:ascii="仿宋" w:hAnsi="仿宋" w:eastAsia="仿宋"/>
          <w:sz w:val="32"/>
          <w:szCs w:val="32"/>
          <w:lang w:val="en-US" w:eastAsia="zh-CN"/>
        </w:rPr>
        <w:t>因项目不同批次不同）</w:t>
      </w:r>
      <w:r>
        <w:rPr>
          <w:rFonts w:ascii="仿宋" w:hAnsi="仿宋" w:eastAsia="仿宋"/>
          <w:sz w:val="32"/>
          <w:szCs w:val="32"/>
        </w:rPr>
        <w:t>。</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auto"/>
                <w:kern w:val="0"/>
                <w:sz w:val="28"/>
                <w:szCs w:val="28"/>
              </w:rPr>
              <w:t>202</w:t>
            </w:r>
            <w:r>
              <w:rPr>
                <w:rFonts w:hint="default" w:ascii="仿宋_GB2312" w:hAnsi="仿宋" w:eastAsia="仿宋_GB2312" w:cs="宋体"/>
                <w:bCs/>
                <w:color w:val="auto"/>
                <w:kern w:val="0"/>
                <w:sz w:val="28"/>
                <w:szCs w:val="28"/>
                <w:lang w:val="en-US"/>
              </w:rPr>
              <w:t>1</w:t>
            </w:r>
            <w:r>
              <w:rPr>
                <w:rFonts w:hint="eastAsia" w:ascii="仿宋_GB2312" w:hAnsi="仿宋" w:eastAsia="仿宋_GB2312" w:cs="宋体"/>
                <w:bCs/>
                <w:color w:val="auto"/>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1595.55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4500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711.45</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4500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711.45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16.78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62.97</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62.97</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804.35</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9B543"/>
    <w:multiLevelType w:val="singleLevel"/>
    <w:tmpl w:val="F319B5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31DEC"/>
    <w:rsid w:val="00136AB3"/>
    <w:rsid w:val="00141915"/>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1025FD8"/>
    <w:rsid w:val="07C9420A"/>
    <w:rsid w:val="0A214432"/>
    <w:rsid w:val="108F441F"/>
    <w:rsid w:val="18EE06B5"/>
    <w:rsid w:val="1A5032C3"/>
    <w:rsid w:val="1B161FC1"/>
    <w:rsid w:val="206E7A18"/>
    <w:rsid w:val="214116C2"/>
    <w:rsid w:val="23212DB7"/>
    <w:rsid w:val="24573C8E"/>
    <w:rsid w:val="27733670"/>
    <w:rsid w:val="2B5E3ACC"/>
    <w:rsid w:val="2CE14ABC"/>
    <w:rsid w:val="2DD14672"/>
    <w:rsid w:val="334D3D87"/>
    <w:rsid w:val="3AD5696C"/>
    <w:rsid w:val="3AF7338B"/>
    <w:rsid w:val="3BC67115"/>
    <w:rsid w:val="44B927D1"/>
    <w:rsid w:val="45321EB6"/>
    <w:rsid w:val="486245F4"/>
    <w:rsid w:val="493335E4"/>
    <w:rsid w:val="4C1F0293"/>
    <w:rsid w:val="50A125ED"/>
    <w:rsid w:val="55B87191"/>
    <w:rsid w:val="639C68DF"/>
    <w:rsid w:val="66645E06"/>
    <w:rsid w:val="66EF20D5"/>
    <w:rsid w:val="685E188D"/>
    <w:rsid w:val="75E17C96"/>
    <w:rsid w:val="75F2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character" w:customStyle="1" w:styleId="10">
    <w:name w:val="font01"/>
    <w:basedOn w:val="6"/>
    <w:qFormat/>
    <w:uiPriority w:val="0"/>
    <w:rPr>
      <w:rFonts w:hint="default" w:ascii="Times New Roman" w:hAnsi="Times New Roman" w:cs="Times New Roman"/>
      <w:color w:val="000000"/>
      <w:sz w:val="24"/>
      <w:szCs w:val="24"/>
      <w:u w:val="none"/>
    </w:rPr>
  </w:style>
  <w:style w:type="character" w:customStyle="1" w:styleId="11">
    <w:name w:val="font31"/>
    <w:basedOn w:val="6"/>
    <w:qFormat/>
    <w:uiPriority w:val="0"/>
    <w:rPr>
      <w:rFonts w:hint="eastAsia" w:ascii="宋体" w:hAnsi="宋体" w:eastAsia="宋体" w:cs="宋体"/>
      <w:color w:val="000000"/>
      <w:sz w:val="24"/>
      <w:szCs w:val="24"/>
      <w:u w:val="none"/>
    </w:rPr>
  </w:style>
  <w:style w:type="paragraph" w:customStyle="1" w:styleId="12">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 w:type="paragraph" w:customStyle="1" w:styleId="13">
    <w:name w:val="Normal"/>
    <w:basedOn w:val="12"/>
    <w:qFormat/>
    <w:uiPriority w:val="0"/>
    <w:pPr>
      <w:widowControl/>
      <w:jc w:val="both"/>
    </w:pPr>
    <w:rPr>
      <w:rFonts w:ascii="Calibri" w:hAnsi="Calibri" w:eastAsia="Calibri"/>
      <w:sz w:val="21"/>
    </w:rPr>
  </w:style>
  <w:style w:type="paragraph" w:customStyle="1" w:styleId="14">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5">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8">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Words>
  <Characters>1562</Characters>
  <Lines>13</Lines>
  <Paragraphs>3</Paragraphs>
  <TotalTime>3</TotalTime>
  <ScaleCrop>false</ScaleCrop>
  <LinksUpToDate>false</LinksUpToDate>
  <CharactersWithSpaces>1833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2022-03-04T00:54:00Z</cp:lastPrinted>
  <dcterms:modified xsi:type="dcterms:W3CDTF">2024-06-05T01:58:18Z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