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adjustRightInd/>
        <w:snapToGrid/>
        <w:spacing w:after="0" w:line="480" w:lineRule="auto"/>
        <w:ind w:firstLine="960"/>
        <w:jc w:val="center"/>
        <w:rPr>
          <w:rFonts w:ascii="仿宋_GB2312" w:eastAsia="仿宋_GB2312" w:cs="DengXian-Regular"/>
          <w:b/>
          <w:sz w:val="36"/>
          <w:szCs w:val="36"/>
        </w:rPr>
      </w:pPr>
      <w:r>
        <w:rPr>
          <w:rFonts w:hint="eastAsia" w:ascii="仿宋_GB2312" w:eastAsia="仿宋_GB2312" w:cs="DengXian-Regular"/>
          <w:b/>
          <w:sz w:val="36"/>
          <w:szCs w:val="36"/>
        </w:rPr>
        <w:t>中国人民政治协商会议保定市徐水区委员会</w:t>
      </w:r>
    </w:p>
    <w:p>
      <w:pPr>
        <w:widowControl w:val="0"/>
        <w:adjustRightInd/>
        <w:snapToGrid/>
        <w:spacing w:after="0" w:line="480" w:lineRule="auto"/>
        <w:ind w:firstLine="960"/>
        <w:jc w:val="center"/>
        <w:rPr>
          <w:rFonts w:ascii="黑体" w:hAnsi="黑体" w:eastAsia="黑体" w:cs="Times New Roman"/>
          <w:bCs/>
          <w:kern w:val="2"/>
          <w:sz w:val="48"/>
          <w:szCs w:val="48"/>
        </w:rPr>
      </w:pPr>
      <w:r>
        <w:rPr>
          <w:rFonts w:hint="eastAsia" w:ascii="黑体" w:hAnsi="黑体" w:eastAsia="黑体" w:cs="Times New Roman"/>
          <w:bCs/>
          <w:kern w:val="2"/>
          <w:sz w:val="48"/>
          <w:szCs w:val="48"/>
        </w:rPr>
        <w:t>2019年部门整体支出绩效评价</w:t>
      </w:r>
    </w:p>
    <w:p>
      <w:pPr>
        <w:widowControl w:val="0"/>
        <w:adjustRightInd/>
        <w:snapToGrid/>
        <w:spacing w:after="0" w:line="480" w:lineRule="auto"/>
        <w:ind w:firstLine="960"/>
        <w:jc w:val="center"/>
        <w:rPr>
          <w:rFonts w:ascii="黑体" w:hAnsi="黑体" w:eastAsia="黑体" w:cs="Times New Roman"/>
          <w:bCs/>
          <w:kern w:val="2"/>
          <w:sz w:val="48"/>
          <w:szCs w:val="48"/>
        </w:rPr>
      </w:pPr>
      <w:r>
        <w:rPr>
          <w:rFonts w:hint="eastAsia" w:ascii="黑体" w:hAnsi="黑体" w:eastAsia="黑体" w:cs="Times New Roman"/>
          <w:bCs/>
          <w:kern w:val="2"/>
          <w:sz w:val="48"/>
          <w:szCs w:val="48"/>
        </w:rPr>
        <w:t>自评报告</w:t>
      </w:r>
    </w:p>
    <w:p>
      <w:pPr>
        <w:widowControl w:val="0"/>
        <w:adjustRightInd/>
        <w:snapToGrid/>
        <w:spacing w:after="0" w:line="540" w:lineRule="exact"/>
        <w:ind w:firstLine="1440"/>
        <w:jc w:val="both"/>
        <w:rPr>
          <w:rFonts w:ascii="Times New Roman" w:hAnsi="Times New Roman" w:eastAsia="宋体" w:cs="Times New Roman"/>
          <w:bCs/>
          <w:kern w:val="2"/>
          <w:sz w:val="72"/>
          <w:szCs w:val="24"/>
        </w:rPr>
      </w:pPr>
    </w:p>
    <w:p>
      <w:pPr>
        <w:widowControl w:val="0"/>
        <w:adjustRightInd/>
        <w:snapToGrid/>
        <w:spacing w:after="0" w:line="540" w:lineRule="exact"/>
        <w:ind w:firstLine="1440"/>
        <w:jc w:val="both"/>
        <w:rPr>
          <w:rFonts w:ascii="Times New Roman" w:hAnsi="Times New Roman" w:eastAsia="宋体" w:cs="Times New Roman"/>
          <w:bCs/>
          <w:kern w:val="2"/>
          <w:sz w:val="72"/>
          <w:szCs w:val="24"/>
        </w:rPr>
      </w:pPr>
    </w:p>
    <w:p>
      <w:pPr>
        <w:widowControl w:val="0"/>
        <w:adjustRightInd/>
        <w:snapToGrid/>
        <w:spacing w:after="0" w:line="540" w:lineRule="exact"/>
        <w:ind w:firstLine="1440"/>
        <w:jc w:val="both"/>
        <w:rPr>
          <w:rFonts w:ascii="Times New Roman" w:hAnsi="Times New Roman" w:eastAsia="宋体" w:cs="Times New Roman"/>
          <w:bCs/>
          <w:kern w:val="2"/>
          <w:sz w:val="72"/>
          <w:szCs w:val="24"/>
        </w:rPr>
      </w:pPr>
    </w:p>
    <w:p>
      <w:pPr>
        <w:widowControl w:val="0"/>
        <w:adjustRightInd/>
        <w:snapToGrid/>
        <w:spacing w:after="0" w:line="540" w:lineRule="exact"/>
        <w:ind w:firstLine="1440"/>
        <w:jc w:val="both"/>
        <w:rPr>
          <w:rFonts w:ascii="Times New Roman" w:hAnsi="Times New Roman" w:eastAsia="宋体" w:cs="Times New Roman"/>
          <w:bCs/>
          <w:kern w:val="2"/>
          <w:sz w:val="72"/>
          <w:szCs w:val="24"/>
        </w:rPr>
      </w:pPr>
    </w:p>
    <w:p>
      <w:pPr>
        <w:widowControl w:val="0"/>
        <w:adjustRightInd/>
        <w:snapToGrid/>
        <w:spacing w:after="0" w:line="540" w:lineRule="exact"/>
        <w:ind w:firstLine="1440"/>
        <w:jc w:val="both"/>
        <w:rPr>
          <w:rFonts w:ascii="Times New Roman" w:hAnsi="Times New Roman" w:eastAsia="宋体" w:cs="Times New Roman"/>
          <w:bCs/>
          <w:kern w:val="2"/>
          <w:sz w:val="72"/>
          <w:szCs w:val="24"/>
        </w:rPr>
      </w:pPr>
    </w:p>
    <w:p>
      <w:pPr>
        <w:widowControl w:val="0"/>
        <w:adjustRightInd/>
        <w:snapToGrid/>
        <w:spacing w:after="0" w:line="540" w:lineRule="exact"/>
        <w:ind w:firstLine="1440"/>
        <w:jc w:val="both"/>
        <w:rPr>
          <w:rFonts w:ascii="Times New Roman" w:hAnsi="Times New Roman" w:eastAsia="宋体" w:cs="Times New Roman"/>
          <w:bCs/>
          <w:kern w:val="2"/>
          <w:sz w:val="72"/>
          <w:szCs w:val="24"/>
        </w:rPr>
      </w:pPr>
    </w:p>
    <w:p>
      <w:pPr>
        <w:widowControl w:val="0"/>
        <w:adjustRightInd/>
        <w:snapToGrid/>
        <w:spacing w:after="0" w:line="540" w:lineRule="exact"/>
        <w:ind w:firstLine="1440"/>
        <w:jc w:val="both"/>
        <w:rPr>
          <w:rFonts w:ascii="Times New Roman" w:hAnsi="Times New Roman" w:eastAsia="宋体" w:cs="Times New Roman"/>
          <w:bCs/>
          <w:kern w:val="2"/>
          <w:sz w:val="72"/>
          <w:szCs w:val="24"/>
        </w:rPr>
      </w:pPr>
    </w:p>
    <w:p>
      <w:pPr>
        <w:widowControl w:val="0"/>
        <w:adjustRightInd/>
        <w:snapToGrid/>
        <w:spacing w:after="0" w:line="540" w:lineRule="exact"/>
        <w:ind w:firstLine="1440"/>
        <w:jc w:val="both"/>
        <w:rPr>
          <w:rFonts w:ascii="Times New Roman" w:hAnsi="Times New Roman" w:eastAsia="宋体" w:cs="Times New Roman"/>
          <w:bCs/>
          <w:kern w:val="2"/>
          <w:sz w:val="72"/>
          <w:szCs w:val="24"/>
        </w:rPr>
      </w:pPr>
    </w:p>
    <w:p>
      <w:pPr>
        <w:widowControl w:val="0"/>
        <w:adjustRightInd/>
        <w:snapToGrid/>
        <w:spacing w:after="0" w:line="540" w:lineRule="exact"/>
        <w:ind w:firstLine="1440"/>
        <w:jc w:val="both"/>
        <w:rPr>
          <w:rFonts w:ascii="Times New Roman" w:hAnsi="Times New Roman" w:eastAsia="宋体" w:cs="Times New Roman"/>
          <w:bCs/>
          <w:kern w:val="2"/>
          <w:sz w:val="72"/>
          <w:szCs w:val="24"/>
        </w:rPr>
      </w:pPr>
    </w:p>
    <w:p>
      <w:pPr>
        <w:widowControl w:val="0"/>
        <w:adjustRightInd/>
        <w:snapToGrid/>
        <w:spacing w:after="0" w:line="540" w:lineRule="exact"/>
        <w:ind w:firstLine="1440"/>
        <w:jc w:val="both"/>
        <w:rPr>
          <w:rFonts w:ascii="Times New Roman" w:hAnsi="Times New Roman" w:eastAsia="宋体" w:cs="Times New Roman"/>
          <w:bCs/>
          <w:kern w:val="2"/>
          <w:sz w:val="72"/>
          <w:szCs w:val="24"/>
        </w:rPr>
      </w:pPr>
    </w:p>
    <w:p>
      <w:pPr>
        <w:widowControl w:val="0"/>
        <w:adjustRightInd/>
        <w:snapToGrid/>
        <w:spacing w:after="0" w:line="540" w:lineRule="exact"/>
        <w:ind w:firstLine="1440"/>
        <w:jc w:val="both"/>
        <w:rPr>
          <w:rFonts w:ascii="Times New Roman" w:hAnsi="Times New Roman" w:eastAsia="宋体" w:cs="Times New Roman"/>
          <w:bCs/>
          <w:kern w:val="2"/>
          <w:sz w:val="72"/>
          <w:szCs w:val="24"/>
        </w:rPr>
      </w:pPr>
    </w:p>
    <w:p>
      <w:pPr>
        <w:widowControl w:val="0"/>
        <w:adjustRightInd/>
        <w:snapToGrid/>
        <w:spacing w:after="0" w:line="540" w:lineRule="exact"/>
        <w:ind w:firstLine="1440"/>
        <w:jc w:val="both"/>
        <w:rPr>
          <w:rFonts w:ascii="Times New Roman" w:hAnsi="Times New Roman" w:eastAsia="宋体" w:cs="Times New Roman"/>
          <w:bCs/>
          <w:kern w:val="2"/>
          <w:sz w:val="72"/>
          <w:szCs w:val="24"/>
        </w:rPr>
      </w:pPr>
    </w:p>
    <w:p>
      <w:pPr>
        <w:widowControl w:val="0"/>
        <w:adjustRightInd/>
        <w:snapToGrid/>
        <w:spacing w:after="0" w:line="540" w:lineRule="exact"/>
        <w:ind w:firstLine="1440"/>
        <w:jc w:val="both"/>
        <w:rPr>
          <w:rFonts w:ascii="Times New Roman" w:hAnsi="Times New Roman" w:eastAsia="宋体" w:cs="Times New Roman"/>
          <w:bCs/>
          <w:kern w:val="2"/>
          <w:sz w:val="72"/>
          <w:szCs w:val="24"/>
        </w:rPr>
      </w:pPr>
    </w:p>
    <w:p>
      <w:pPr>
        <w:widowControl w:val="0"/>
        <w:adjustRightInd/>
        <w:snapToGrid/>
        <w:spacing w:after="0" w:line="540" w:lineRule="exact"/>
        <w:ind w:firstLine="720"/>
        <w:jc w:val="center"/>
        <w:rPr>
          <w:rFonts w:cs="Times New Roman" w:asciiTheme="minorEastAsia" w:hAnsiTheme="minorEastAsia" w:eastAsiaTheme="minorEastAsia"/>
          <w:bCs/>
          <w:kern w:val="2"/>
          <w:sz w:val="36"/>
          <w:szCs w:val="36"/>
        </w:rPr>
      </w:pPr>
      <w:r>
        <w:rPr>
          <w:rFonts w:hint="eastAsia" w:cs="Times New Roman" w:asciiTheme="minorEastAsia" w:hAnsiTheme="minorEastAsia" w:eastAsiaTheme="minorEastAsia"/>
          <w:bCs/>
          <w:kern w:val="2"/>
          <w:sz w:val="36"/>
          <w:szCs w:val="36"/>
        </w:rPr>
        <w:t>2020年8月</w:t>
      </w:r>
    </w:p>
    <w:p>
      <w:pPr>
        <w:widowControl w:val="0"/>
        <w:adjustRightInd/>
        <w:snapToGrid/>
        <w:spacing w:after="0" w:line="540" w:lineRule="exact"/>
        <w:ind w:firstLine="1440"/>
        <w:jc w:val="both"/>
        <w:rPr>
          <w:rFonts w:ascii="Times New Roman" w:hAnsi="Times New Roman" w:eastAsia="宋体" w:cs="Times New Roman"/>
          <w:bCs/>
          <w:kern w:val="2"/>
          <w:sz w:val="72"/>
          <w:szCs w:val="24"/>
        </w:rPr>
      </w:pPr>
    </w:p>
    <w:p>
      <w:pPr>
        <w:widowControl w:val="0"/>
        <w:adjustRightInd/>
        <w:snapToGrid/>
        <w:spacing w:after="0" w:line="540" w:lineRule="exact"/>
        <w:ind w:firstLine="1440"/>
        <w:jc w:val="both"/>
        <w:rPr>
          <w:rFonts w:ascii="Times New Roman" w:hAnsi="Times New Roman" w:eastAsia="宋体" w:cs="Times New Roman"/>
          <w:bCs/>
          <w:kern w:val="2"/>
          <w:sz w:val="72"/>
          <w:szCs w:val="24"/>
        </w:rPr>
      </w:pPr>
    </w:p>
    <w:p>
      <w:pPr>
        <w:widowControl w:val="0"/>
        <w:adjustRightInd/>
        <w:snapToGrid/>
        <w:spacing w:after="0" w:line="540" w:lineRule="exact"/>
        <w:ind w:firstLine="1440"/>
        <w:jc w:val="both"/>
        <w:rPr>
          <w:rFonts w:ascii="Times New Roman" w:hAnsi="Times New Roman" w:eastAsia="宋体" w:cs="Times New Roman"/>
          <w:bCs/>
          <w:kern w:val="2"/>
          <w:sz w:val="72"/>
          <w:szCs w:val="24"/>
        </w:rPr>
      </w:pPr>
    </w:p>
    <w:sdt>
      <w:sdtPr>
        <w:rPr>
          <w:rFonts w:ascii="Tahoma" w:hAnsi="Tahoma" w:eastAsia="微软雅黑" w:cstheme="minorBidi"/>
          <w:b w:val="0"/>
          <w:bCs w:val="0"/>
          <w:color w:val="auto"/>
          <w:sz w:val="22"/>
          <w:szCs w:val="22"/>
          <w:lang w:val="zh-CN"/>
        </w:rPr>
        <w:id w:val="8905895"/>
        <w:docPartObj>
          <w:docPartGallery w:val="Table of Contents"/>
          <w:docPartUnique/>
        </w:docPartObj>
      </w:sdtPr>
      <w:sdtEndPr>
        <w:rPr>
          <w:rFonts w:ascii="Tahoma" w:hAnsi="Tahoma" w:eastAsia="微软雅黑" w:cstheme="minorBidi"/>
          <w:b w:val="0"/>
          <w:bCs w:val="0"/>
          <w:color w:val="auto"/>
          <w:sz w:val="22"/>
          <w:szCs w:val="22"/>
          <w:lang w:val="en-US"/>
        </w:rPr>
      </w:sdtEndPr>
      <w:sdtContent>
        <w:p>
          <w:pPr>
            <w:pStyle w:val="12"/>
            <w:ind w:firstLine="440"/>
            <w:jc w:val="center"/>
            <w:rPr>
              <w:color w:val="auto"/>
              <w:sz w:val="44"/>
              <w:szCs w:val="44"/>
              <w:lang w:val="zh-CN"/>
            </w:rPr>
          </w:pPr>
          <w:r>
            <w:rPr>
              <w:color w:val="auto"/>
              <w:sz w:val="44"/>
              <w:szCs w:val="44"/>
              <w:lang w:val="zh-CN"/>
            </w:rPr>
            <w:t>目录</w:t>
          </w:r>
        </w:p>
        <w:p>
          <w:pPr>
            <w:pStyle w:val="8"/>
            <w:tabs>
              <w:tab w:val="right" w:leader="dot" w:pos="8302"/>
            </w:tabs>
            <w:spacing w:line="360" w:lineRule="auto"/>
            <w:ind w:left="440"/>
            <w:rPr>
              <w:rFonts w:ascii="Calibri" w:hAnsiTheme="minorHAnsi" w:eastAsiaTheme="minorEastAsia" w:cstheme="minorBidi"/>
              <w:sz w:val="21"/>
              <w:szCs w:val="22"/>
            </w:rPr>
          </w:pPr>
          <w:r>
            <w:rPr>
              <w:rFonts w:asciiTheme="minorEastAsia" w:hAnsiTheme="minorEastAsia" w:eastAsiaTheme="minorEastAsia"/>
              <w:sz w:val="24"/>
            </w:rPr>
            <w:fldChar w:fldCharType="begin"/>
          </w:r>
          <w:r>
            <w:rPr>
              <w:rFonts w:asciiTheme="minorEastAsia" w:hAnsiTheme="minorEastAsia" w:eastAsiaTheme="minorEastAsia"/>
              <w:sz w:val="24"/>
            </w:rPr>
            <w:instrText xml:space="preserve"> TOC \o "1-3" \h \z \u </w:instrText>
          </w:r>
          <w:r>
            <w:rPr>
              <w:rFonts w:asciiTheme="minorEastAsia" w:hAnsiTheme="minorEastAsia" w:eastAsiaTheme="minorEastAsia"/>
              <w:sz w:val="24"/>
            </w:rPr>
            <w:fldChar w:fldCharType="separate"/>
          </w:r>
          <w:r>
            <w:fldChar w:fldCharType="begin"/>
          </w:r>
          <w:r>
            <w:instrText xml:space="preserve"> HYPERLINK \l "_Toc57553851" </w:instrText>
          </w:r>
          <w:r>
            <w:fldChar w:fldCharType="separate"/>
          </w:r>
          <w:r>
            <w:rPr>
              <w:rStyle w:val="11"/>
              <w:rFonts w:hint="eastAsia" w:ascii="黑体" w:hAnsi="黑体"/>
            </w:rPr>
            <w:t>第一部分摘要</w:t>
          </w:r>
          <w:r>
            <w:tab/>
          </w:r>
          <w:r>
            <w:fldChar w:fldCharType="begin"/>
          </w:r>
          <w:r>
            <w:instrText xml:space="preserve"> PAGEREF _Toc57553851 \h </w:instrText>
          </w:r>
          <w:r>
            <w:fldChar w:fldCharType="separate"/>
          </w:r>
          <w:r>
            <w:t>1</w:t>
          </w:r>
          <w:r>
            <w:fldChar w:fldCharType="end"/>
          </w:r>
          <w:r>
            <w:fldChar w:fldCharType="end"/>
          </w:r>
        </w:p>
        <w:p>
          <w:pPr>
            <w:pStyle w:val="8"/>
            <w:tabs>
              <w:tab w:val="right" w:leader="dot" w:pos="8302"/>
            </w:tabs>
            <w:spacing w:line="360" w:lineRule="auto"/>
            <w:ind w:left="440"/>
            <w:rPr>
              <w:rFonts w:ascii="Calibri" w:hAnsiTheme="minorHAnsi" w:eastAsiaTheme="minorEastAsia" w:cstheme="minorBidi"/>
              <w:sz w:val="21"/>
              <w:szCs w:val="22"/>
            </w:rPr>
          </w:pPr>
          <w:r>
            <w:fldChar w:fldCharType="begin"/>
          </w:r>
          <w:r>
            <w:instrText xml:space="preserve"> HYPERLINK \l "_Toc57553852" </w:instrText>
          </w:r>
          <w:r>
            <w:fldChar w:fldCharType="separate"/>
          </w:r>
          <w:r>
            <w:rPr>
              <w:rStyle w:val="11"/>
              <w:rFonts w:hint="eastAsia" w:ascii="黑体" w:hAnsi="黑体"/>
            </w:rPr>
            <w:t>第二部分绩效评价报告</w:t>
          </w:r>
          <w:r>
            <w:tab/>
          </w:r>
          <w:r>
            <w:fldChar w:fldCharType="begin"/>
          </w:r>
          <w:r>
            <w:instrText xml:space="preserve"> PAGEREF _Toc57553852 \h </w:instrText>
          </w:r>
          <w:r>
            <w:fldChar w:fldCharType="separate"/>
          </w:r>
          <w:r>
            <w:t>7</w:t>
          </w:r>
          <w:r>
            <w:fldChar w:fldCharType="end"/>
          </w:r>
          <w:r>
            <w:fldChar w:fldCharType="end"/>
          </w:r>
        </w:p>
        <w:p>
          <w:pPr>
            <w:pStyle w:val="8"/>
            <w:tabs>
              <w:tab w:val="right" w:leader="dot" w:pos="8302"/>
            </w:tabs>
            <w:spacing w:line="360" w:lineRule="auto"/>
            <w:ind w:left="440"/>
            <w:rPr>
              <w:rFonts w:ascii="Calibri" w:hAnsiTheme="minorHAnsi" w:eastAsiaTheme="minorEastAsia" w:cstheme="minorBidi"/>
              <w:sz w:val="21"/>
              <w:szCs w:val="22"/>
            </w:rPr>
          </w:pPr>
          <w:r>
            <w:fldChar w:fldCharType="begin"/>
          </w:r>
          <w:r>
            <w:instrText xml:space="preserve"> HYPERLINK \l "_Toc57553853" </w:instrText>
          </w:r>
          <w:r>
            <w:fldChar w:fldCharType="separate"/>
          </w:r>
          <w:r>
            <w:rPr>
              <w:rStyle w:val="11"/>
              <w:rFonts w:hint="eastAsia" w:ascii="楷体" w:hAnsi="楷体" w:eastAsia="楷体" w:cs="楷体"/>
            </w:rPr>
            <w:t>一、</w:t>
          </w:r>
          <w:r>
            <w:rPr>
              <w:rStyle w:val="11"/>
              <w:rFonts w:hint="eastAsia" w:ascii="仿宋_GB2312" w:eastAsia="仿宋_GB2312" w:cs="DengXian-Regular"/>
            </w:rPr>
            <w:t>中国人民政治协商会议保定市徐水区委员会</w:t>
          </w:r>
          <w:r>
            <w:rPr>
              <w:rStyle w:val="11"/>
              <w:rFonts w:hint="eastAsia" w:ascii="楷体" w:hAnsi="楷体" w:eastAsia="楷体" w:cs="楷体"/>
            </w:rPr>
            <w:t>基本情况</w:t>
          </w:r>
          <w:r>
            <w:tab/>
          </w:r>
          <w:r>
            <w:fldChar w:fldCharType="begin"/>
          </w:r>
          <w:r>
            <w:instrText xml:space="preserve"> PAGEREF _Toc57553853 \h </w:instrText>
          </w:r>
          <w:r>
            <w:fldChar w:fldCharType="separate"/>
          </w:r>
          <w:r>
            <w:t>7</w:t>
          </w:r>
          <w:r>
            <w:fldChar w:fldCharType="end"/>
          </w:r>
          <w:r>
            <w:fldChar w:fldCharType="end"/>
          </w:r>
        </w:p>
        <w:p>
          <w:pPr>
            <w:pStyle w:val="5"/>
            <w:tabs>
              <w:tab w:val="right" w:leader="dot" w:pos="8302"/>
            </w:tabs>
            <w:spacing w:line="360" w:lineRule="auto"/>
            <w:ind w:left="880"/>
            <w:rPr>
              <w:rFonts w:ascii="Calibri" w:hAnsiTheme="minorHAnsi" w:eastAsiaTheme="minorEastAsia" w:cstheme="minorBidi"/>
              <w:sz w:val="21"/>
              <w:szCs w:val="22"/>
            </w:rPr>
          </w:pPr>
          <w:r>
            <w:fldChar w:fldCharType="begin"/>
          </w:r>
          <w:r>
            <w:instrText xml:space="preserve"> HYPERLINK \l "_Toc57553854" </w:instrText>
          </w:r>
          <w:r>
            <w:fldChar w:fldCharType="separate"/>
          </w:r>
          <w:r>
            <w:rPr>
              <w:rStyle w:val="11"/>
              <w:rFonts w:hint="eastAsia" w:ascii="仿宋_GB2312" w:hAnsi="Tahoma" w:cs="DengXian-Regular"/>
            </w:rPr>
            <w:t>（一）部门职责和工作活动</w:t>
          </w:r>
          <w:r>
            <w:tab/>
          </w:r>
          <w:r>
            <w:fldChar w:fldCharType="begin"/>
          </w:r>
          <w:r>
            <w:instrText xml:space="preserve"> PAGEREF _Toc57553854 \h </w:instrText>
          </w:r>
          <w:r>
            <w:fldChar w:fldCharType="separate"/>
          </w:r>
          <w:r>
            <w:t>7</w:t>
          </w:r>
          <w:r>
            <w:fldChar w:fldCharType="end"/>
          </w:r>
          <w:r>
            <w:fldChar w:fldCharType="end"/>
          </w:r>
        </w:p>
        <w:p>
          <w:pPr>
            <w:pStyle w:val="5"/>
            <w:tabs>
              <w:tab w:val="right" w:leader="dot" w:pos="8302"/>
            </w:tabs>
            <w:spacing w:line="360" w:lineRule="auto"/>
            <w:ind w:left="880"/>
            <w:rPr>
              <w:rFonts w:ascii="Calibri" w:hAnsiTheme="minorHAnsi" w:eastAsiaTheme="minorEastAsia" w:cstheme="minorBidi"/>
              <w:sz w:val="21"/>
              <w:szCs w:val="22"/>
            </w:rPr>
          </w:pPr>
          <w:r>
            <w:fldChar w:fldCharType="begin"/>
          </w:r>
          <w:r>
            <w:instrText xml:space="preserve"> HYPERLINK \l "_Toc57553855" </w:instrText>
          </w:r>
          <w:r>
            <w:fldChar w:fldCharType="separate"/>
          </w:r>
          <w:r>
            <w:rPr>
              <w:rStyle w:val="11"/>
              <w:rFonts w:hint="eastAsia" w:ascii="仿宋_GB2312" w:hAnsi="Tahoma" w:cs="DengXian-Regular"/>
            </w:rPr>
            <w:t>（二）部门年度发展规划总体目标和职责分类绩效目标</w:t>
          </w:r>
          <w:r>
            <w:tab/>
          </w:r>
          <w:r>
            <w:fldChar w:fldCharType="begin"/>
          </w:r>
          <w:r>
            <w:instrText xml:space="preserve"> PAGEREF _Toc57553855 \h </w:instrText>
          </w:r>
          <w:r>
            <w:fldChar w:fldCharType="separate"/>
          </w:r>
          <w:r>
            <w:t>7</w:t>
          </w:r>
          <w:r>
            <w:fldChar w:fldCharType="end"/>
          </w:r>
          <w:r>
            <w:fldChar w:fldCharType="end"/>
          </w:r>
        </w:p>
        <w:p>
          <w:pPr>
            <w:pStyle w:val="5"/>
            <w:tabs>
              <w:tab w:val="right" w:leader="dot" w:pos="8302"/>
            </w:tabs>
            <w:spacing w:line="360" w:lineRule="auto"/>
            <w:ind w:left="880"/>
            <w:rPr>
              <w:rFonts w:ascii="Calibri" w:hAnsiTheme="minorHAnsi" w:eastAsiaTheme="minorEastAsia" w:cstheme="minorBidi"/>
              <w:sz w:val="21"/>
              <w:szCs w:val="22"/>
            </w:rPr>
          </w:pPr>
          <w:r>
            <w:fldChar w:fldCharType="begin"/>
          </w:r>
          <w:r>
            <w:instrText xml:space="preserve"> HYPERLINK \l "_Toc57553856" </w:instrText>
          </w:r>
          <w:r>
            <w:fldChar w:fldCharType="separate"/>
          </w:r>
          <w:r>
            <w:rPr>
              <w:rStyle w:val="11"/>
              <w:rFonts w:hint="eastAsia" w:ascii="仿宋_GB2312" w:hAnsiTheme="minorEastAsia"/>
            </w:rPr>
            <w:t>（四）预算支出及决算支出</w:t>
          </w:r>
          <w:r>
            <w:tab/>
          </w:r>
          <w:r>
            <w:fldChar w:fldCharType="begin"/>
          </w:r>
          <w:r>
            <w:instrText xml:space="preserve"> PAGEREF _Toc57553856 \h </w:instrText>
          </w:r>
          <w:r>
            <w:fldChar w:fldCharType="separate"/>
          </w:r>
          <w:r>
            <w:t>9</w:t>
          </w:r>
          <w:r>
            <w:fldChar w:fldCharType="end"/>
          </w:r>
          <w:r>
            <w:fldChar w:fldCharType="end"/>
          </w:r>
        </w:p>
        <w:p>
          <w:pPr>
            <w:pStyle w:val="5"/>
            <w:tabs>
              <w:tab w:val="right" w:leader="dot" w:pos="8302"/>
            </w:tabs>
            <w:spacing w:line="360" w:lineRule="auto"/>
            <w:ind w:left="880"/>
            <w:rPr>
              <w:rFonts w:ascii="Calibri" w:hAnsiTheme="minorHAnsi" w:eastAsiaTheme="minorEastAsia" w:cstheme="minorBidi"/>
              <w:sz w:val="21"/>
              <w:szCs w:val="22"/>
            </w:rPr>
          </w:pPr>
          <w:r>
            <w:fldChar w:fldCharType="begin"/>
          </w:r>
          <w:r>
            <w:instrText xml:space="preserve"> HYPERLINK \l "_Toc57553857" </w:instrText>
          </w:r>
          <w:r>
            <w:fldChar w:fldCharType="separate"/>
          </w:r>
          <w:r>
            <w:rPr>
              <w:rStyle w:val="11"/>
              <w:rFonts w:hint="eastAsia" w:ascii="仿宋_GB2312" w:hAnsi="Tahoma" w:cs="DengXian-Regular"/>
            </w:rPr>
            <w:t>（五）“三公”经费预算安排及支出情况</w:t>
          </w:r>
          <w:r>
            <w:tab/>
          </w:r>
          <w:r>
            <w:fldChar w:fldCharType="begin"/>
          </w:r>
          <w:r>
            <w:instrText xml:space="preserve"> PAGEREF _Toc57553857 \h </w:instrText>
          </w:r>
          <w:r>
            <w:fldChar w:fldCharType="separate"/>
          </w:r>
          <w:r>
            <w:t>10</w:t>
          </w:r>
          <w:r>
            <w:fldChar w:fldCharType="end"/>
          </w:r>
          <w:r>
            <w:fldChar w:fldCharType="end"/>
          </w:r>
        </w:p>
        <w:p>
          <w:pPr>
            <w:pStyle w:val="8"/>
            <w:tabs>
              <w:tab w:val="right" w:leader="dot" w:pos="8302"/>
            </w:tabs>
            <w:spacing w:line="360" w:lineRule="auto"/>
            <w:ind w:left="440"/>
            <w:rPr>
              <w:rFonts w:ascii="Calibri" w:hAnsiTheme="minorHAnsi" w:eastAsiaTheme="minorEastAsia" w:cstheme="minorBidi"/>
              <w:sz w:val="21"/>
              <w:szCs w:val="22"/>
            </w:rPr>
          </w:pPr>
          <w:r>
            <w:fldChar w:fldCharType="begin"/>
          </w:r>
          <w:r>
            <w:instrText xml:space="preserve"> HYPERLINK \l "_Toc57553858" </w:instrText>
          </w:r>
          <w:r>
            <w:fldChar w:fldCharType="separate"/>
          </w:r>
          <w:r>
            <w:rPr>
              <w:rStyle w:val="11"/>
              <w:rFonts w:hint="eastAsia" w:ascii="黑体"/>
            </w:rPr>
            <w:t>二、部门整体支出绩效评价指标体系设定情况</w:t>
          </w:r>
          <w:r>
            <w:tab/>
          </w:r>
          <w:r>
            <w:fldChar w:fldCharType="begin"/>
          </w:r>
          <w:r>
            <w:instrText xml:space="preserve"> PAGEREF _Toc57553858 \h </w:instrText>
          </w:r>
          <w:r>
            <w:fldChar w:fldCharType="separate"/>
          </w:r>
          <w:r>
            <w:t>11</w:t>
          </w:r>
          <w:r>
            <w:fldChar w:fldCharType="end"/>
          </w:r>
          <w:r>
            <w:fldChar w:fldCharType="end"/>
          </w:r>
        </w:p>
        <w:p>
          <w:pPr>
            <w:pStyle w:val="5"/>
            <w:tabs>
              <w:tab w:val="right" w:leader="dot" w:pos="8302"/>
            </w:tabs>
            <w:spacing w:line="360" w:lineRule="auto"/>
            <w:ind w:left="880"/>
            <w:rPr>
              <w:rFonts w:ascii="Calibri" w:hAnsiTheme="minorHAnsi" w:eastAsiaTheme="minorEastAsia" w:cstheme="minorBidi"/>
              <w:sz w:val="21"/>
              <w:szCs w:val="22"/>
            </w:rPr>
          </w:pPr>
          <w:r>
            <w:fldChar w:fldCharType="begin"/>
          </w:r>
          <w:r>
            <w:instrText xml:space="preserve"> HYPERLINK \l "_Toc57553859" </w:instrText>
          </w:r>
          <w:r>
            <w:fldChar w:fldCharType="separate"/>
          </w:r>
          <w:r>
            <w:rPr>
              <w:rStyle w:val="11"/>
              <w:rFonts w:hint="eastAsia" w:ascii="楷体" w:hAnsi="楷体" w:eastAsia="楷体"/>
            </w:rPr>
            <w:t>（二）过程（</w:t>
          </w:r>
          <w:r>
            <w:rPr>
              <w:rStyle w:val="11"/>
              <w:rFonts w:ascii="楷体" w:hAnsi="楷体" w:eastAsia="楷体"/>
            </w:rPr>
            <w:t>48</w:t>
          </w:r>
          <w:r>
            <w:rPr>
              <w:rStyle w:val="11"/>
              <w:rFonts w:hint="eastAsia" w:ascii="楷体" w:hAnsi="楷体" w:eastAsia="楷体"/>
            </w:rPr>
            <w:t>分）</w:t>
          </w:r>
          <w:r>
            <w:tab/>
          </w:r>
          <w:r>
            <w:fldChar w:fldCharType="begin"/>
          </w:r>
          <w:r>
            <w:instrText xml:space="preserve"> PAGEREF _Toc57553859 \h </w:instrText>
          </w:r>
          <w:r>
            <w:fldChar w:fldCharType="separate"/>
          </w:r>
          <w:r>
            <w:t>12</w:t>
          </w:r>
          <w:r>
            <w:fldChar w:fldCharType="end"/>
          </w:r>
          <w:r>
            <w:fldChar w:fldCharType="end"/>
          </w:r>
        </w:p>
        <w:p>
          <w:pPr>
            <w:pStyle w:val="5"/>
            <w:tabs>
              <w:tab w:val="right" w:leader="dot" w:pos="8302"/>
            </w:tabs>
            <w:spacing w:line="360" w:lineRule="auto"/>
            <w:ind w:left="880"/>
            <w:rPr>
              <w:rFonts w:ascii="Calibri" w:hAnsiTheme="minorHAnsi" w:eastAsiaTheme="minorEastAsia" w:cstheme="minorBidi"/>
              <w:sz w:val="21"/>
              <w:szCs w:val="22"/>
            </w:rPr>
          </w:pPr>
          <w:r>
            <w:fldChar w:fldCharType="begin"/>
          </w:r>
          <w:r>
            <w:instrText xml:space="preserve"> HYPERLINK \l "_Toc57553860" </w:instrText>
          </w:r>
          <w:r>
            <w:fldChar w:fldCharType="separate"/>
          </w:r>
          <w:r>
            <w:rPr>
              <w:rStyle w:val="11"/>
              <w:rFonts w:hint="eastAsia" w:ascii="楷体" w:hAnsi="楷体" w:eastAsia="楷体"/>
            </w:rPr>
            <w:t>（三）产出（</w:t>
          </w:r>
          <w:r>
            <w:rPr>
              <w:rStyle w:val="11"/>
              <w:rFonts w:ascii="楷体" w:hAnsi="楷体" w:eastAsia="楷体"/>
            </w:rPr>
            <w:t>25</w:t>
          </w:r>
          <w:r>
            <w:rPr>
              <w:rStyle w:val="11"/>
              <w:rFonts w:hint="eastAsia" w:ascii="楷体" w:hAnsi="楷体" w:eastAsia="楷体"/>
            </w:rPr>
            <w:t>分）</w:t>
          </w:r>
          <w:r>
            <w:tab/>
          </w:r>
          <w:r>
            <w:fldChar w:fldCharType="begin"/>
          </w:r>
          <w:r>
            <w:instrText xml:space="preserve"> PAGEREF _Toc57553860 \h </w:instrText>
          </w:r>
          <w:r>
            <w:fldChar w:fldCharType="separate"/>
          </w:r>
          <w:r>
            <w:t>13</w:t>
          </w:r>
          <w:r>
            <w:fldChar w:fldCharType="end"/>
          </w:r>
          <w:r>
            <w:fldChar w:fldCharType="end"/>
          </w:r>
        </w:p>
        <w:p>
          <w:pPr>
            <w:pStyle w:val="5"/>
            <w:tabs>
              <w:tab w:val="right" w:leader="dot" w:pos="8302"/>
            </w:tabs>
            <w:spacing w:line="360" w:lineRule="auto"/>
            <w:ind w:left="880"/>
            <w:rPr>
              <w:rFonts w:ascii="Calibri" w:hAnsiTheme="minorHAnsi" w:eastAsiaTheme="minorEastAsia" w:cstheme="minorBidi"/>
              <w:sz w:val="21"/>
              <w:szCs w:val="22"/>
            </w:rPr>
          </w:pPr>
          <w:r>
            <w:fldChar w:fldCharType="begin"/>
          </w:r>
          <w:r>
            <w:instrText xml:space="preserve"> HYPERLINK \l "_Toc57553861" </w:instrText>
          </w:r>
          <w:r>
            <w:fldChar w:fldCharType="separate"/>
          </w:r>
          <w:r>
            <w:rPr>
              <w:rStyle w:val="11"/>
              <w:rFonts w:hint="eastAsia" w:ascii="楷体_GB2312" w:eastAsia="楷体_GB2312" w:hAnsiTheme="minorEastAsia"/>
            </w:rPr>
            <w:t>（四）效果（</w:t>
          </w:r>
          <w:r>
            <w:rPr>
              <w:rStyle w:val="11"/>
              <w:rFonts w:ascii="楷体_GB2312" w:eastAsia="楷体_GB2312" w:hAnsiTheme="minorEastAsia"/>
            </w:rPr>
            <w:t>15</w:t>
          </w:r>
          <w:r>
            <w:rPr>
              <w:rStyle w:val="11"/>
              <w:rFonts w:hint="eastAsia" w:ascii="楷体_GB2312" w:eastAsia="楷体_GB2312" w:hAnsiTheme="minorEastAsia"/>
            </w:rPr>
            <w:t>分）</w:t>
          </w:r>
          <w:r>
            <w:tab/>
          </w:r>
          <w:r>
            <w:fldChar w:fldCharType="begin"/>
          </w:r>
          <w:r>
            <w:instrText xml:space="preserve"> PAGEREF _Toc57553861 \h </w:instrText>
          </w:r>
          <w:r>
            <w:fldChar w:fldCharType="separate"/>
          </w:r>
          <w:r>
            <w:t>13</w:t>
          </w:r>
          <w:r>
            <w:fldChar w:fldCharType="end"/>
          </w:r>
          <w:r>
            <w:fldChar w:fldCharType="end"/>
          </w:r>
        </w:p>
        <w:p>
          <w:pPr>
            <w:pStyle w:val="8"/>
            <w:tabs>
              <w:tab w:val="right" w:leader="dot" w:pos="8302"/>
            </w:tabs>
            <w:spacing w:line="360" w:lineRule="auto"/>
            <w:ind w:left="440"/>
            <w:rPr>
              <w:rFonts w:ascii="Calibri" w:hAnsiTheme="minorHAnsi" w:eastAsiaTheme="minorEastAsia" w:cstheme="minorBidi"/>
              <w:sz w:val="21"/>
              <w:szCs w:val="22"/>
            </w:rPr>
          </w:pPr>
          <w:r>
            <w:fldChar w:fldCharType="begin"/>
          </w:r>
          <w:r>
            <w:instrText xml:space="preserve"> HYPERLINK \l "_Toc57553862" </w:instrText>
          </w:r>
          <w:r>
            <w:fldChar w:fldCharType="separate"/>
          </w:r>
          <w:r>
            <w:rPr>
              <w:rStyle w:val="11"/>
              <w:rFonts w:hint="eastAsia" w:ascii="黑体"/>
            </w:rPr>
            <w:t>三、综合绩效评价工作情况</w:t>
          </w:r>
          <w:r>
            <w:tab/>
          </w:r>
          <w:r>
            <w:fldChar w:fldCharType="begin"/>
          </w:r>
          <w:r>
            <w:instrText xml:space="preserve"> PAGEREF _Toc57553862 \h </w:instrText>
          </w:r>
          <w:r>
            <w:fldChar w:fldCharType="separate"/>
          </w:r>
          <w:r>
            <w:t>13</w:t>
          </w:r>
          <w:r>
            <w:fldChar w:fldCharType="end"/>
          </w:r>
          <w:r>
            <w:fldChar w:fldCharType="end"/>
          </w:r>
        </w:p>
        <w:p>
          <w:pPr>
            <w:pStyle w:val="5"/>
            <w:tabs>
              <w:tab w:val="right" w:leader="dot" w:pos="8302"/>
            </w:tabs>
            <w:spacing w:line="360" w:lineRule="auto"/>
            <w:ind w:left="880"/>
            <w:rPr>
              <w:rFonts w:ascii="Calibri" w:hAnsiTheme="minorHAnsi" w:eastAsiaTheme="minorEastAsia" w:cstheme="minorBidi"/>
              <w:sz w:val="21"/>
              <w:szCs w:val="22"/>
            </w:rPr>
          </w:pPr>
          <w:r>
            <w:fldChar w:fldCharType="begin"/>
          </w:r>
          <w:r>
            <w:instrText xml:space="preserve"> HYPERLINK \l "_Toc57553863" </w:instrText>
          </w:r>
          <w:r>
            <w:fldChar w:fldCharType="separate"/>
          </w:r>
          <w:r>
            <w:rPr>
              <w:rStyle w:val="11"/>
              <w:rFonts w:hint="eastAsia" w:ascii="楷体_GB2312" w:eastAsia="楷体_GB2312" w:hAnsiTheme="minorEastAsia"/>
            </w:rPr>
            <w:t>（一）绩效评价目的</w:t>
          </w:r>
          <w:r>
            <w:tab/>
          </w:r>
          <w:r>
            <w:fldChar w:fldCharType="begin"/>
          </w:r>
          <w:r>
            <w:instrText xml:space="preserve"> PAGEREF _Toc57553863 \h </w:instrText>
          </w:r>
          <w:r>
            <w:fldChar w:fldCharType="separate"/>
          </w:r>
          <w:r>
            <w:t>13</w:t>
          </w:r>
          <w:r>
            <w:fldChar w:fldCharType="end"/>
          </w:r>
          <w:r>
            <w:fldChar w:fldCharType="end"/>
          </w:r>
        </w:p>
        <w:p>
          <w:pPr>
            <w:pStyle w:val="5"/>
            <w:tabs>
              <w:tab w:val="right" w:leader="dot" w:pos="8302"/>
            </w:tabs>
            <w:spacing w:line="360" w:lineRule="auto"/>
            <w:ind w:left="880"/>
            <w:rPr>
              <w:rFonts w:ascii="Calibri" w:hAnsiTheme="minorHAnsi" w:eastAsiaTheme="minorEastAsia" w:cstheme="minorBidi"/>
              <w:sz w:val="21"/>
              <w:szCs w:val="22"/>
            </w:rPr>
          </w:pPr>
          <w:r>
            <w:fldChar w:fldCharType="begin"/>
          </w:r>
          <w:r>
            <w:instrText xml:space="preserve"> HYPERLINK \l "_Toc57553864" </w:instrText>
          </w:r>
          <w:r>
            <w:fldChar w:fldCharType="separate"/>
          </w:r>
          <w:r>
            <w:rPr>
              <w:rStyle w:val="11"/>
              <w:rFonts w:hint="eastAsia" w:ascii="楷体_GB2312" w:eastAsia="楷体_GB2312" w:hAnsiTheme="minorEastAsia"/>
            </w:rPr>
            <w:t>（二）绩效评价依据</w:t>
          </w:r>
          <w:r>
            <w:tab/>
          </w:r>
          <w:r>
            <w:fldChar w:fldCharType="begin"/>
          </w:r>
          <w:r>
            <w:instrText xml:space="preserve"> PAGEREF _Toc57553864 \h </w:instrText>
          </w:r>
          <w:r>
            <w:fldChar w:fldCharType="separate"/>
          </w:r>
          <w:r>
            <w:t>14</w:t>
          </w:r>
          <w:r>
            <w:fldChar w:fldCharType="end"/>
          </w:r>
          <w:r>
            <w:fldChar w:fldCharType="end"/>
          </w:r>
        </w:p>
        <w:p>
          <w:pPr>
            <w:pStyle w:val="5"/>
            <w:tabs>
              <w:tab w:val="right" w:leader="dot" w:pos="8302"/>
            </w:tabs>
            <w:spacing w:line="360" w:lineRule="auto"/>
            <w:ind w:left="880"/>
            <w:rPr>
              <w:rFonts w:ascii="Calibri" w:hAnsiTheme="minorHAnsi" w:eastAsiaTheme="minorEastAsia" w:cstheme="minorBidi"/>
              <w:sz w:val="21"/>
              <w:szCs w:val="22"/>
            </w:rPr>
          </w:pPr>
          <w:r>
            <w:fldChar w:fldCharType="begin"/>
          </w:r>
          <w:r>
            <w:instrText xml:space="preserve"> HYPERLINK \l "_Toc57553865" </w:instrText>
          </w:r>
          <w:r>
            <w:fldChar w:fldCharType="separate"/>
          </w:r>
          <w:r>
            <w:rPr>
              <w:rStyle w:val="11"/>
              <w:rFonts w:hint="eastAsia" w:ascii="楷体_GB2312" w:eastAsia="楷体_GB2312" w:hAnsiTheme="minorEastAsia"/>
            </w:rPr>
            <w:t>（三）绩效评价内容</w:t>
          </w:r>
          <w:r>
            <w:tab/>
          </w:r>
          <w:r>
            <w:fldChar w:fldCharType="begin"/>
          </w:r>
          <w:r>
            <w:instrText xml:space="preserve"> PAGEREF _Toc57553865 \h </w:instrText>
          </w:r>
          <w:r>
            <w:fldChar w:fldCharType="separate"/>
          </w:r>
          <w:r>
            <w:t>14</w:t>
          </w:r>
          <w:r>
            <w:fldChar w:fldCharType="end"/>
          </w:r>
          <w:r>
            <w:fldChar w:fldCharType="end"/>
          </w:r>
        </w:p>
        <w:p>
          <w:pPr>
            <w:pStyle w:val="5"/>
            <w:tabs>
              <w:tab w:val="right" w:leader="dot" w:pos="8302"/>
            </w:tabs>
            <w:spacing w:line="360" w:lineRule="auto"/>
            <w:ind w:left="880"/>
            <w:rPr>
              <w:rFonts w:ascii="Calibri" w:hAnsiTheme="minorHAnsi" w:eastAsiaTheme="minorEastAsia" w:cstheme="minorBidi"/>
              <w:sz w:val="21"/>
              <w:szCs w:val="22"/>
            </w:rPr>
          </w:pPr>
          <w:r>
            <w:fldChar w:fldCharType="begin"/>
          </w:r>
          <w:r>
            <w:instrText xml:space="preserve"> HYPERLINK \l "_Toc57553866" </w:instrText>
          </w:r>
          <w:r>
            <w:fldChar w:fldCharType="separate"/>
          </w:r>
          <w:r>
            <w:rPr>
              <w:rStyle w:val="11"/>
              <w:rFonts w:hint="eastAsia" w:ascii="楷体_GB2312" w:eastAsia="楷体_GB2312" w:hAnsiTheme="minorEastAsia"/>
            </w:rPr>
            <w:t>（四）绩效评价原则</w:t>
          </w:r>
          <w:r>
            <w:tab/>
          </w:r>
          <w:r>
            <w:fldChar w:fldCharType="begin"/>
          </w:r>
          <w:r>
            <w:instrText xml:space="preserve"> PAGEREF _Toc57553866 \h </w:instrText>
          </w:r>
          <w:r>
            <w:fldChar w:fldCharType="separate"/>
          </w:r>
          <w:r>
            <w:t>15</w:t>
          </w:r>
          <w:r>
            <w:fldChar w:fldCharType="end"/>
          </w:r>
          <w:r>
            <w:fldChar w:fldCharType="end"/>
          </w:r>
        </w:p>
        <w:p>
          <w:pPr>
            <w:pStyle w:val="5"/>
            <w:tabs>
              <w:tab w:val="right" w:leader="dot" w:pos="8302"/>
            </w:tabs>
            <w:spacing w:line="360" w:lineRule="auto"/>
            <w:ind w:left="880"/>
            <w:rPr>
              <w:rFonts w:ascii="Calibri" w:hAnsiTheme="minorHAnsi" w:eastAsiaTheme="minorEastAsia" w:cstheme="minorBidi"/>
              <w:sz w:val="21"/>
              <w:szCs w:val="22"/>
            </w:rPr>
          </w:pPr>
          <w:r>
            <w:fldChar w:fldCharType="begin"/>
          </w:r>
          <w:r>
            <w:instrText xml:space="preserve"> HYPERLINK \l "_Toc57553867" </w:instrText>
          </w:r>
          <w:r>
            <w:fldChar w:fldCharType="separate"/>
          </w:r>
          <w:r>
            <w:rPr>
              <w:rStyle w:val="11"/>
              <w:rFonts w:hint="eastAsia" w:ascii="楷体_GB2312" w:eastAsia="楷体_GB2312" w:hAnsiTheme="minorEastAsia"/>
            </w:rPr>
            <w:t>（五）绩效评价方法</w:t>
          </w:r>
          <w:r>
            <w:tab/>
          </w:r>
          <w:r>
            <w:fldChar w:fldCharType="begin"/>
          </w:r>
          <w:r>
            <w:instrText xml:space="preserve"> PAGEREF _Toc57553867 \h </w:instrText>
          </w:r>
          <w:r>
            <w:fldChar w:fldCharType="separate"/>
          </w:r>
          <w:r>
            <w:t>15</w:t>
          </w:r>
          <w:r>
            <w:fldChar w:fldCharType="end"/>
          </w:r>
          <w:r>
            <w:fldChar w:fldCharType="end"/>
          </w:r>
        </w:p>
        <w:p>
          <w:pPr>
            <w:pStyle w:val="8"/>
            <w:tabs>
              <w:tab w:val="right" w:leader="dot" w:pos="8302"/>
            </w:tabs>
            <w:spacing w:line="360" w:lineRule="auto"/>
            <w:ind w:left="440"/>
            <w:rPr>
              <w:rFonts w:ascii="Calibri" w:hAnsiTheme="minorHAnsi" w:eastAsiaTheme="minorEastAsia" w:cstheme="minorBidi"/>
              <w:sz w:val="21"/>
              <w:szCs w:val="22"/>
            </w:rPr>
          </w:pPr>
          <w:r>
            <w:fldChar w:fldCharType="begin"/>
          </w:r>
          <w:r>
            <w:instrText xml:space="preserve"> HYPERLINK \l "_Toc57553868" </w:instrText>
          </w:r>
          <w:r>
            <w:fldChar w:fldCharType="separate"/>
          </w:r>
          <w:r>
            <w:rPr>
              <w:rStyle w:val="11"/>
              <w:rFonts w:hint="eastAsia" w:ascii="黑体"/>
            </w:rPr>
            <w:t>四、绩效评价评分情况</w:t>
          </w:r>
          <w:r>
            <w:tab/>
          </w:r>
          <w:r>
            <w:fldChar w:fldCharType="begin"/>
          </w:r>
          <w:r>
            <w:instrText xml:space="preserve"> PAGEREF _Toc57553868 \h </w:instrText>
          </w:r>
          <w:r>
            <w:fldChar w:fldCharType="separate"/>
          </w:r>
          <w:r>
            <w:t>17</w:t>
          </w:r>
          <w:r>
            <w:fldChar w:fldCharType="end"/>
          </w:r>
          <w:r>
            <w:fldChar w:fldCharType="end"/>
          </w:r>
        </w:p>
        <w:p>
          <w:pPr>
            <w:pStyle w:val="5"/>
            <w:tabs>
              <w:tab w:val="right" w:leader="dot" w:pos="8302"/>
            </w:tabs>
            <w:spacing w:line="360" w:lineRule="auto"/>
            <w:ind w:left="880"/>
            <w:rPr>
              <w:rFonts w:ascii="Calibri" w:hAnsiTheme="minorHAnsi" w:eastAsiaTheme="minorEastAsia" w:cstheme="minorBidi"/>
              <w:sz w:val="21"/>
              <w:szCs w:val="22"/>
            </w:rPr>
          </w:pPr>
          <w:r>
            <w:fldChar w:fldCharType="begin"/>
          </w:r>
          <w:r>
            <w:instrText xml:space="preserve"> HYPERLINK \l "_Toc57553869" </w:instrText>
          </w:r>
          <w:r>
            <w:fldChar w:fldCharType="separate"/>
          </w:r>
          <w:r>
            <w:rPr>
              <w:rStyle w:val="11"/>
              <w:rFonts w:hint="eastAsia" w:ascii="楷体_GB2312" w:eastAsia="楷体_GB2312" w:hAnsiTheme="minorEastAsia"/>
            </w:rPr>
            <w:t>（一）投入（</w:t>
          </w:r>
          <w:r>
            <w:rPr>
              <w:rStyle w:val="11"/>
              <w:rFonts w:ascii="楷体_GB2312" w:eastAsia="楷体_GB2312" w:hAnsiTheme="minorEastAsia"/>
            </w:rPr>
            <w:t>10</w:t>
          </w:r>
          <w:r>
            <w:rPr>
              <w:rStyle w:val="11"/>
              <w:rFonts w:hint="eastAsia" w:ascii="楷体_GB2312" w:eastAsia="楷体_GB2312" w:hAnsiTheme="minorEastAsia"/>
            </w:rPr>
            <w:t>分）</w:t>
          </w:r>
          <w:r>
            <w:tab/>
          </w:r>
          <w:r>
            <w:fldChar w:fldCharType="begin"/>
          </w:r>
          <w:r>
            <w:instrText xml:space="preserve"> PAGEREF _Toc57553869 \h </w:instrText>
          </w:r>
          <w:r>
            <w:fldChar w:fldCharType="separate"/>
          </w:r>
          <w:r>
            <w:t>17</w:t>
          </w:r>
          <w:r>
            <w:fldChar w:fldCharType="end"/>
          </w:r>
          <w:r>
            <w:fldChar w:fldCharType="end"/>
          </w:r>
        </w:p>
        <w:p>
          <w:pPr>
            <w:pStyle w:val="5"/>
            <w:tabs>
              <w:tab w:val="right" w:leader="dot" w:pos="8302"/>
            </w:tabs>
            <w:spacing w:line="360" w:lineRule="auto"/>
            <w:ind w:left="880"/>
            <w:rPr>
              <w:rFonts w:ascii="Calibri" w:hAnsiTheme="minorHAnsi" w:eastAsiaTheme="minorEastAsia" w:cstheme="minorBidi"/>
              <w:sz w:val="21"/>
              <w:szCs w:val="22"/>
            </w:rPr>
          </w:pPr>
          <w:r>
            <w:fldChar w:fldCharType="begin"/>
          </w:r>
          <w:r>
            <w:instrText xml:space="preserve"> HYPERLINK \l "_Toc57553870" </w:instrText>
          </w:r>
          <w:r>
            <w:fldChar w:fldCharType="separate"/>
          </w:r>
          <w:r>
            <w:rPr>
              <w:rStyle w:val="11"/>
              <w:rFonts w:hint="eastAsia" w:ascii="楷体" w:hAnsi="楷体" w:eastAsia="楷体"/>
            </w:rPr>
            <w:t>（二）过程（</w:t>
          </w:r>
          <w:r>
            <w:rPr>
              <w:rStyle w:val="11"/>
              <w:rFonts w:ascii="楷体" w:hAnsi="楷体" w:eastAsia="楷体"/>
            </w:rPr>
            <w:t>48</w:t>
          </w:r>
          <w:r>
            <w:rPr>
              <w:rStyle w:val="11"/>
              <w:rFonts w:hint="eastAsia" w:ascii="楷体" w:hAnsi="楷体" w:eastAsia="楷体"/>
            </w:rPr>
            <w:t>分）</w:t>
          </w:r>
          <w:r>
            <w:tab/>
          </w:r>
          <w:r>
            <w:fldChar w:fldCharType="begin"/>
          </w:r>
          <w:r>
            <w:instrText xml:space="preserve"> PAGEREF _Toc57553870 \h </w:instrText>
          </w:r>
          <w:r>
            <w:fldChar w:fldCharType="separate"/>
          </w:r>
          <w:r>
            <w:t>21</w:t>
          </w:r>
          <w:r>
            <w:fldChar w:fldCharType="end"/>
          </w:r>
          <w:r>
            <w:fldChar w:fldCharType="end"/>
          </w:r>
        </w:p>
        <w:p>
          <w:pPr>
            <w:pStyle w:val="5"/>
            <w:tabs>
              <w:tab w:val="right" w:leader="dot" w:pos="8302"/>
            </w:tabs>
            <w:spacing w:line="360" w:lineRule="auto"/>
            <w:ind w:left="880"/>
            <w:rPr>
              <w:rFonts w:ascii="Calibri" w:hAnsiTheme="minorHAnsi" w:eastAsiaTheme="minorEastAsia" w:cstheme="minorBidi"/>
              <w:sz w:val="21"/>
              <w:szCs w:val="22"/>
            </w:rPr>
          </w:pPr>
          <w:r>
            <w:fldChar w:fldCharType="begin"/>
          </w:r>
          <w:r>
            <w:instrText xml:space="preserve"> HYPERLINK \l "_Toc57553871" </w:instrText>
          </w:r>
          <w:r>
            <w:fldChar w:fldCharType="separate"/>
          </w:r>
          <w:r>
            <w:rPr>
              <w:rStyle w:val="11"/>
              <w:rFonts w:hint="eastAsia" w:ascii="楷体" w:hAnsi="楷体" w:eastAsia="楷体"/>
            </w:rPr>
            <w:t>（三）产出（</w:t>
          </w:r>
          <w:r>
            <w:rPr>
              <w:rStyle w:val="11"/>
              <w:rFonts w:ascii="楷体" w:hAnsi="楷体" w:eastAsia="楷体"/>
            </w:rPr>
            <w:t>25</w:t>
          </w:r>
          <w:r>
            <w:rPr>
              <w:rStyle w:val="11"/>
              <w:rFonts w:hint="eastAsia" w:ascii="楷体" w:hAnsi="楷体" w:eastAsia="楷体"/>
            </w:rPr>
            <w:t>分）</w:t>
          </w:r>
          <w:r>
            <w:tab/>
          </w:r>
          <w:r>
            <w:fldChar w:fldCharType="begin"/>
          </w:r>
          <w:r>
            <w:instrText xml:space="preserve"> PAGEREF _Toc57553871 \h </w:instrText>
          </w:r>
          <w:r>
            <w:fldChar w:fldCharType="separate"/>
          </w:r>
          <w:r>
            <w:t>29</w:t>
          </w:r>
          <w:r>
            <w:fldChar w:fldCharType="end"/>
          </w:r>
          <w:r>
            <w:fldChar w:fldCharType="end"/>
          </w:r>
        </w:p>
        <w:p>
          <w:pPr>
            <w:pStyle w:val="5"/>
            <w:tabs>
              <w:tab w:val="right" w:leader="dot" w:pos="8302"/>
            </w:tabs>
            <w:spacing w:line="360" w:lineRule="auto"/>
            <w:ind w:left="880"/>
            <w:rPr>
              <w:rFonts w:ascii="Calibri" w:hAnsiTheme="minorHAnsi" w:eastAsiaTheme="minorEastAsia" w:cstheme="minorBidi"/>
              <w:sz w:val="21"/>
              <w:szCs w:val="22"/>
            </w:rPr>
          </w:pPr>
          <w:r>
            <w:fldChar w:fldCharType="begin"/>
          </w:r>
          <w:r>
            <w:instrText xml:space="preserve"> HYPERLINK \l "_Toc57553872" </w:instrText>
          </w:r>
          <w:r>
            <w:fldChar w:fldCharType="separate"/>
          </w:r>
          <w:r>
            <w:rPr>
              <w:rStyle w:val="11"/>
              <w:rFonts w:hint="eastAsia" w:ascii="楷体" w:hAnsi="楷体" w:eastAsia="楷体"/>
            </w:rPr>
            <w:t>（四）效果（</w:t>
          </w:r>
          <w:r>
            <w:rPr>
              <w:rStyle w:val="11"/>
              <w:rFonts w:ascii="楷体" w:hAnsi="楷体" w:eastAsia="楷体"/>
            </w:rPr>
            <w:t>15</w:t>
          </w:r>
          <w:r>
            <w:rPr>
              <w:rStyle w:val="11"/>
              <w:rFonts w:hint="eastAsia" w:ascii="楷体" w:hAnsi="楷体" w:eastAsia="楷体"/>
            </w:rPr>
            <w:t>分）</w:t>
          </w:r>
          <w:r>
            <w:tab/>
          </w:r>
          <w:r>
            <w:fldChar w:fldCharType="begin"/>
          </w:r>
          <w:r>
            <w:instrText xml:space="preserve"> PAGEREF _Toc57553872 \h </w:instrText>
          </w:r>
          <w:r>
            <w:fldChar w:fldCharType="separate"/>
          </w:r>
          <w:r>
            <w:t>31</w:t>
          </w:r>
          <w:r>
            <w:fldChar w:fldCharType="end"/>
          </w:r>
          <w:r>
            <w:fldChar w:fldCharType="end"/>
          </w:r>
        </w:p>
        <w:p>
          <w:pPr>
            <w:pStyle w:val="8"/>
            <w:tabs>
              <w:tab w:val="right" w:leader="dot" w:pos="8302"/>
            </w:tabs>
            <w:spacing w:line="360" w:lineRule="auto"/>
            <w:ind w:left="440"/>
            <w:rPr>
              <w:rFonts w:ascii="Calibri" w:hAnsiTheme="minorHAnsi" w:eastAsiaTheme="minorEastAsia" w:cstheme="minorBidi"/>
              <w:sz w:val="21"/>
              <w:szCs w:val="22"/>
            </w:rPr>
          </w:pPr>
          <w:r>
            <w:fldChar w:fldCharType="begin"/>
          </w:r>
          <w:r>
            <w:instrText xml:space="preserve"> HYPERLINK \l "_Toc57553873" </w:instrText>
          </w:r>
          <w:r>
            <w:fldChar w:fldCharType="separate"/>
          </w:r>
          <w:r>
            <w:rPr>
              <w:rStyle w:val="11"/>
              <w:rFonts w:hint="eastAsia" w:ascii="黑体"/>
            </w:rPr>
            <w:t>五、绩效评价发现的问题</w:t>
          </w:r>
          <w:r>
            <w:tab/>
          </w:r>
          <w:r>
            <w:fldChar w:fldCharType="begin"/>
          </w:r>
          <w:r>
            <w:instrText xml:space="preserve"> PAGEREF _Toc57553873 \h </w:instrText>
          </w:r>
          <w:r>
            <w:fldChar w:fldCharType="separate"/>
          </w:r>
          <w:r>
            <w:t>33</w:t>
          </w:r>
          <w:r>
            <w:fldChar w:fldCharType="end"/>
          </w:r>
          <w:r>
            <w:fldChar w:fldCharType="end"/>
          </w:r>
        </w:p>
        <w:p>
          <w:pPr>
            <w:pStyle w:val="8"/>
            <w:tabs>
              <w:tab w:val="right" w:leader="dot" w:pos="8302"/>
            </w:tabs>
            <w:spacing w:line="360" w:lineRule="auto"/>
            <w:ind w:left="440"/>
            <w:rPr>
              <w:rFonts w:ascii="Calibri" w:hAnsiTheme="minorHAnsi" w:eastAsiaTheme="minorEastAsia" w:cstheme="minorBidi"/>
              <w:sz w:val="21"/>
              <w:szCs w:val="22"/>
            </w:rPr>
          </w:pPr>
          <w:r>
            <w:fldChar w:fldCharType="begin"/>
          </w:r>
          <w:r>
            <w:instrText xml:space="preserve"> HYPERLINK \l "_Toc57553874" </w:instrText>
          </w:r>
          <w:r>
            <w:fldChar w:fldCharType="separate"/>
          </w:r>
          <w:r>
            <w:rPr>
              <w:rStyle w:val="11"/>
              <w:rFonts w:hint="eastAsia" w:ascii="黑体"/>
            </w:rPr>
            <w:t>六、绩效评价意见及建议</w:t>
          </w:r>
          <w:r>
            <w:tab/>
          </w:r>
          <w:r>
            <w:fldChar w:fldCharType="begin"/>
          </w:r>
          <w:r>
            <w:instrText xml:space="preserve"> PAGEREF _Toc57553874 \h </w:instrText>
          </w:r>
          <w:r>
            <w:fldChar w:fldCharType="separate"/>
          </w:r>
          <w:r>
            <w:t>35</w:t>
          </w:r>
          <w:r>
            <w:fldChar w:fldCharType="end"/>
          </w:r>
          <w:r>
            <w:fldChar w:fldCharType="end"/>
          </w:r>
        </w:p>
        <w:p>
          <w:pPr>
            <w:spacing w:line="360" w:lineRule="auto"/>
            <w:ind w:firstLine="440"/>
            <w:jc w:val="both"/>
            <w:sectPr>
              <w:headerReference r:id="rId3" w:type="default"/>
              <w:pgSz w:w="11906" w:h="16838"/>
              <w:pgMar w:top="1440" w:right="1797" w:bottom="1191" w:left="1797" w:header="709" w:footer="709" w:gutter="0"/>
              <w:pgNumType w:start="1"/>
              <w:cols w:space="708" w:num="1"/>
              <w:docGrid w:linePitch="360" w:charSpace="0"/>
            </w:sectPr>
          </w:pPr>
          <w:r>
            <w:rPr>
              <w:rFonts w:asciiTheme="minorEastAsia" w:hAnsiTheme="minorEastAsia" w:eastAsiaTheme="minorEastAsia"/>
              <w:szCs w:val="24"/>
            </w:rPr>
            <w:fldChar w:fldCharType="end"/>
          </w:r>
        </w:p>
      </w:sdtContent>
    </w:sdt>
    <w:p>
      <w:pPr>
        <w:pStyle w:val="3"/>
        <w:spacing w:line="540" w:lineRule="exact"/>
        <w:ind w:firstLine="640"/>
        <w:jc w:val="center"/>
        <w:rPr>
          <w:rFonts w:ascii="黑体" w:hAnsi="黑体"/>
          <w:b w:val="0"/>
        </w:rPr>
      </w:pPr>
      <w:bookmarkStart w:id="0" w:name="_Toc57553851"/>
      <w:r>
        <w:rPr>
          <w:rFonts w:hint="eastAsia" w:ascii="黑体" w:hAnsi="黑体"/>
          <w:b w:val="0"/>
        </w:rPr>
        <w:t>第一部分   摘  要</w:t>
      </w:r>
      <w:bookmarkEnd w:id="0"/>
    </w:p>
    <w:p>
      <w:pPr>
        <w:spacing w:after="0" w:line="360" w:lineRule="auto"/>
        <w:ind w:firstLine="640"/>
        <w:jc w:val="both"/>
        <w:textAlignment w:val="baseline"/>
        <w:rPr>
          <w:rFonts w:ascii="仿宋_GB2312" w:eastAsia="仿宋_GB2312" w:cs="DengXian-Regular"/>
          <w:sz w:val="32"/>
          <w:szCs w:val="32"/>
        </w:rPr>
      </w:pPr>
      <w:r>
        <w:rPr>
          <w:rFonts w:hint="eastAsia" w:ascii="仿宋_GB2312" w:eastAsia="仿宋_GB2312" w:cs="DengXian-Regular"/>
          <w:sz w:val="32"/>
          <w:szCs w:val="32"/>
        </w:rPr>
        <w:t>为深入贯彻落实中共中央国务院《关于全面实施预算绩效管理的意见》、中共河北省委河北省人民政府《关于全面实施预算绩效管理的实施意见》、河北省财政厅《全面实施预算绩效管理推进工作方案》的精神，进一步加强和规范预算绩效运行监控工作，确保绩效目标如期保质保量实现，提高预算执行效率和财政资金使用效益，我单位对2019年部门整体支出情况开展了绩效自评价工作。</w:t>
      </w:r>
    </w:p>
    <w:p>
      <w:pPr>
        <w:spacing w:line="360" w:lineRule="auto"/>
        <w:ind w:firstLine="640"/>
        <w:rPr>
          <w:rFonts w:ascii="仿宋" w:hAnsi="仿宋" w:eastAsia="仿宋" w:cs="宋体"/>
          <w:color w:val="000000"/>
          <w:sz w:val="30"/>
          <w:szCs w:val="30"/>
        </w:rPr>
      </w:pPr>
      <w:r>
        <w:rPr>
          <w:rFonts w:hint="eastAsia" w:ascii="仿宋_GB2312" w:eastAsia="仿宋_GB2312" w:cs="DengXian-Regular"/>
          <w:sz w:val="32"/>
          <w:szCs w:val="32"/>
        </w:rPr>
        <w:t>中国人民政治协商会议保定市徐水区委员会为正处级行政单位，经费保障形式为财政拨款，下设3个股室，分别为办公室、</w:t>
      </w:r>
      <w:r>
        <w:rPr>
          <w:rFonts w:hint="eastAsia" w:ascii="仿宋" w:hAnsi="仿宋" w:eastAsia="仿宋" w:cs="宋体"/>
          <w:sz w:val="30"/>
          <w:szCs w:val="30"/>
        </w:rPr>
        <w:t>经济法制建设委员会、</w:t>
      </w:r>
      <w:r>
        <w:rPr>
          <w:rFonts w:hint="eastAsia" w:ascii="仿宋" w:hAnsi="仿宋" w:eastAsia="仿宋" w:cs="宋体"/>
          <w:color w:val="000000"/>
          <w:sz w:val="30"/>
          <w:szCs w:val="30"/>
        </w:rPr>
        <w:t>宣教文卫委员会</w:t>
      </w:r>
      <w:r>
        <w:rPr>
          <w:rFonts w:hint="eastAsia" w:ascii="仿宋_GB2312" w:eastAsia="仿宋_GB2312" w:cs="DengXian-Regular"/>
          <w:sz w:val="32"/>
          <w:szCs w:val="32"/>
        </w:rPr>
        <w:t>主要职责有：</w:t>
      </w:r>
    </w:p>
    <w:p>
      <w:pPr>
        <w:widowControl w:val="0"/>
        <w:adjustRightInd/>
        <w:snapToGrid/>
        <w:spacing w:after="0" w:line="360" w:lineRule="auto"/>
        <w:ind w:firstLine="480"/>
        <w:jc w:val="both"/>
        <w:rPr>
          <w:rFonts w:ascii="仿宋" w:hAnsi="仿宋" w:eastAsia="仿宋" w:cs="Times New Roman"/>
          <w:kern w:val="2"/>
          <w:sz w:val="32"/>
          <w:szCs w:val="32"/>
        </w:rPr>
      </w:pPr>
      <w:r>
        <w:rPr>
          <w:rFonts w:hint="eastAsia" w:ascii="仿宋" w:hAnsi="仿宋" w:eastAsia="仿宋" w:cs="Times New Roman"/>
          <w:kern w:val="2"/>
          <w:sz w:val="32"/>
          <w:szCs w:val="32"/>
        </w:rPr>
        <w:t>（一）在本行政区域内,保证宪法、法律、行政法规和区政协全体会议及其</w:t>
      </w:r>
      <w:bookmarkStart w:id="77" w:name="_GoBack"/>
      <w:bookmarkEnd w:id="77"/>
      <w:r>
        <w:rPr>
          <w:rFonts w:hint="eastAsia" w:ascii="仿宋" w:hAnsi="仿宋" w:eastAsia="仿宋" w:cs="Times New Roman"/>
          <w:kern w:val="2"/>
          <w:sz w:val="32"/>
          <w:szCs w:val="32"/>
        </w:rPr>
        <w:t>常委会会议的遵守和执行；</w:t>
      </w:r>
    </w:p>
    <w:p>
      <w:pPr>
        <w:widowControl w:val="0"/>
        <w:adjustRightInd/>
        <w:snapToGrid/>
        <w:spacing w:after="0" w:line="360" w:lineRule="auto"/>
        <w:ind w:firstLine="480"/>
        <w:jc w:val="both"/>
        <w:rPr>
          <w:rFonts w:ascii="仿宋" w:hAnsi="仿宋" w:eastAsia="仿宋" w:cs="Times New Roman"/>
          <w:kern w:val="2"/>
          <w:sz w:val="32"/>
          <w:szCs w:val="32"/>
        </w:rPr>
      </w:pPr>
      <w:r>
        <w:rPr>
          <w:rFonts w:hint="eastAsia" w:ascii="仿宋" w:hAnsi="仿宋" w:eastAsia="仿宋" w:cs="Times New Roman"/>
          <w:kern w:val="2"/>
          <w:sz w:val="32"/>
          <w:szCs w:val="32"/>
        </w:rPr>
        <w:t>（二）召集区政协委员全体会议；</w:t>
      </w:r>
    </w:p>
    <w:p>
      <w:pPr>
        <w:widowControl w:val="0"/>
        <w:adjustRightInd/>
        <w:snapToGrid/>
        <w:spacing w:after="0" w:line="360" w:lineRule="auto"/>
        <w:ind w:firstLine="480"/>
        <w:jc w:val="both"/>
        <w:rPr>
          <w:rFonts w:ascii="仿宋" w:hAnsi="仿宋" w:eastAsia="仿宋" w:cs="Times New Roman"/>
          <w:kern w:val="2"/>
          <w:sz w:val="32"/>
          <w:szCs w:val="32"/>
        </w:rPr>
      </w:pPr>
      <w:r>
        <w:rPr>
          <w:rFonts w:hint="eastAsia" w:ascii="仿宋" w:hAnsi="仿宋" w:eastAsia="仿宋" w:cs="Times New Roman"/>
          <w:kern w:val="2"/>
          <w:sz w:val="32"/>
          <w:szCs w:val="32"/>
        </w:rPr>
        <w:t>（三）视察、调研重大问题以及人民群众普遍关心的问题，开展调查研究，反映社情民意，进行协商讨论，以调研报告、建议案或其他形式，向区委、区政府提出意见和建议。</w:t>
      </w:r>
    </w:p>
    <w:p>
      <w:pPr>
        <w:widowControl w:val="0"/>
        <w:adjustRightInd/>
        <w:snapToGrid/>
        <w:spacing w:after="0" w:line="360" w:lineRule="auto"/>
        <w:ind w:firstLine="480"/>
        <w:jc w:val="both"/>
        <w:rPr>
          <w:rFonts w:ascii="仿宋" w:hAnsi="仿宋" w:eastAsia="仿宋" w:cs="Times New Roman"/>
          <w:kern w:val="2"/>
          <w:sz w:val="32"/>
          <w:szCs w:val="32"/>
        </w:rPr>
      </w:pPr>
      <w:r>
        <w:rPr>
          <w:rFonts w:hint="eastAsia" w:ascii="仿宋" w:hAnsi="仿宋" w:eastAsia="仿宋" w:cs="Times New Roman"/>
          <w:kern w:val="2"/>
          <w:sz w:val="32"/>
          <w:szCs w:val="32"/>
        </w:rPr>
        <w:t>（四）有效履行民主监督职责，发挥好协调关系、汇聚力量、建言献策、服务大局的作用。通过意见、建议、批评的方式对区委、区政府重大方针政策的贯彻执行、区委和区政府的工作进行政治监督。</w:t>
      </w:r>
    </w:p>
    <w:p>
      <w:pPr>
        <w:widowControl w:val="0"/>
        <w:adjustRightInd/>
        <w:snapToGrid/>
        <w:spacing w:after="0" w:line="360" w:lineRule="auto"/>
        <w:ind w:firstLine="480"/>
        <w:jc w:val="both"/>
        <w:rPr>
          <w:rFonts w:ascii="仿宋" w:hAnsi="仿宋" w:eastAsia="仿宋" w:cs="Times New Roman"/>
          <w:kern w:val="2"/>
          <w:sz w:val="32"/>
          <w:szCs w:val="32"/>
        </w:rPr>
      </w:pPr>
      <w:r>
        <w:rPr>
          <w:rFonts w:hint="eastAsia" w:ascii="仿宋" w:hAnsi="仿宋" w:eastAsia="仿宋" w:cs="Times New Roman"/>
          <w:kern w:val="2"/>
          <w:sz w:val="32"/>
          <w:szCs w:val="32"/>
        </w:rPr>
        <w:t>（五）在区政协委员全体会议闭会期间，补选区政协委员全体会议出缺的委员和罢免个别委员；</w:t>
      </w:r>
    </w:p>
    <w:p>
      <w:pPr>
        <w:spacing w:after="0" w:line="360" w:lineRule="auto"/>
        <w:ind w:firstLine="640"/>
        <w:jc w:val="both"/>
        <w:textAlignment w:val="baseline"/>
        <w:rPr>
          <w:rFonts w:ascii="仿宋_GB2312" w:eastAsia="仿宋_GB2312" w:cs="DengXian-Regular"/>
          <w:sz w:val="32"/>
          <w:szCs w:val="32"/>
        </w:rPr>
      </w:pPr>
      <w:r>
        <w:rPr>
          <w:rFonts w:hint="eastAsia" w:ascii="仿宋_GB2312" w:eastAsia="仿宋_GB2312" w:cs="DengXian-Regular"/>
          <w:sz w:val="32"/>
          <w:szCs w:val="32"/>
        </w:rPr>
        <w:t>绩效评价是制定科学合理的评价方法、评价标准和指标体系，对财政资金的使用及产生的效益进行客观、公正的评价。通过部门整体支出绩效评价工作了解部门绩效目标和指标的设置及完成情况；部门整体资金预算情况、实际收支及结转结余情况；部门履职对社会发展所带来的直接或间接影响及服务对象对部门履职效果的满意程度，促使相关部门根据绩效评价过程中发现的问题，及时整改并总结经验，提高部门管理水平，牢固树立预算绩效理念，强化部门支出责任，提高预算执行效率和财政资金使用效益。</w:t>
      </w:r>
    </w:p>
    <w:p>
      <w:pPr>
        <w:spacing w:after="0" w:line="360" w:lineRule="auto"/>
        <w:ind w:firstLine="640"/>
        <w:jc w:val="both"/>
        <w:textAlignment w:val="baseline"/>
        <w:rPr>
          <w:rFonts w:ascii="仿宋_GB2312" w:eastAsia="仿宋_GB2312" w:cs="DengXian-Regular"/>
          <w:sz w:val="32"/>
          <w:szCs w:val="32"/>
        </w:rPr>
      </w:pPr>
      <w:r>
        <w:rPr>
          <w:rFonts w:hint="eastAsia" w:ascii="仿宋_GB2312" w:eastAsia="仿宋_GB2312" w:cs="DengXian-Regular"/>
          <w:sz w:val="32"/>
          <w:szCs w:val="32"/>
        </w:rPr>
        <w:t>评价工作经过了前期准备、绩效评价实施方案和指标体系制定、组织实施、绩效评价报告撰写四个阶段。</w:t>
      </w:r>
    </w:p>
    <w:p>
      <w:pPr>
        <w:spacing w:after="0" w:line="360" w:lineRule="auto"/>
        <w:ind w:firstLine="640"/>
        <w:jc w:val="both"/>
        <w:textAlignment w:val="baseline"/>
        <w:rPr>
          <w:rFonts w:ascii="仿宋_GB2312" w:eastAsia="仿宋_GB2312" w:cs="DengXian-Regular"/>
          <w:sz w:val="32"/>
          <w:szCs w:val="32"/>
        </w:rPr>
      </w:pPr>
      <w:r>
        <w:rPr>
          <w:rFonts w:hint="eastAsia" w:ascii="仿宋_GB2312" w:eastAsia="仿宋_GB2312" w:cs="DengXian-Regular"/>
          <w:sz w:val="32"/>
          <w:szCs w:val="32"/>
        </w:rPr>
        <w:t>按照中共河北省委河北省人民政府《关于全面实施预算绩效管理的实施意见》的相关规定，以河北省财政厅《全面实施预算绩效管理推进工作方案》、《保定市徐水区部门预算绩效运行监控工作规程》中的相关工作要求作为评价标准，采取定量和定性评价相结合的方法，对资料进行审核、分析，实事求是、客观公正地完成了中国人民政治协商会议保定市徐水区委员会办公室2019年部门整体支出绩效评价工作。</w:t>
      </w:r>
    </w:p>
    <w:p>
      <w:pPr>
        <w:spacing w:after="0" w:line="360" w:lineRule="auto"/>
        <w:ind w:firstLine="640"/>
        <w:jc w:val="both"/>
        <w:textAlignment w:val="baseline"/>
        <w:rPr>
          <w:rFonts w:ascii="仿宋_GB2312" w:eastAsia="仿宋_GB2312" w:cs="DengXian-Regular"/>
          <w:sz w:val="32"/>
          <w:szCs w:val="32"/>
        </w:rPr>
      </w:pPr>
      <w:r>
        <w:rPr>
          <w:rFonts w:hint="eastAsia" w:ascii="仿宋_GB2312" w:eastAsia="仿宋_GB2312" w:cs="DengXian-Regular"/>
          <w:sz w:val="32"/>
          <w:szCs w:val="32"/>
        </w:rPr>
        <w:t>中国人民政治协商会议保定市徐水区委员会办公室2019年部门整体支出绩效评价指标体系共设置4个一级指标、7个二级指标、27个三级指标，从投入、过程、产出、效果四个方面对中共保定市徐水区委组织部单位部门整体支出情况评分定级。指标体系设定满分为100分，绩效评价分值≥90为“优”；80≤分值＜90为“良”；60≤分值＜80为“合格”；60分以下为“差”。</w:t>
      </w:r>
    </w:p>
    <w:p>
      <w:pPr>
        <w:spacing w:after="0" w:line="360" w:lineRule="auto"/>
        <w:ind w:firstLine="640"/>
        <w:jc w:val="both"/>
        <w:textAlignment w:val="baseline"/>
        <w:rPr>
          <w:rFonts w:ascii="仿宋_GB2312" w:eastAsia="仿宋_GB2312" w:cs="DengXian-Regular"/>
          <w:sz w:val="32"/>
          <w:szCs w:val="32"/>
        </w:rPr>
      </w:pPr>
      <w:r>
        <w:rPr>
          <w:rFonts w:hint="eastAsia" w:ascii="仿宋_GB2312" w:eastAsia="仿宋_GB2312" w:cs="DengXian-Regular"/>
          <w:sz w:val="32"/>
          <w:szCs w:val="32"/>
        </w:rPr>
        <w:t>中国人民政治协商会议保定市徐水区委员会办公室2019年部门整体支出综合评价得分为92分，评价等级为“优”。</w:t>
      </w:r>
    </w:p>
    <w:p>
      <w:pPr>
        <w:spacing w:after="0" w:line="360" w:lineRule="auto"/>
        <w:ind w:firstLine="640"/>
        <w:jc w:val="both"/>
        <w:textAlignment w:val="baseline"/>
        <w:rPr>
          <w:rFonts w:ascii="仿宋_GB2312" w:eastAsia="仿宋_GB2312" w:cs="DengXian-Regular"/>
          <w:sz w:val="32"/>
          <w:szCs w:val="32"/>
        </w:rPr>
      </w:pPr>
      <w:r>
        <w:rPr>
          <w:rFonts w:hint="eastAsia" w:ascii="仿宋_GB2312" w:eastAsia="仿宋_GB2312" w:cs="DengXian-Regular"/>
          <w:sz w:val="32"/>
          <w:szCs w:val="32"/>
        </w:rPr>
        <w:t>经评价，中国人民政治协商会议保定市徐水区委员会办公室2019年部门预算编制完整性、项目预算细化率、在职人员控制率、收入完成率、财政拨款支出完成率、“三公经费”控制率、资金使用合规性、决算真实性、管理制度健全性、预决算信息公开、资产管理规范性、绩效自评覆盖率、绩效评价优等率、结转结余率、部门整体效益等指标完成情况较好。</w:t>
      </w:r>
    </w:p>
    <w:p>
      <w:pPr>
        <w:spacing w:after="0" w:line="360" w:lineRule="auto"/>
        <w:ind w:firstLine="640"/>
        <w:jc w:val="both"/>
        <w:textAlignment w:val="baseline"/>
        <w:rPr>
          <w:rFonts w:ascii="仿宋_GB2312" w:eastAsia="仿宋_GB2312" w:cs="DengXian-Regular"/>
          <w:sz w:val="32"/>
          <w:szCs w:val="32"/>
        </w:rPr>
      </w:pPr>
      <w:r>
        <w:rPr>
          <w:rFonts w:hint="eastAsia" w:ascii="仿宋_GB2312" w:eastAsia="仿宋_GB2312" w:cs="DengXian-Regular"/>
          <w:sz w:val="32"/>
          <w:szCs w:val="32"/>
        </w:rPr>
        <w:t>通过本次绩效评价工作，发现我单位在以下几个方面存在一些不足之处，具体如下：</w:t>
      </w:r>
    </w:p>
    <w:p>
      <w:pPr>
        <w:ind w:firstLine="640"/>
        <w:rPr>
          <w:rFonts w:ascii="仿宋_GB2312" w:eastAsia="仿宋_GB2312" w:cs="DengXian-Regular"/>
          <w:sz w:val="32"/>
          <w:szCs w:val="32"/>
        </w:rPr>
      </w:pPr>
      <w:r>
        <w:rPr>
          <w:rFonts w:hint="eastAsia" w:ascii="仿宋_GB2312" w:eastAsia="仿宋_GB2312" w:cs="DengXian-Regular"/>
          <w:sz w:val="32"/>
          <w:szCs w:val="32"/>
        </w:rPr>
        <w:t>1.绩效指标方面</w:t>
      </w:r>
    </w:p>
    <w:p>
      <w:pPr>
        <w:spacing w:after="0" w:line="360" w:lineRule="auto"/>
        <w:ind w:firstLine="640"/>
        <w:jc w:val="both"/>
        <w:textAlignment w:val="baseline"/>
        <w:rPr>
          <w:rFonts w:ascii="仿宋_GB2312" w:eastAsia="仿宋_GB2312" w:cs="DengXian-Regular"/>
          <w:sz w:val="32"/>
          <w:szCs w:val="32"/>
        </w:rPr>
      </w:pPr>
      <w:r>
        <w:rPr>
          <w:rFonts w:hint="eastAsia" w:ascii="仿宋_GB2312" w:eastAsia="仿宋_GB2312" w:cs="DengXian-Regular"/>
          <w:sz w:val="32"/>
          <w:szCs w:val="32"/>
        </w:rPr>
        <w:t>预算文本—部门职责工作活动绩效目标表参政议政专题调研职责活动设置可评价、可衡量的绩效指标不详细，部门绩效目标未划分为具体的工作任务，不利于对绩效目标实际完成情况进行考核。</w:t>
      </w:r>
    </w:p>
    <w:p>
      <w:pPr>
        <w:ind w:firstLine="640"/>
        <w:rPr>
          <w:rFonts w:ascii="仿宋_GB2312" w:eastAsia="仿宋_GB2312" w:cs="DengXian-Regular"/>
          <w:sz w:val="32"/>
          <w:szCs w:val="32"/>
        </w:rPr>
      </w:pPr>
      <w:r>
        <w:rPr>
          <w:rFonts w:hint="eastAsia" w:ascii="仿宋_GB2312" w:eastAsia="仿宋_GB2312" w:cs="DengXian-Regular"/>
          <w:sz w:val="32"/>
          <w:szCs w:val="32"/>
        </w:rPr>
        <w:t>2、预算决算比较</w:t>
      </w:r>
    </w:p>
    <w:p>
      <w:pPr>
        <w:spacing w:after="0" w:line="360" w:lineRule="auto"/>
        <w:ind w:firstLine="640"/>
        <w:jc w:val="both"/>
        <w:textAlignment w:val="baseline"/>
        <w:rPr>
          <w:rFonts w:ascii="仿宋_GB2312" w:eastAsia="仿宋_GB2312" w:cs="DengXian-Regular"/>
          <w:sz w:val="32"/>
          <w:szCs w:val="32"/>
        </w:rPr>
      </w:pPr>
      <w:r>
        <w:rPr>
          <w:rFonts w:hint="eastAsia" w:ascii="仿宋_GB2312" w:eastAsia="仿宋_GB2312" w:cs="DengXian-Regular"/>
          <w:sz w:val="32"/>
          <w:szCs w:val="32"/>
        </w:rPr>
        <w:t>预算决算差额较大</w:t>
      </w:r>
    </w:p>
    <w:p>
      <w:pPr>
        <w:spacing w:after="0" w:line="360" w:lineRule="auto"/>
        <w:ind w:firstLine="640"/>
        <w:jc w:val="both"/>
        <w:textAlignment w:val="baseline"/>
        <w:rPr>
          <w:rFonts w:ascii="仿宋_GB2312" w:eastAsia="仿宋_GB2312" w:cs="DengXian-Regular"/>
          <w:sz w:val="32"/>
          <w:szCs w:val="32"/>
        </w:rPr>
      </w:pPr>
      <w:r>
        <w:rPr>
          <w:rFonts w:hint="eastAsia" w:ascii="仿宋_GB2312" w:eastAsia="仿宋_GB2312" w:cs="DengXian-Regular"/>
          <w:sz w:val="32"/>
          <w:szCs w:val="32"/>
        </w:rPr>
        <w:t>中国人民政治协商会议保定市徐水区委员会办公室预算收入、支出年初预算数均为553.67万元，决算收入476.88万元，较预算减少76.79万元，减少比例</w:t>
      </w:r>
      <w:r>
        <w:rPr>
          <w:rFonts w:ascii="仿宋_GB2312" w:eastAsia="仿宋_GB2312" w:cs="DengXian-Regular"/>
          <w:sz w:val="32"/>
          <w:szCs w:val="32"/>
        </w:rPr>
        <w:t>1</w:t>
      </w:r>
      <w:r>
        <w:rPr>
          <w:rFonts w:hint="eastAsia" w:ascii="仿宋_GB2312" w:eastAsia="仿宋_GB2312" w:cs="DengXian-Regular"/>
          <w:sz w:val="32"/>
          <w:szCs w:val="32"/>
        </w:rPr>
        <w:t>3.87%；决算支出483.74万元，较预算减少69.93万元，减少比例</w:t>
      </w:r>
      <w:r>
        <w:rPr>
          <w:rFonts w:ascii="仿宋_GB2312" w:eastAsia="仿宋_GB2312" w:cs="DengXian-Regular"/>
          <w:sz w:val="32"/>
          <w:szCs w:val="32"/>
        </w:rPr>
        <w:t>1</w:t>
      </w:r>
      <w:r>
        <w:rPr>
          <w:rFonts w:hint="eastAsia" w:ascii="仿宋_GB2312" w:eastAsia="仿宋_GB2312" w:cs="DengXian-Regular"/>
          <w:sz w:val="32"/>
          <w:szCs w:val="32"/>
        </w:rPr>
        <w:t>2.63%。决算数较预算数减少的主要原因为年</w:t>
      </w:r>
      <w:r>
        <w:rPr>
          <w:rFonts w:hint="eastAsia" w:ascii="仿宋_GB2312" w:hAnsi="仿宋" w:eastAsia="仿宋_GB2312"/>
          <w:sz w:val="32"/>
          <w:szCs w:val="32"/>
        </w:rPr>
        <w:t>2019年厉行节约压缩开支</w:t>
      </w:r>
      <w:r>
        <w:rPr>
          <w:rFonts w:hint="eastAsia" w:ascii="仿宋_GB2312" w:eastAsia="仿宋_GB2312" w:cs="DengXian-Regular"/>
          <w:sz w:val="32"/>
          <w:szCs w:val="32"/>
        </w:rPr>
        <w:t>。</w:t>
      </w:r>
    </w:p>
    <w:p>
      <w:pPr>
        <w:spacing w:after="0" w:line="360" w:lineRule="auto"/>
        <w:ind w:firstLine="640"/>
        <w:jc w:val="both"/>
        <w:textAlignment w:val="baseline"/>
        <w:rPr>
          <w:rFonts w:ascii="仿宋_GB2312" w:eastAsia="仿宋_GB2312" w:cs="DengXian-Regular"/>
          <w:sz w:val="32"/>
          <w:szCs w:val="32"/>
        </w:rPr>
      </w:pPr>
      <w:r>
        <w:rPr>
          <w:rFonts w:hint="eastAsia" w:ascii="仿宋_GB2312" w:eastAsia="仿宋_GB2312" w:cs="DengXian-Regular"/>
          <w:sz w:val="32"/>
          <w:szCs w:val="32"/>
        </w:rPr>
        <w:t>3、预算追加方面</w:t>
      </w:r>
    </w:p>
    <w:p>
      <w:pPr>
        <w:spacing w:after="0" w:line="360" w:lineRule="auto"/>
        <w:ind w:firstLine="640"/>
        <w:jc w:val="both"/>
        <w:textAlignment w:val="baseline"/>
        <w:rPr>
          <w:rFonts w:ascii="仿宋_GB2312" w:eastAsia="仿宋_GB2312" w:cs="DengXian-Regular"/>
          <w:sz w:val="32"/>
          <w:szCs w:val="32"/>
        </w:rPr>
      </w:pPr>
      <w:r>
        <w:rPr>
          <w:rFonts w:hint="eastAsia" w:ascii="仿宋_GB2312" w:eastAsia="仿宋_GB2312" w:cs="DengXian-Regular"/>
          <w:sz w:val="32"/>
          <w:szCs w:val="32"/>
        </w:rPr>
        <w:t>中国人民政治协商会议保定市徐水区委员会办公室2019年预算无追加调减。</w:t>
      </w:r>
    </w:p>
    <w:p>
      <w:pPr>
        <w:pStyle w:val="13"/>
        <w:numPr>
          <w:ilvl w:val="0"/>
          <w:numId w:val="1"/>
        </w:numPr>
        <w:spacing w:after="0" w:line="360" w:lineRule="auto"/>
        <w:jc w:val="both"/>
        <w:textAlignment w:val="baseline"/>
        <w:rPr>
          <w:rFonts w:ascii="仿宋_GB2312" w:eastAsia="仿宋_GB2312" w:cs="DengXian-Regular"/>
          <w:sz w:val="32"/>
          <w:szCs w:val="32"/>
        </w:rPr>
      </w:pPr>
      <w:r>
        <w:rPr>
          <w:rFonts w:hint="eastAsia" w:ascii="仿宋_GB2312" w:eastAsia="仿宋_GB2312" w:cs="DengXian-Regular"/>
          <w:sz w:val="32"/>
          <w:szCs w:val="32"/>
        </w:rPr>
        <w:t>政府采购方面</w:t>
      </w:r>
    </w:p>
    <w:p>
      <w:pPr>
        <w:spacing w:after="0" w:line="360" w:lineRule="auto"/>
        <w:ind w:firstLine="640"/>
        <w:jc w:val="both"/>
        <w:textAlignment w:val="baseline"/>
        <w:rPr>
          <w:rFonts w:ascii="仿宋_GB2312" w:eastAsia="仿宋_GB2312" w:cs="DengXian-Regular"/>
          <w:sz w:val="32"/>
          <w:szCs w:val="32"/>
        </w:rPr>
      </w:pPr>
      <w:r>
        <w:rPr>
          <w:rFonts w:hint="eastAsia" w:ascii="仿宋_GB2312" w:eastAsia="仿宋_GB2312" w:cs="DengXian-Regular"/>
          <w:sz w:val="32"/>
          <w:szCs w:val="32"/>
        </w:rPr>
        <w:t>未执行政府采购</w:t>
      </w:r>
    </w:p>
    <w:p>
      <w:pPr>
        <w:spacing w:after="0" w:line="360" w:lineRule="auto"/>
        <w:ind w:firstLine="640"/>
        <w:jc w:val="both"/>
        <w:textAlignment w:val="baseline"/>
        <w:rPr>
          <w:rFonts w:ascii="仿宋_GB2312" w:eastAsia="仿宋_GB2312" w:cs="DengXian-Regular"/>
          <w:sz w:val="32"/>
          <w:szCs w:val="32"/>
        </w:rPr>
      </w:pPr>
      <w:r>
        <w:rPr>
          <w:rFonts w:hint="eastAsia" w:ascii="仿宋_GB2312" w:eastAsia="仿宋_GB2312" w:cs="DengXian-Regular"/>
          <w:sz w:val="32"/>
          <w:szCs w:val="32"/>
        </w:rPr>
        <w:t>中国人民政治协商会议保定市徐水区委员会办公室年初预算政府采购金额0万元，决算金额0万元，本年未执行政府采购</w:t>
      </w:r>
    </w:p>
    <w:p>
      <w:pPr>
        <w:spacing w:after="0" w:line="360" w:lineRule="auto"/>
        <w:ind w:firstLine="640"/>
        <w:jc w:val="both"/>
        <w:textAlignment w:val="baseline"/>
        <w:rPr>
          <w:rFonts w:ascii="仿宋_GB2312" w:eastAsia="仿宋_GB2312" w:cs="DengXian-Regular"/>
          <w:sz w:val="32"/>
          <w:szCs w:val="32"/>
        </w:rPr>
      </w:pPr>
      <w:r>
        <w:rPr>
          <w:rFonts w:hint="eastAsia" w:ascii="仿宋_GB2312" w:eastAsia="仿宋_GB2312" w:cs="DengXian-Regular"/>
          <w:sz w:val="32"/>
          <w:szCs w:val="32"/>
        </w:rPr>
        <w:t>5、项目资金使用率方面</w:t>
      </w:r>
    </w:p>
    <w:p>
      <w:pPr>
        <w:spacing w:after="0" w:line="360" w:lineRule="auto"/>
        <w:ind w:firstLine="640"/>
        <w:jc w:val="both"/>
        <w:textAlignment w:val="baseline"/>
        <w:rPr>
          <w:rFonts w:ascii="仿宋_GB2312" w:eastAsia="仿宋_GB2312" w:cs="DengXian-Regular"/>
          <w:sz w:val="32"/>
          <w:szCs w:val="32"/>
        </w:rPr>
      </w:pPr>
      <w:r>
        <w:rPr>
          <w:rFonts w:hint="eastAsia" w:ascii="仿宋_GB2312" w:eastAsia="仿宋_GB2312" w:cs="DengXian-Regular"/>
          <w:sz w:val="32"/>
          <w:szCs w:val="32"/>
        </w:rPr>
        <w:t>项目资金使用率较低</w:t>
      </w:r>
    </w:p>
    <w:p>
      <w:pPr>
        <w:spacing w:after="0" w:line="360" w:lineRule="auto"/>
        <w:ind w:firstLine="640"/>
        <w:jc w:val="both"/>
        <w:textAlignment w:val="baseline"/>
        <w:rPr>
          <w:rFonts w:ascii="仿宋_GB2312" w:eastAsia="仿宋_GB2312" w:cs="DengXian-Regular"/>
          <w:sz w:val="32"/>
          <w:szCs w:val="32"/>
        </w:rPr>
      </w:pPr>
      <w:r>
        <w:rPr>
          <w:rFonts w:hint="eastAsia" w:ascii="仿宋_GB2312" w:eastAsia="仿宋_GB2312" w:cs="DengXian-Regular"/>
          <w:sz w:val="32"/>
          <w:szCs w:val="32"/>
        </w:rPr>
        <w:t>中国人民政治协商会议保定市徐水区委员会办公室年项目资金预算63.52万元，项目资金实际支出55.47万元，支出率为87.33%，个别</w:t>
      </w:r>
      <w:r>
        <w:rPr>
          <w:rFonts w:ascii="仿宋_GB2312" w:eastAsia="仿宋_GB2312" w:cs="DengXian-Regular"/>
          <w:sz w:val="32"/>
          <w:szCs w:val="32"/>
        </w:rPr>
        <w:t>项目如</w:t>
      </w:r>
      <w:r>
        <w:rPr>
          <w:rFonts w:hint="eastAsia" w:ascii="仿宋_GB2312" w:eastAsia="仿宋_GB2312" w:cs="DengXian-Regular"/>
          <w:sz w:val="32"/>
          <w:szCs w:val="32"/>
        </w:rPr>
        <w:t>专题调研活动</w:t>
      </w:r>
      <w:r>
        <w:rPr>
          <w:rFonts w:ascii="仿宋_GB2312" w:eastAsia="仿宋_GB2312" w:cs="DengXian-Regular"/>
          <w:sz w:val="32"/>
          <w:szCs w:val="32"/>
        </w:rPr>
        <w:t>为</w:t>
      </w:r>
      <w:r>
        <w:rPr>
          <w:rFonts w:hint="eastAsia" w:ascii="仿宋_GB2312" w:eastAsia="仿宋_GB2312" w:cs="DengXian-Regular"/>
          <w:sz w:val="32"/>
          <w:szCs w:val="32"/>
        </w:rPr>
        <w:t>8万元</w:t>
      </w:r>
      <w:r>
        <w:rPr>
          <w:rFonts w:ascii="仿宋_GB2312" w:eastAsia="仿宋_GB2312" w:cs="DengXian-Regular"/>
          <w:sz w:val="32"/>
          <w:szCs w:val="32"/>
        </w:rPr>
        <w:t>，</w:t>
      </w:r>
      <w:r>
        <w:rPr>
          <w:rFonts w:hint="eastAsia" w:ascii="仿宋_GB2312" w:eastAsia="仿宋_GB2312" w:cs="DengXian-Regular"/>
          <w:sz w:val="32"/>
          <w:szCs w:val="32"/>
        </w:rPr>
        <w:t>实际</w:t>
      </w:r>
      <w:r>
        <w:rPr>
          <w:rFonts w:ascii="仿宋_GB2312" w:eastAsia="仿宋_GB2312" w:cs="DengXian-Regular"/>
          <w:sz w:val="32"/>
          <w:szCs w:val="32"/>
        </w:rPr>
        <w:t>支出</w:t>
      </w:r>
      <w:r>
        <w:rPr>
          <w:rFonts w:hint="eastAsia" w:ascii="仿宋_GB2312" w:eastAsia="仿宋_GB2312" w:cs="DengXian-Regular"/>
          <w:sz w:val="32"/>
          <w:szCs w:val="32"/>
        </w:rPr>
        <w:t>为1.3万元</w:t>
      </w:r>
      <w:r>
        <w:rPr>
          <w:rFonts w:ascii="仿宋_GB2312" w:eastAsia="仿宋_GB2312" w:cs="DengXian-Regular"/>
          <w:sz w:val="32"/>
          <w:szCs w:val="32"/>
        </w:rPr>
        <w:t>，</w:t>
      </w:r>
      <w:r>
        <w:rPr>
          <w:rFonts w:hint="eastAsia" w:ascii="仿宋_GB2312" w:eastAsia="仿宋_GB2312" w:cs="DengXian-Regular"/>
          <w:sz w:val="32"/>
          <w:szCs w:val="32"/>
        </w:rPr>
        <w:t>支出率较低，资金使用效率较差。</w:t>
      </w:r>
    </w:p>
    <w:p>
      <w:pPr>
        <w:spacing w:after="0" w:line="360" w:lineRule="auto"/>
        <w:ind w:firstLine="640"/>
        <w:jc w:val="both"/>
        <w:textAlignment w:val="baseline"/>
        <w:rPr>
          <w:rFonts w:ascii="仿宋_GB2312" w:eastAsia="仿宋_GB2312" w:cs="DengXian-Regular"/>
          <w:sz w:val="32"/>
          <w:szCs w:val="32"/>
        </w:rPr>
      </w:pPr>
      <w:r>
        <w:rPr>
          <w:rFonts w:hint="eastAsia" w:ascii="仿宋_GB2312" w:eastAsia="仿宋_GB2312" w:cs="DengXian-Regular"/>
          <w:sz w:val="32"/>
          <w:szCs w:val="32"/>
        </w:rPr>
        <w:t>6.部分基础数据信息方面</w:t>
      </w:r>
    </w:p>
    <w:p>
      <w:pPr>
        <w:spacing w:after="0" w:line="360" w:lineRule="auto"/>
        <w:ind w:firstLine="640"/>
        <w:jc w:val="both"/>
        <w:textAlignment w:val="baseline"/>
        <w:rPr>
          <w:rFonts w:ascii="仿宋_GB2312" w:eastAsia="仿宋_GB2312" w:cs="DengXian-Regular"/>
          <w:sz w:val="32"/>
          <w:szCs w:val="32"/>
        </w:rPr>
      </w:pPr>
      <w:r>
        <w:rPr>
          <w:rFonts w:hint="eastAsia" w:ascii="仿宋_GB2312" w:eastAsia="仿宋_GB2312" w:cs="DengXian-Regular"/>
          <w:sz w:val="32"/>
          <w:szCs w:val="32"/>
        </w:rPr>
        <w:t>部分基础数据信息不完整</w:t>
      </w:r>
    </w:p>
    <w:p>
      <w:pPr>
        <w:spacing w:after="0" w:line="360" w:lineRule="auto"/>
        <w:ind w:firstLine="640"/>
        <w:jc w:val="both"/>
        <w:textAlignment w:val="baseline"/>
        <w:rPr>
          <w:rFonts w:ascii="仿宋_GB2312" w:eastAsia="仿宋_GB2312" w:cs="DengXian-Regular"/>
          <w:sz w:val="32"/>
          <w:szCs w:val="32"/>
        </w:rPr>
      </w:pPr>
      <w:r>
        <w:rPr>
          <w:rFonts w:hint="eastAsia" w:ascii="仿宋_GB2312" w:eastAsia="仿宋_GB2312" w:cs="DengXian-Regular"/>
          <w:sz w:val="32"/>
          <w:szCs w:val="32"/>
        </w:rPr>
        <w:t>中国人民政治协商会议保定市徐水区委员会办公室</w:t>
      </w:r>
      <w:r>
        <w:rPr>
          <w:rFonts w:ascii="仿宋_GB2312" w:eastAsia="仿宋_GB2312" w:cs="DengXian-Regular"/>
          <w:sz w:val="32"/>
          <w:szCs w:val="32"/>
        </w:rPr>
        <w:t>缴纳的五险一金记账凭证</w:t>
      </w:r>
      <w:r>
        <w:rPr>
          <w:rFonts w:hint="eastAsia" w:ascii="仿宋_GB2312" w:eastAsia="仿宋_GB2312" w:cs="DengXian-Regular"/>
          <w:sz w:val="32"/>
          <w:szCs w:val="32"/>
        </w:rPr>
        <w:t>只保留了</w:t>
      </w:r>
      <w:r>
        <w:rPr>
          <w:rFonts w:ascii="仿宋_GB2312" w:eastAsia="仿宋_GB2312" w:cs="DengXian-Regular"/>
          <w:sz w:val="32"/>
          <w:szCs w:val="32"/>
        </w:rPr>
        <w:t>缴费票据，没有付个人明细</w:t>
      </w:r>
      <w:r>
        <w:rPr>
          <w:rFonts w:hint="eastAsia" w:ascii="仿宋_GB2312" w:eastAsia="仿宋_GB2312" w:cs="DengXian-Regular"/>
          <w:sz w:val="32"/>
          <w:szCs w:val="32"/>
        </w:rPr>
        <w:t>，部分基础数据信息缺乏完整性。</w:t>
      </w:r>
    </w:p>
    <w:p>
      <w:pPr>
        <w:spacing w:after="0" w:line="360" w:lineRule="auto"/>
        <w:ind w:firstLine="640"/>
        <w:jc w:val="both"/>
        <w:textAlignment w:val="baseline"/>
        <w:rPr>
          <w:rFonts w:ascii="仿宋_GB2312" w:eastAsia="仿宋_GB2312" w:cs="DengXian-Regular"/>
          <w:sz w:val="32"/>
          <w:szCs w:val="32"/>
        </w:rPr>
      </w:pPr>
      <w:r>
        <w:rPr>
          <w:rFonts w:hint="eastAsia" w:ascii="仿宋_GB2312" w:eastAsia="仿宋_GB2312" w:cs="DengXian-Regular"/>
          <w:sz w:val="32"/>
          <w:szCs w:val="32"/>
        </w:rPr>
        <w:t>针对此次绩效评价过程中发现的问题，我们建议：</w:t>
      </w:r>
    </w:p>
    <w:p>
      <w:pPr>
        <w:spacing w:after="0" w:line="360" w:lineRule="auto"/>
        <w:ind w:firstLine="640"/>
        <w:jc w:val="both"/>
        <w:textAlignment w:val="baseline"/>
        <w:rPr>
          <w:rFonts w:ascii="仿宋_GB2312" w:eastAsia="仿宋_GB2312" w:cs="DengXian-Regular"/>
          <w:sz w:val="32"/>
          <w:szCs w:val="32"/>
        </w:rPr>
      </w:pPr>
      <w:r>
        <w:rPr>
          <w:rFonts w:hint="eastAsia" w:ascii="仿宋_GB2312" w:eastAsia="仿宋_GB2312" w:cs="DengXian-Regular"/>
          <w:sz w:val="32"/>
          <w:szCs w:val="32"/>
        </w:rPr>
        <w:t>1.增强绩效指标设置的明确性</w:t>
      </w:r>
    </w:p>
    <w:p>
      <w:pPr>
        <w:spacing w:after="0" w:line="360" w:lineRule="auto"/>
        <w:ind w:firstLine="640"/>
        <w:jc w:val="both"/>
        <w:textAlignment w:val="baseline"/>
        <w:rPr>
          <w:rFonts w:ascii="仿宋_GB2312" w:eastAsia="仿宋_GB2312" w:cs="DengXian-Regular"/>
          <w:sz w:val="32"/>
          <w:szCs w:val="32"/>
        </w:rPr>
      </w:pPr>
      <w:r>
        <w:rPr>
          <w:rFonts w:hint="eastAsia" w:ascii="仿宋_GB2312" w:eastAsia="仿宋_GB2312" w:cs="DengXian-Regular"/>
          <w:sz w:val="32"/>
          <w:szCs w:val="32"/>
        </w:rPr>
        <w:t>工作活动、预算项目绩效指标应当清晰、可评价、可衡量。建议在设置职责活动绩效指标时，将绩效目标细化分解为具体的工作任务数，从而使绩效目标可量化，便于对目标实现情况进行考核。</w:t>
      </w:r>
    </w:p>
    <w:p>
      <w:pPr>
        <w:spacing w:after="0" w:line="360" w:lineRule="auto"/>
        <w:ind w:firstLine="640"/>
        <w:jc w:val="both"/>
        <w:textAlignment w:val="baseline"/>
        <w:rPr>
          <w:rFonts w:ascii="仿宋_GB2312" w:eastAsia="仿宋_GB2312" w:cs="DengXian-Regular"/>
          <w:sz w:val="32"/>
          <w:szCs w:val="32"/>
        </w:rPr>
      </w:pPr>
      <w:r>
        <w:rPr>
          <w:rFonts w:hint="eastAsia" w:ascii="仿宋_GB2312" w:eastAsia="仿宋_GB2312" w:cs="DengXian-Regular"/>
          <w:sz w:val="32"/>
          <w:szCs w:val="32"/>
        </w:rPr>
        <w:t>2.提高预算编制质量</w:t>
      </w:r>
    </w:p>
    <w:p>
      <w:pPr>
        <w:spacing w:after="0" w:line="360" w:lineRule="auto"/>
        <w:ind w:firstLine="640"/>
        <w:jc w:val="both"/>
        <w:textAlignment w:val="baseline"/>
        <w:rPr>
          <w:rFonts w:ascii="仿宋_GB2312" w:eastAsia="仿宋_GB2312" w:cs="DengXian-Regular"/>
          <w:sz w:val="32"/>
          <w:szCs w:val="32"/>
        </w:rPr>
      </w:pPr>
      <w:r>
        <w:rPr>
          <w:rFonts w:hint="eastAsia" w:ascii="仿宋_GB2312" w:eastAsia="仿宋_GB2312" w:cs="DengXian-Regular"/>
          <w:sz w:val="32"/>
          <w:szCs w:val="32"/>
        </w:rPr>
        <w:t>部门预算编制工作要全面反映和体现部门职责，根据具体情况及时调整预算的编制，缩小预算与决算差额，减少中期预算追加或调减，提高预算编制质量，发挥预算约束作用。</w:t>
      </w:r>
    </w:p>
    <w:p>
      <w:pPr>
        <w:spacing w:after="0" w:line="360" w:lineRule="auto"/>
        <w:ind w:firstLine="640"/>
        <w:jc w:val="both"/>
        <w:textAlignment w:val="baseline"/>
        <w:rPr>
          <w:rFonts w:ascii="仿宋_GB2312" w:eastAsia="仿宋_GB2312" w:cs="DengXian-Regular"/>
          <w:sz w:val="32"/>
          <w:szCs w:val="32"/>
        </w:rPr>
      </w:pPr>
      <w:r>
        <w:rPr>
          <w:rFonts w:hint="eastAsia" w:ascii="仿宋_GB2312" w:eastAsia="仿宋_GB2312" w:cs="DengXian-Regular"/>
          <w:sz w:val="32"/>
          <w:szCs w:val="32"/>
        </w:rPr>
        <w:t>3.强化政府采购执行</w:t>
      </w:r>
    </w:p>
    <w:p>
      <w:pPr>
        <w:spacing w:after="0" w:line="360" w:lineRule="auto"/>
        <w:ind w:firstLine="640"/>
        <w:jc w:val="both"/>
        <w:textAlignment w:val="baseline"/>
        <w:rPr>
          <w:rFonts w:ascii="仿宋_GB2312" w:eastAsia="仿宋_GB2312" w:cs="DengXian-Regular"/>
          <w:sz w:val="32"/>
          <w:szCs w:val="32"/>
        </w:rPr>
      </w:pPr>
      <w:r>
        <w:rPr>
          <w:rFonts w:hint="eastAsia" w:ascii="仿宋_GB2312" w:eastAsia="仿宋_GB2312" w:cs="DengXian-Regular"/>
          <w:sz w:val="32"/>
          <w:szCs w:val="32"/>
        </w:rPr>
        <w:t>建议严格按照《中华人民共和国政府采购法》及河北省2017年《政府采购集中采购目录和限额标准》的相关规定，执行政府采购，加快预算执行进度，提高政府采购效率。</w:t>
      </w:r>
    </w:p>
    <w:p>
      <w:pPr>
        <w:spacing w:after="0" w:line="360" w:lineRule="auto"/>
        <w:ind w:firstLine="640"/>
        <w:jc w:val="both"/>
        <w:textAlignment w:val="baseline"/>
        <w:rPr>
          <w:rFonts w:ascii="仿宋_GB2312" w:eastAsia="仿宋_GB2312" w:cs="DengXian-Regular"/>
          <w:sz w:val="32"/>
          <w:szCs w:val="32"/>
        </w:rPr>
      </w:pPr>
      <w:r>
        <w:rPr>
          <w:rFonts w:hint="eastAsia" w:ascii="仿宋_GB2312" w:eastAsia="仿宋_GB2312" w:cs="DengXian-Regular"/>
          <w:sz w:val="32"/>
          <w:szCs w:val="32"/>
        </w:rPr>
        <w:t>4.提高项目资金使用率</w:t>
      </w:r>
    </w:p>
    <w:p>
      <w:pPr>
        <w:spacing w:after="0" w:line="360" w:lineRule="auto"/>
        <w:ind w:firstLine="64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建议</w:t>
      </w:r>
      <w:r>
        <w:rPr>
          <w:rFonts w:hint="eastAsia" w:ascii="仿宋_GB2312" w:eastAsia="仿宋_GB2312" w:cs="DengXian-Regular"/>
          <w:sz w:val="32"/>
          <w:szCs w:val="32"/>
        </w:rPr>
        <w:t>中国人民政治协商会议保定市徐水区委员会</w:t>
      </w:r>
      <w:r>
        <w:rPr>
          <w:rFonts w:hint="eastAsia" w:ascii="仿宋_GB2312" w:eastAsia="仿宋_GB2312" w:cs="Times New Roman" w:hAnsiTheme="minorEastAsia"/>
          <w:sz w:val="32"/>
          <w:szCs w:val="32"/>
          <w:u w:color="000000"/>
        </w:rPr>
        <w:t>对项目资金进行梳理，督促项目进度和资金拨付进度，应拨付的资金及时拨付，不具备条件的资金及时收回，同时，对于按规定可以结转至下年的中央及省级项目资金，在下年的项目安排时优先考虑。</w:t>
      </w:r>
    </w:p>
    <w:p>
      <w:pPr>
        <w:spacing w:after="0" w:line="360" w:lineRule="auto"/>
        <w:ind w:firstLine="640"/>
        <w:jc w:val="both"/>
        <w:textAlignment w:val="baseline"/>
        <w:rPr>
          <w:rFonts w:ascii="仿宋_GB2312" w:eastAsia="仿宋_GB2312" w:cs="DengXian-Regular"/>
          <w:sz w:val="32"/>
          <w:szCs w:val="32"/>
        </w:rPr>
      </w:pPr>
      <w:r>
        <w:rPr>
          <w:rFonts w:hint="eastAsia" w:ascii="仿宋_GB2312" w:eastAsia="仿宋_GB2312" w:cs="DengXian-Regular"/>
          <w:sz w:val="32"/>
          <w:szCs w:val="32"/>
        </w:rPr>
        <w:t>5</w:t>
      </w:r>
      <w:r>
        <w:rPr>
          <w:rFonts w:ascii="仿宋_GB2312" w:eastAsia="仿宋_GB2312" w:cs="DengXian-Regular"/>
          <w:sz w:val="32"/>
          <w:szCs w:val="32"/>
        </w:rPr>
        <w:t>.完善基础信息管理</w:t>
      </w:r>
    </w:p>
    <w:p>
      <w:pPr>
        <w:spacing w:after="0" w:line="360" w:lineRule="auto"/>
        <w:ind w:firstLine="640"/>
        <w:jc w:val="both"/>
        <w:textAlignment w:val="baseline"/>
        <w:rPr>
          <w:rFonts w:ascii="仿宋_GB2312" w:eastAsia="仿宋_GB2312" w:cs="DengXian-Regular"/>
          <w:sz w:val="32"/>
          <w:szCs w:val="32"/>
        </w:rPr>
      </w:pPr>
      <w:r>
        <w:rPr>
          <w:rFonts w:ascii="仿宋_GB2312" w:eastAsia="仿宋_GB2312" w:cs="DengXian-Regular"/>
          <w:sz w:val="32"/>
          <w:szCs w:val="32"/>
        </w:rPr>
        <w:t>建议严格按照档案管理的相关规定对基础数据信息档案资料及时归档保存，保证项目资料的完整性和可查阅性。</w:t>
      </w:r>
    </w:p>
    <w:p>
      <w:pPr>
        <w:spacing w:after="0" w:line="360" w:lineRule="auto"/>
        <w:ind w:firstLine="640"/>
        <w:jc w:val="both"/>
        <w:textAlignment w:val="baseline"/>
        <w:rPr>
          <w:rFonts w:ascii="仿宋_GB2312" w:eastAsia="仿宋_GB2312" w:cs="DengXian-Regular"/>
          <w:sz w:val="32"/>
          <w:szCs w:val="32"/>
        </w:rPr>
      </w:pPr>
      <w:r>
        <w:rPr>
          <w:rFonts w:hint="eastAsia" w:ascii="仿宋_GB2312" w:eastAsia="仿宋_GB2312" w:cs="DengXian-Regular"/>
          <w:sz w:val="32"/>
          <w:szCs w:val="32"/>
        </w:rPr>
        <w:t>6.预算安排建议</w:t>
      </w:r>
    </w:p>
    <w:p>
      <w:pPr>
        <w:spacing w:after="0" w:line="360" w:lineRule="auto"/>
        <w:ind w:firstLine="640"/>
        <w:jc w:val="both"/>
        <w:textAlignment w:val="baseline"/>
        <w:rPr>
          <w:rFonts w:ascii="仿宋_GB2312" w:eastAsia="仿宋_GB2312" w:cs="DengXian-Regular"/>
          <w:sz w:val="32"/>
          <w:szCs w:val="32"/>
        </w:rPr>
      </w:pPr>
      <w:r>
        <w:rPr>
          <w:rFonts w:hint="eastAsia" w:ascii="仿宋_GB2312" w:eastAsia="仿宋_GB2312" w:cs="DengXian-Regular"/>
          <w:sz w:val="32"/>
          <w:szCs w:val="32"/>
        </w:rPr>
        <w:t>人员经费方面：</w:t>
      </w:r>
      <w:r>
        <w:rPr>
          <w:rFonts w:ascii="仿宋_GB2312" w:eastAsia="仿宋_GB2312" w:cs="DengXian-Regular"/>
          <w:sz w:val="32"/>
          <w:szCs w:val="32"/>
        </w:rPr>
        <w:t>2019年基本支出决算数较预算数</w:t>
      </w:r>
      <w:r>
        <w:rPr>
          <w:rFonts w:hint="eastAsia" w:ascii="仿宋_GB2312" w:eastAsia="仿宋_GB2312" w:cs="DengXian-Regular"/>
          <w:sz w:val="32"/>
          <w:szCs w:val="32"/>
        </w:rPr>
        <w:t>较少</w:t>
      </w:r>
      <w:r>
        <w:rPr>
          <w:rFonts w:ascii="仿宋_GB2312" w:eastAsia="仿宋_GB2312" w:cs="DengXian-Regular"/>
          <w:sz w:val="32"/>
          <w:szCs w:val="32"/>
        </w:rPr>
        <w:t>比例较大，主要原因为</w:t>
      </w:r>
      <w:r>
        <w:rPr>
          <w:rFonts w:hint="eastAsia" w:ascii="仿宋_GB2312" w:eastAsia="仿宋_GB2312" w:cs="DengXian-Regular"/>
          <w:sz w:val="32"/>
          <w:szCs w:val="32"/>
        </w:rPr>
        <w:t>2018年</w:t>
      </w:r>
      <w:r>
        <w:rPr>
          <w:rFonts w:ascii="仿宋_GB2312" w:eastAsia="仿宋_GB2312" w:cs="DengXian-Regular"/>
          <w:sz w:val="32"/>
          <w:szCs w:val="32"/>
        </w:rPr>
        <w:t>作为基本支出的项目在</w:t>
      </w:r>
      <w:r>
        <w:rPr>
          <w:rFonts w:hint="eastAsia" w:ascii="仿宋_GB2312" w:eastAsia="仿宋_GB2312" w:cs="DengXian-Regular"/>
          <w:sz w:val="32"/>
          <w:szCs w:val="32"/>
        </w:rPr>
        <w:t>2019年</w:t>
      </w:r>
      <w:r>
        <w:rPr>
          <w:rFonts w:ascii="仿宋_GB2312" w:eastAsia="仿宋_GB2312" w:cs="DengXian-Regular"/>
          <w:sz w:val="32"/>
          <w:szCs w:val="32"/>
        </w:rPr>
        <w:t>纳入了项目支出</w:t>
      </w:r>
      <w:r>
        <w:rPr>
          <w:rFonts w:hint="eastAsia" w:ascii="仿宋_GB2312" w:eastAsia="仿宋_GB2312" w:cs="DengXian-Regular"/>
          <w:sz w:val="32"/>
          <w:szCs w:val="32"/>
        </w:rPr>
        <w:t>致使2019年基本</w:t>
      </w:r>
      <w:r>
        <w:rPr>
          <w:rFonts w:ascii="仿宋_GB2312" w:eastAsia="仿宋_GB2312" w:cs="DengXian-Regular"/>
          <w:sz w:val="32"/>
          <w:szCs w:val="32"/>
        </w:rPr>
        <w:t>支出减少，建议2020年预算根据</w:t>
      </w:r>
      <w:r>
        <w:rPr>
          <w:rFonts w:hint="eastAsia" w:ascii="仿宋_GB2312" w:eastAsia="仿宋_GB2312" w:cs="DengXian-Regular"/>
          <w:sz w:val="32"/>
          <w:szCs w:val="32"/>
        </w:rPr>
        <w:t>2019年支出</w:t>
      </w:r>
      <w:r>
        <w:rPr>
          <w:rFonts w:ascii="仿宋_GB2312" w:eastAsia="仿宋_GB2312" w:cs="DengXian-Regular"/>
          <w:sz w:val="32"/>
          <w:szCs w:val="32"/>
        </w:rPr>
        <w:t>类型编制，该纳入项目的经费不再</w:t>
      </w:r>
      <w:r>
        <w:rPr>
          <w:rFonts w:hint="eastAsia" w:ascii="仿宋_GB2312" w:eastAsia="仿宋_GB2312" w:cs="DengXian-Regular"/>
          <w:sz w:val="32"/>
          <w:szCs w:val="32"/>
        </w:rPr>
        <w:t>列入</w:t>
      </w:r>
      <w:r>
        <w:rPr>
          <w:rFonts w:ascii="仿宋_GB2312" w:eastAsia="仿宋_GB2312" w:cs="DengXian-Regular"/>
          <w:sz w:val="32"/>
          <w:szCs w:val="32"/>
        </w:rPr>
        <w:t>基本支出。</w:t>
      </w:r>
    </w:p>
    <w:p>
      <w:pPr>
        <w:spacing w:after="0" w:line="360" w:lineRule="auto"/>
        <w:ind w:firstLine="640"/>
        <w:jc w:val="both"/>
        <w:textAlignment w:val="baseline"/>
        <w:rPr>
          <w:rFonts w:ascii="仿宋_GB2312" w:eastAsia="仿宋_GB2312" w:cs="DengXian-Regular"/>
          <w:sz w:val="32"/>
          <w:szCs w:val="32"/>
        </w:rPr>
      </w:pPr>
      <w:r>
        <w:rPr>
          <w:rFonts w:hint="eastAsia" w:ascii="仿宋_GB2312" w:eastAsia="仿宋_GB2312" w:cs="DengXian-Regular"/>
          <w:sz w:val="32"/>
          <w:szCs w:val="32"/>
        </w:rPr>
        <w:t>项目资金方面：</w:t>
      </w:r>
      <w:r>
        <w:rPr>
          <w:rFonts w:ascii="仿宋_GB2312" w:eastAsia="仿宋_GB2312" w:cs="DengXian-Regular"/>
          <w:sz w:val="32"/>
          <w:szCs w:val="32"/>
        </w:rPr>
        <w:t>2019年</w:t>
      </w:r>
      <w:r>
        <w:rPr>
          <w:rFonts w:hint="eastAsia" w:ascii="仿宋_GB2312" w:eastAsia="仿宋_GB2312" w:cs="DengXian-Regular"/>
          <w:sz w:val="32"/>
          <w:szCs w:val="32"/>
        </w:rPr>
        <w:t>个别</w:t>
      </w:r>
      <w:r>
        <w:rPr>
          <w:rFonts w:ascii="仿宋_GB2312" w:eastAsia="仿宋_GB2312" w:cs="DengXian-Regular"/>
          <w:sz w:val="32"/>
          <w:szCs w:val="32"/>
        </w:rPr>
        <w:t>项目支出资金使用率较低，</w:t>
      </w:r>
      <w:r>
        <w:rPr>
          <w:rFonts w:hint="eastAsia" w:ascii="仿宋_GB2312" w:eastAsia="仿宋_GB2312" w:cs="DengXian-Regular"/>
          <w:sz w:val="32"/>
          <w:szCs w:val="32"/>
        </w:rPr>
        <w:t>针对</w:t>
      </w:r>
      <w:r>
        <w:rPr>
          <w:rFonts w:ascii="仿宋_GB2312" w:eastAsia="仿宋_GB2312" w:cs="DengXian-Regular"/>
          <w:sz w:val="32"/>
          <w:szCs w:val="32"/>
        </w:rPr>
        <w:t>部分未实施项目资金结转至下一年度</w:t>
      </w:r>
      <w:r>
        <w:rPr>
          <w:rFonts w:hint="eastAsia" w:ascii="仿宋_GB2312" w:eastAsia="仿宋_GB2312" w:cs="DengXian-Regular"/>
          <w:sz w:val="32"/>
          <w:szCs w:val="32"/>
        </w:rPr>
        <w:t>的，建议</w:t>
      </w:r>
      <w:r>
        <w:rPr>
          <w:rFonts w:ascii="仿宋_GB2312" w:eastAsia="仿宋_GB2312" w:cs="DengXian-Regular"/>
          <w:sz w:val="32"/>
          <w:szCs w:val="32"/>
        </w:rPr>
        <w:t>2020年预算不增加</w:t>
      </w:r>
      <w:r>
        <w:rPr>
          <w:rFonts w:hint="eastAsia" w:ascii="仿宋_GB2312" w:eastAsia="仿宋_GB2312" w:cs="DengXian-Regular"/>
          <w:sz w:val="32"/>
          <w:szCs w:val="32"/>
        </w:rPr>
        <w:t>该部分</w:t>
      </w:r>
      <w:r>
        <w:rPr>
          <w:rFonts w:ascii="仿宋_GB2312" w:eastAsia="仿宋_GB2312" w:cs="DengXian-Regular"/>
          <w:sz w:val="32"/>
          <w:szCs w:val="32"/>
        </w:rPr>
        <w:t>项目资金预算</w:t>
      </w:r>
      <w:r>
        <w:rPr>
          <w:rFonts w:hint="eastAsia" w:ascii="仿宋_GB2312" w:eastAsia="仿宋_GB2312" w:cs="DengXian-Regular"/>
          <w:sz w:val="32"/>
          <w:szCs w:val="32"/>
        </w:rPr>
        <w:t>；</w:t>
      </w:r>
      <w:r>
        <w:rPr>
          <w:rFonts w:ascii="仿宋_GB2312" w:eastAsia="仿宋_GB2312" w:cs="DengXian-Regular"/>
          <w:sz w:val="32"/>
          <w:szCs w:val="32"/>
        </w:rPr>
        <w:t>其他项目资金根据实际情况予以保持或适当</w:t>
      </w:r>
      <w:r>
        <w:rPr>
          <w:rFonts w:hint="eastAsia" w:ascii="仿宋_GB2312" w:eastAsia="仿宋_GB2312" w:cs="DengXian-Regular"/>
          <w:sz w:val="32"/>
          <w:szCs w:val="32"/>
        </w:rPr>
        <w:t>增减</w:t>
      </w:r>
      <w:r>
        <w:rPr>
          <w:rFonts w:ascii="仿宋_GB2312" w:eastAsia="仿宋_GB2312" w:cs="DengXian-Regular"/>
          <w:sz w:val="32"/>
          <w:szCs w:val="32"/>
        </w:rPr>
        <w:t>。</w:t>
      </w:r>
    </w:p>
    <w:p>
      <w:pPr>
        <w:pStyle w:val="3"/>
        <w:spacing w:line="540" w:lineRule="exact"/>
        <w:ind w:firstLine="640"/>
        <w:jc w:val="center"/>
        <w:rPr>
          <w:rFonts w:ascii="黑体" w:hAnsi="黑体"/>
          <w:b w:val="0"/>
        </w:rPr>
      </w:pPr>
      <w:bookmarkStart w:id="1" w:name="_Toc57553852"/>
      <w:r>
        <w:rPr>
          <w:rFonts w:hint="eastAsia" w:ascii="黑体" w:hAnsi="黑体"/>
          <w:b w:val="0"/>
        </w:rPr>
        <w:t>第二部分   绩效评价报告</w:t>
      </w:r>
      <w:bookmarkEnd w:id="1"/>
    </w:p>
    <w:p>
      <w:pPr>
        <w:pStyle w:val="3"/>
        <w:spacing w:before="0" w:after="0" w:line="360" w:lineRule="auto"/>
        <w:ind w:firstLine="643"/>
        <w:rPr>
          <w:rFonts w:ascii="楷体" w:hAnsi="楷体" w:eastAsia="楷体" w:cs="楷体"/>
        </w:rPr>
      </w:pPr>
      <w:bookmarkStart w:id="2" w:name="_Toc492652763"/>
      <w:bookmarkStart w:id="3" w:name="_Toc57553853"/>
      <w:r>
        <w:rPr>
          <w:rFonts w:hint="eastAsia" w:ascii="楷体" w:hAnsi="楷体" w:eastAsia="楷体" w:cs="楷体"/>
        </w:rPr>
        <w:t>一、</w:t>
      </w:r>
      <w:r>
        <w:rPr>
          <w:rFonts w:hint="eastAsia" w:ascii="仿宋_GB2312" w:eastAsia="仿宋_GB2312" w:cs="DengXian-Regular"/>
        </w:rPr>
        <w:t>中国人民政治协商会议保定市徐水区委员会</w:t>
      </w:r>
      <w:r>
        <w:rPr>
          <w:rFonts w:hint="eastAsia" w:ascii="楷体" w:hAnsi="楷体" w:eastAsia="楷体" w:cs="楷体"/>
        </w:rPr>
        <w:t>基本情况</w:t>
      </w:r>
      <w:bookmarkEnd w:id="2"/>
      <w:bookmarkEnd w:id="3"/>
      <w:bookmarkStart w:id="4" w:name="_Toc492652764"/>
    </w:p>
    <w:p>
      <w:pPr>
        <w:pStyle w:val="4"/>
        <w:spacing w:before="0" w:after="0"/>
        <w:ind w:firstLine="643"/>
        <w:jc w:val="both"/>
        <w:rPr>
          <w:rFonts w:ascii="仿宋_GB2312" w:hAnsi="Tahoma" w:cs="DengXian-Regular"/>
          <w:sz w:val="32"/>
        </w:rPr>
      </w:pPr>
      <w:bookmarkStart w:id="5" w:name="_Toc57553854"/>
      <w:r>
        <w:rPr>
          <w:rFonts w:hint="eastAsia" w:ascii="仿宋_GB2312" w:hAnsi="Tahoma" w:cs="DengXian-Regular"/>
          <w:sz w:val="32"/>
        </w:rPr>
        <w:t>（一）部门职责和工作活动</w:t>
      </w:r>
      <w:bookmarkEnd w:id="4"/>
      <w:bookmarkEnd w:id="5"/>
    </w:p>
    <w:p>
      <w:pPr>
        <w:spacing w:after="0" w:line="360" w:lineRule="auto"/>
        <w:ind w:firstLine="64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中共保定市徐水区委办公室、保定市徐水区人民政府办公室关于印发《中国人民政治协商会议保定市徐水区委员会职能配置内设机构和人员编制规定》的通知，中国人民政治协商会议保定市徐水区委员会部门，正处级单位，下设3个股室政协根据绩效预算管理改革的相关要求，按照“部门职责—工作活动绩效目标”的层级设立了绩效预算架构，职责活动包括政治协商、民主监督、参政议政、</w:t>
      </w:r>
      <w:r>
        <w:rPr>
          <w:rFonts w:ascii="仿宋_GB2312" w:eastAsia="仿宋_GB2312" w:cs="DengXian-Regular"/>
          <w:sz w:val="32"/>
          <w:szCs w:val="32"/>
        </w:rPr>
        <w:t>综合事务管理</w:t>
      </w:r>
      <w:r>
        <w:rPr>
          <w:rFonts w:hint="eastAsia" w:ascii="仿宋_GB2312" w:eastAsia="仿宋_GB2312" w:cs="DengXian-Regular"/>
          <w:sz w:val="32"/>
          <w:szCs w:val="32"/>
        </w:rPr>
        <w:t>共4部分。</w:t>
      </w:r>
      <w:bookmarkStart w:id="6" w:name="_Toc465149499"/>
      <w:bookmarkStart w:id="7" w:name="_Toc492652765"/>
    </w:p>
    <w:p>
      <w:pPr>
        <w:pStyle w:val="4"/>
        <w:spacing w:before="0" w:after="0"/>
        <w:ind w:firstLine="643"/>
        <w:jc w:val="both"/>
        <w:rPr>
          <w:rFonts w:ascii="仿宋_GB2312" w:hAnsi="Tahoma" w:cs="DengXian-Regular"/>
          <w:sz w:val="32"/>
        </w:rPr>
      </w:pPr>
      <w:bookmarkStart w:id="8" w:name="_Toc57553855"/>
      <w:r>
        <w:rPr>
          <w:rFonts w:hint="eastAsia" w:ascii="仿宋_GB2312" w:hAnsi="Tahoma" w:cs="DengXian-Regular"/>
          <w:sz w:val="32"/>
        </w:rPr>
        <w:t>（二）</w:t>
      </w:r>
      <w:bookmarkEnd w:id="6"/>
      <w:r>
        <w:rPr>
          <w:rFonts w:hint="eastAsia" w:ascii="仿宋_GB2312" w:hAnsi="Tahoma" w:cs="DengXian-Regular"/>
          <w:sz w:val="32"/>
        </w:rPr>
        <w:t>部门年度发展规划总体目标和职责分类绩效目标</w:t>
      </w:r>
      <w:bookmarkEnd w:id="7"/>
      <w:bookmarkEnd w:id="8"/>
    </w:p>
    <w:p>
      <w:pPr>
        <w:spacing w:after="0" w:line="360" w:lineRule="auto"/>
        <w:ind w:firstLine="640"/>
        <w:jc w:val="both"/>
        <w:textAlignment w:val="baseline"/>
        <w:rPr>
          <w:rFonts w:ascii="仿宋_GB2312" w:eastAsia="仿宋_GB2312" w:cs="DengXian-Regular"/>
          <w:sz w:val="32"/>
          <w:szCs w:val="32"/>
        </w:rPr>
      </w:pPr>
      <w:r>
        <w:rPr>
          <w:rFonts w:hint="eastAsia" w:ascii="仿宋_GB2312" w:eastAsia="仿宋_GB2312" w:cs="DengXian-Regular"/>
          <w:sz w:val="32"/>
          <w:szCs w:val="32"/>
        </w:rPr>
        <w:t>按照2019年绩效预算编制要求，政协设置的年度发展规划总体目标为：</w:t>
      </w:r>
    </w:p>
    <w:p>
      <w:pPr>
        <w:widowControl w:val="0"/>
        <w:adjustRightInd/>
        <w:snapToGrid/>
        <w:spacing w:after="0" w:line="500" w:lineRule="exact"/>
        <w:ind w:firstLine="560"/>
        <w:jc w:val="both"/>
        <w:rPr>
          <w:rFonts w:ascii="仿宋" w:hAnsi="仿宋" w:eastAsia="仿宋" w:cs="Times New Roman"/>
          <w:kern w:val="2"/>
          <w:sz w:val="32"/>
        </w:rPr>
      </w:pPr>
      <w:r>
        <w:rPr>
          <w:rFonts w:ascii="仿宋" w:hAnsi="仿宋" w:eastAsia="仿宋" w:cs="Times New Roman"/>
          <w:kern w:val="2"/>
          <w:sz w:val="32"/>
        </w:rPr>
        <w:t>2019</w:t>
      </w:r>
      <w:r>
        <w:rPr>
          <w:rFonts w:hint="eastAsia" w:ascii="仿宋" w:hAnsi="仿宋" w:eastAsia="仿宋" w:cs="Times New Roman"/>
          <w:kern w:val="2"/>
          <w:sz w:val="32"/>
        </w:rPr>
        <w:t>年在区委和区政府有关部门密切配合下对重大问题以及人民群众普遍关心的问题，开展调查研究，反映社情民意，进行协商讨论以调研报告、建议案或其他形式，向区委、区政府提出意见和建议。按照政策要求召开全体会议、常委</w:t>
      </w:r>
      <w:r>
        <w:rPr>
          <w:rFonts w:hint="eastAsia" w:ascii="仿宋" w:hAnsi="仿宋" w:eastAsia="仿宋" w:cs="Times New Roman"/>
          <w:kern w:val="2"/>
          <w:sz w:val="32"/>
          <w:lang w:val="en-US" w:eastAsia="zh-CN"/>
        </w:rPr>
        <w:t>会</w:t>
      </w:r>
      <w:r>
        <w:rPr>
          <w:rFonts w:hint="eastAsia" w:ascii="仿宋" w:hAnsi="仿宋" w:eastAsia="仿宋" w:cs="Times New Roman"/>
          <w:kern w:val="2"/>
          <w:sz w:val="32"/>
        </w:rPr>
        <w:t>会议、各专委会会议。</w:t>
      </w:r>
    </w:p>
    <w:p>
      <w:pPr>
        <w:spacing w:after="0" w:line="360" w:lineRule="auto"/>
        <w:ind w:firstLine="640"/>
        <w:jc w:val="both"/>
        <w:textAlignment w:val="baseline"/>
        <w:rPr>
          <w:rFonts w:ascii="仿宋_GB2312" w:eastAsia="仿宋_GB2312" w:cs="DengXian-Regular"/>
          <w:sz w:val="32"/>
          <w:szCs w:val="32"/>
        </w:rPr>
      </w:pPr>
      <w:r>
        <w:rPr>
          <w:rFonts w:hint="eastAsia" w:ascii="仿宋_GB2312" w:eastAsia="仿宋_GB2312" w:cs="DengXian-Regular"/>
          <w:sz w:val="32"/>
          <w:szCs w:val="32"/>
        </w:rPr>
        <w:t>职责分类绩效目标为：</w:t>
      </w:r>
    </w:p>
    <w:p>
      <w:pPr>
        <w:spacing w:after="0" w:line="360" w:lineRule="auto"/>
        <w:ind w:firstLine="640"/>
        <w:jc w:val="both"/>
        <w:textAlignment w:val="baseline"/>
        <w:rPr>
          <w:rFonts w:ascii="仿宋_GB2312" w:eastAsia="仿宋_GB2312" w:cs="DengXian-Regular"/>
          <w:sz w:val="32"/>
          <w:szCs w:val="32"/>
        </w:rPr>
      </w:pPr>
      <w:r>
        <w:rPr>
          <w:rFonts w:hint="eastAsia" w:ascii="仿宋_GB2312" w:eastAsia="仿宋_GB2312" w:cs="DengXian-Regular"/>
          <w:sz w:val="32"/>
          <w:szCs w:val="32"/>
        </w:rPr>
        <w:t>1.政治协商。</w:t>
      </w:r>
    </w:p>
    <w:p>
      <w:pPr>
        <w:spacing w:after="0" w:line="360" w:lineRule="auto"/>
        <w:ind w:firstLine="640"/>
        <w:jc w:val="both"/>
        <w:textAlignment w:val="baseline"/>
        <w:rPr>
          <w:rFonts w:ascii="仿宋_GB2312" w:eastAsia="仿宋_GB2312" w:cs="DengXian-Regular"/>
          <w:sz w:val="32"/>
          <w:szCs w:val="32"/>
        </w:rPr>
      </w:pPr>
      <w:r>
        <w:rPr>
          <w:rFonts w:hint="eastAsia" w:ascii="仿宋_GB2312" w:eastAsia="仿宋_GB2312" w:cs="DengXian-Regular"/>
          <w:sz w:val="32"/>
          <w:szCs w:val="32"/>
        </w:rPr>
        <w:t>2.参政议政。</w:t>
      </w:r>
    </w:p>
    <w:p>
      <w:pPr>
        <w:spacing w:after="0" w:line="360" w:lineRule="auto"/>
        <w:ind w:firstLine="640"/>
        <w:jc w:val="both"/>
        <w:textAlignment w:val="baseline"/>
        <w:rPr>
          <w:rFonts w:ascii="仿宋_GB2312" w:eastAsia="仿宋_GB2312" w:cs="DengXian-Regular"/>
          <w:sz w:val="32"/>
          <w:szCs w:val="32"/>
        </w:rPr>
      </w:pPr>
      <w:r>
        <w:rPr>
          <w:rFonts w:hint="eastAsia" w:ascii="仿宋_GB2312" w:eastAsia="仿宋_GB2312" w:cs="DengXian-Regular"/>
          <w:sz w:val="32"/>
          <w:szCs w:val="32"/>
        </w:rPr>
        <w:t>3.民主监督。</w:t>
      </w:r>
      <w:bookmarkStart w:id="9" w:name="_Toc465149500"/>
      <w:bookmarkStart w:id="10" w:name="_Toc492652766"/>
    </w:p>
    <w:p>
      <w:pPr>
        <w:spacing w:after="0" w:line="360" w:lineRule="auto"/>
        <w:ind w:firstLine="640"/>
        <w:jc w:val="both"/>
        <w:textAlignment w:val="baseline"/>
        <w:rPr>
          <w:rFonts w:ascii="仿宋_GB2312" w:eastAsia="仿宋_GB2312" w:cs="DengXian-Regular"/>
          <w:sz w:val="32"/>
          <w:szCs w:val="32"/>
        </w:rPr>
      </w:pPr>
      <w:r>
        <w:rPr>
          <w:rFonts w:hint="eastAsia" w:ascii="仿宋_GB2312" w:eastAsia="仿宋_GB2312" w:cs="DengXian-Regular"/>
          <w:sz w:val="32"/>
          <w:szCs w:val="32"/>
        </w:rPr>
        <w:t>4.政协事务管理</w:t>
      </w:r>
    </w:p>
    <w:p>
      <w:pPr>
        <w:spacing w:after="0" w:line="360" w:lineRule="auto"/>
        <w:ind w:firstLine="640"/>
        <w:jc w:val="both"/>
        <w:textAlignment w:val="baseline"/>
        <w:rPr>
          <w:rFonts w:ascii="仿宋_GB2312" w:eastAsia="仿宋_GB2312" w:cs="DengXian-Regular"/>
          <w:sz w:val="32"/>
          <w:szCs w:val="32"/>
        </w:rPr>
      </w:pPr>
      <w:r>
        <w:rPr>
          <w:rFonts w:hint="eastAsia" w:ascii="仿宋_GB2312" w:eastAsia="仿宋_GB2312" w:cs="DengXian-Regular"/>
          <w:sz w:val="32"/>
          <w:szCs w:val="32"/>
        </w:rPr>
        <w:t>（三）部门预算收入及决算收入</w:t>
      </w:r>
    </w:p>
    <w:p>
      <w:pPr>
        <w:spacing w:after="0" w:line="360" w:lineRule="auto"/>
        <w:ind w:firstLine="640"/>
        <w:jc w:val="both"/>
        <w:textAlignment w:val="baseline"/>
        <w:rPr>
          <w:rFonts w:ascii="仿宋_GB2312" w:eastAsia="仿宋_GB2312" w:cs="DengXian-Regular"/>
          <w:sz w:val="32"/>
          <w:szCs w:val="32"/>
        </w:rPr>
      </w:pPr>
      <w:r>
        <w:rPr>
          <w:rFonts w:hint="eastAsia" w:ascii="仿宋_GB2312" w:eastAsia="仿宋_GB2312" w:cs="DengXian-Regular"/>
          <w:sz w:val="32"/>
          <w:szCs w:val="32"/>
        </w:rPr>
        <w:t>2019年中国人民政治协商会议保定市徐水区委员会预算收入553.67万元，均为一般公共预算拨款，其中：财政拨款553.67万元，中央财政提前通知转移支付0万元。预算收入按功能分类包含：一般</w:t>
      </w:r>
      <w:r>
        <w:rPr>
          <w:rFonts w:ascii="仿宋_GB2312" w:eastAsia="仿宋_GB2312" w:cs="DengXian-Regular"/>
          <w:sz w:val="32"/>
          <w:szCs w:val="32"/>
        </w:rPr>
        <w:t>公共服务</w:t>
      </w:r>
      <w:r>
        <w:rPr>
          <w:rFonts w:hint="eastAsia" w:ascii="仿宋_GB2312" w:eastAsia="仿宋_GB2312" w:cs="DengXian-Regular"/>
          <w:sz w:val="32"/>
          <w:szCs w:val="32"/>
        </w:rPr>
        <w:t>支出445.88万元，社会保障和就业支出70.36万元，卫生健康支出20.39万元，住房保障支出17.04万元。具体预算收入详见附件2。</w:t>
      </w:r>
    </w:p>
    <w:p>
      <w:pPr>
        <w:spacing w:after="0" w:line="360" w:lineRule="auto"/>
        <w:ind w:firstLine="640"/>
        <w:jc w:val="both"/>
        <w:textAlignment w:val="baseline"/>
        <w:rPr>
          <w:rFonts w:ascii="仿宋_GB2312" w:eastAsia="仿宋_GB2312" w:cs="DengXian-Regular"/>
          <w:sz w:val="32"/>
          <w:szCs w:val="32"/>
        </w:rPr>
      </w:pPr>
      <w:r>
        <w:rPr>
          <w:rFonts w:hint="eastAsia" w:ascii="仿宋_GB2312" w:eastAsia="仿宋_GB2312" w:cs="DengXian-Regular"/>
          <w:sz w:val="32"/>
          <w:szCs w:val="32"/>
        </w:rPr>
        <w:t>2019年中国人民政治协商会议保定市徐水区委员会决算收入476.80万元，其中：财政拨款收入476.78万元，其他收入</w:t>
      </w:r>
      <w:r>
        <w:rPr>
          <w:rFonts w:ascii="仿宋_GB2312" w:eastAsia="仿宋_GB2312" w:cs="DengXian-Regular"/>
          <w:sz w:val="32"/>
          <w:szCs w:val="32"/>
        </w:rPr>
        <w:t>0.0</w:t>
      </w:r>
      <w:r>
        <w:rPr>
          <w:rFonts w:hint="eastAsia" w:ascii="仿宋_GB2312" w:eastAsia="仿宋_GB2312" w:cs="DengXian-Regular"/>
          <w:sz w:val="32"/>
          <w:szCs w:val="32"/>
        </w:rPr>
        <w:t>2万元（全部为利息收入）。决算收入按功能分类包含：一般公共</w:t>
      </w:r>
      <w:r>
        <w:rPr>
          <w:rFonts w:ascii="仿宋_GB2312" w:eastAsia="仿宋_GB2312" w:cs="DengXian-Regular"/>
          <w:sz w:val="32"/>
          <w:szCs w:val="32"/>
        </w:rPr>
        <w:t>服务支出</w:t>
      </w:r>
      <w:r>
        <w:rPr>
          <w:rFonts w:hint="eastAsia" w:ascii="仿宋_GB2312" w:eastAsia="仿宋_GB2312" w:cs="DengXian-Regular"/>
          <w:sz w:val="32"/>
          <w:szCs w:val="32"/>
        </w:rPr>
        <w:t>304.77万元，占比63.92%；社会保障和就业支出150.89万元，占比31.65%；卫生健康支出</w:t>
      </w:r>
      <w:r>
        <w:rPr>
          <w:rFonts w:ascii="仿宋_GB2312" w:eastAsia="仿宋_GB2312" w:cs="DengXian-Regular"/>
          <w:sz w:val="32"/>
          <w:szCs w:val="32"/>
        </w:rPr>
        <w:t>8.</w:t>
      </w:r>
      <w:r>
        <w:rPr>
          <w:rFonts w:hint="eastAsia" w:ascii="仿宋_GB2312" w:eastAsia="仿宋_GB2312" w:cs="DengXian-Regular"/>
          <w:sz w:val="32"/>
          <w:szCs w:val="32"/>
        </w:rPr>
        <w:t>28万元，占比1.74%；住房保障支出</w:t>
      </w:r>
      <w:r>
        <w:rPr>
          <w:rFonts w:ascii="仿宋_GB2312" w:eastAsia="仿宋_GB2312" w:cs="DengXian-Regular"/>
          <w:sz w:val="32"/>
          <w:szCs w:val="32"/>
        </w:rPr>
        <w:t>16.</w:t>
      </w:r>
      <w:r>
        <w:rPr>
          <w:rFonts w:hint="eastAsia" w:ascii="仿宋_GB2312" w:eastAsia="仿宋_GB2312" w:cs="DengXian-Regular"/>
          <w:sz w:val="32"/>
          <w:szCs w:val="32"/>
        </w:rPr>
        <w:t>1万元，占比3.38%。具体决算收入详见附件2。</w:t>
      </w:r>
    </w:p>
    <w:p>
      <w:pPr>
        <w:spacing w:after="0" w:line="360" w:lineRule="auto"/>
        <w:ind w:firstLine="640"/>
        <w:jc w:val="both"/>
        <w:rPr>
          <w:rFonts w:ascii="仿宋_GB2312" w:eastAsia="仿宋_GB2312" w:cs="Times New Roman" w:hAnsiTheme="minorEastAsia"/>
          <w:bCs/>
          <w:sz w:val="32"/>
          <w:szCs w:val="32"/>
          <w:u w:color="000000"/>
        </w:rPr>
      </w:pPr>
      <w:r>
        <w:rPr>
          <w:rFonts w:hint="eastAsia" w:ascii="仿宋_GB2312" w:eastAsia="仿宋_GB2312" w:cs="DengXian-Regular"/>
          <w:sz w:val="32"/>
          <w:szCs w:val="32"/>
        </w:rPr>
        <w:t>中国人民政治协商会议保定市徐水区委员会一般公共预算财政拨款决算收入比年初预算减少76.89万元，完成年初预算的</w:t>
      </w:r>
      <w:r>
        <w:rPr>
          <w:rFonts w:ascii="仿宋_GB2312" w:eastAsia="仿宋_GB2312" w:cs="DengXian-Regular"/>
          <w:sz w:val="32"/>
          <w:szCs w:val="32"/>
        </w:rPr>
        <w:t>8</w:t>
      </w:r>
      <w:r>
        <w:rPr>
          <w:rFonts w:hint="eastAsia" w:ascii="仿宋_GB2312" w:eastAsia="仿宋_GB2312" w:cs="DengXian-Regular"/>
          <w:sz w:val="32"/>
          <w:szCs w:val="32"/>
        </w:rPr>
        <w:t>6.11%。决算收入小于预算收入的主要原因为</w:t>
      </w:r>
      <w:r>
        <w:rPr>
          <w:rFonts w:hint="eastAsia" w:ascii="仿宋_GB2312" w:hAnsi="Times New Roman" w:eastAsia="仿宋_GB2312" w:cs="DengXian-Regular"/>
          <w:kern w:val="2"/>
          <w:sz w:val="32"/>
          <w:szCs w:val="32"/>
        </w:rPr>
        <w:t>认真贯彻落实中央八项规定精神和厉行节约要求，从严控制“三公”经费开支，全年实际支出比预算有所节约</w:t>
      </w:r>
      <w:r>
        <w:rPr>
          <w:rFonts w:hint="eastAsia" w:ascii="仿宋_GB2312" w:eastAsia="仿宋_GB2312" w:cs="DengXian-Regular"/>
          <w:sz w:val="32"/>
          <w:szCs w:val="32"/>
        </w:rPr>
        <w:t>。</w:t>
      </w:r>
    </w:p>
    <w:p>
      <w:pPr>
        <w:pStyle w:val="4"/>
        <w:spacing w:before="0" w:after="0"/>
        <w:ind w:firstLine="643"/>
        <w:jc w:val="both"/>
        <w:rPr>
          <w:rFonts w:ascii="仿宋_GB2312" w:hAnsiTheme="minorEastAsia"/>
          <w:sz w:val="32"/>
        </w:rPr>
      </w:pPr>
      <w:bookmarkStart w:id="11" w:name="_Toc57553856"/>
      <w:r>
        <w:rPr>
          <w:rFonts w:hint="eastAsia" w:ascii="仿宋_GB2312" w:hAnsiTheme="minorEastAsia"/>
          <w:sz w:val="32"/>
        </w:rPr>
        <w:t>（四）预算支出及决算</w:t>
      </w:r>
      <w:bookmarkEnd w:id="9"/>
      <w:bookmarkEnd w:id="10"/>
      <w:r>
        <w:rPr>
          <w:rFonts w:hint="eastAsia" w:ascii="仿宋_GB2312" w:hAnsiTheme="minorEastAsia"/>
          <w:sz w:val="32"/>
        </w:rPr>
        <w:t>支出</w:t>
      </w:r>
      <w:bookmarkEnd w:id="11"/>
    </w:p>
    <w:p>
      <w:pPr>
        <w:spacing w:after="0" w:line="360" w:lineRule="auto"/>
        <w:ind w:firstLine="640"/>
        <w:jc w:val="both"/>
        <w:rPr>
          <w:rFonts w:ascii="仿宋_GB2312" w:eastAsia="仿宋_GB2312" w:cs="Times New Roman" w:hAnsiTheme="minorEastAsia"/>
          <w:sz w:val="32"/>
          <w:szCs w:val="32"/>
          <w:u w:color="000000"/>
        </w:rPr>
      </w:pPr>
      <w:r>
        <w:rPr>
          <w:rFonts w:hint="eastAsia" w:ascii="仿宋_GB2312" w:eastAsia="仿宋_GB2312" w:cs="DengXian-Regular"/>
          <w:sz w:val="32"/>
          <w:szCs w:val="32"/>
        </w:rPr>
        <w:t>2019年度中国人民政治协商会议保定市徐水区委员会</w:t>
      </w:r>
      <w:r>
        <w:rPr>
          <w:rFonts w:hint="eastAsia" w:ascii="仿宋_GB2312" w:eastAsia="仿宋_GB2312" w:cs="Times New Roman" w:hAnsiTheme="minorEastAsia"/>
          <w:sz w:val="32"/>
          <w:szCs w:val="32"/>
          <w:u w:color="000000"/>
        </w:rPr>
        <w:t>预算支出安排553.67万元，其中：基本支出490.15万元，项目支出63.52万元。预算支出按功能分类包含：一般公共</w:t>
      </w:r>
      <w:r>
        <w:rPr>
          <w:rFonts w:ascii="仿宋_GB2312" w:eastAsia="仿宋_GB2312" w:cs="Times New Roman" w:hAnsiTheme="minorEastAsia"/>
          <w:sz w:val="32"/>
          <w:szCs w:val="32"/>
          <w:u w:color="000000"/>
        </w:rPr>
        <w:t>服务</w:t>
      </w:r>
      <w:r>
        <w:rPr>
          <w:rFonts w:hint="eastAsia" w:ascii="仿宋_GB2312" w:eastAsia="仿宋_GB2312" w:cs="Times New Roman" w:hAnsiTheme="minorEastAsia"/>
          <w:sz w:val="32"/>
          <w:szCs w:val="32"/>
          <w:u w:color="000000"/>
        </w:rPr>
        <w:t>支出445.88万元，社会保障和就业支出</w:t>
      </w:r>
      <w:r>
        <w:rPr>
          <w:rFonts w:ascii="仿宋_GB2312" w:eastAsia="仿宋_GB2312" w:cs="Times New Roman" w:hAnsiTheme="minorEastAsia"/>
          <w:sz w:val="32"/>
          <w:szCs w:val="32"/>
          <w:u w:color="000000"/>
        </w:rPr>
        <w:t>7</w:t>
      </w:r>
      <w:r>
        <w:rPr>
          <w:rFonts w:hint="eastAsia" w:ascii="仿宋_GB2312" w:eastAsia="仿宋_GB2312" w:cs="Times New Roman" w:hAnsiTheme="minorEastAsia"/>
          <w:sz w:val="32"/>
          <w:szCs w:val="32"/>
          <w:u w:color="000000"/>
        </w:rPr>
        <w:t>0</w:t>
      </w:r>
      <w:r>
        <w:rPr>
          <w:rFonts w:ascii="仿宋_GB2312" w:eastAsia="仿宋_GB2312" w:cs="Times New Roman" w:hAnsiTheme="minorEastAsia"/>
          <w:sz w:val="32"/>
          <w:szCs w:val="32"/>
          <w:u w:color="000000"/>
        </w:rPr>
        <w:t>.</w:t>
      </w:r>
      <w:r>
        <w:rPr>
          <w:rFonts w:hint="eastAsia" w:ascii="仿宋_GB2312" w:eastAsia="仿宋_GB2312" w:cs="Times New Roman" w:hAnsiTheme="minorEastAsia"/>
          <w:sz w:val="32"/>
          <w:szCs w:val="32"/>
          <w:u w:color="000000"/>
        </w:rPr>
        <w:t>36万元，卫生健康支出20.39万元，住房保障支出</w:t>
      </w:r>
      <w:r>
        <w:rPr>
          <w:rFonts w:ascii="仿宋_GB2312" w:eastAsia="仿宋_GB2312" w:cs="Times New Roman" w:hAnsiTheme="minorEastAsia"/>
          <w:sz w:val="32"/>
          <w:szCs w:val="32"/>
          <w:u w:color="000000"/>
        </w:rPr>
        <w:t>17.</w:t>
      </w:r>
      <w:r>
        <w:rPr>
          <w:rFonts w:hint="eastAsia" w:ascii="仿宋_GB2312" w:eastAsia="仿宋_GB2312" w:cs="Times New Roman" w:hAnsiTheme="minorEastAsia"/>
          <w:sz w:val="32"/>
          <w:szCs w:val="32"/>
          <w:u w:color="000000"/>
        </w:rPr>
        <w:t>0</w:t>
      </w:r>
      <w:r>
        <w:rPr>
          <w:rFonts w:ascii="仿宋_GB2312" w:eastAsia="仿宋_GB2312" w:cs="Times New Roman" w:hAnsiTheme="minorEastAsia"/>
          <w:sz w:val="32"/>
          <w:szCs w:val="32"/>
          <w:u w:color="000000"/>
        </w:rPr>
        <w:t>4</w:t>
      </w:r>
      <w:r>
        <w:rPr>
          <w:rFonts w:hint="eastAsia" w:ascii="仿宋_GB2312" w:eastAsia="仿宋_GB2312" w:cs="Times New Roman" w:hAnsiTheme="minorEastAsia"/>
          <w:sz w:val="32"/>
          <w:szCs w:val="32"/>
          <w:u w:color="000000"/>
        </w:rPr>
        <w:t>万元。具体预算支出详见附件2。</w:t>
      </w:r>
    </w:p>
    <w:p>
      <w:pPr>
        <w:spacing w:after="0" w:line="360" w:lineRule="auto"/>
        <w:ind w:firstLine="640"/>
        <w:jc w:val="both"/>
        <w:rPr>
          <w:rFonts w:ascii="仿宋_GB2312" w:eastAsia="仿宋_GB2312" w:cs="Times New Roman" w:hAnsiTheme="minorEastAsia"/>
          <w:sz w:val="32"/>
          <w:szCs w:val="32"/>
          <w:u w:color="000000"/>
        </w:rPr>
      </w:pPr>
      <w:r>
        <w:rPr>
          <w:rFonts w:hint="eastAsia" w:ascii="仿宋_GB2312" w:eastAsia="仿宋_GB2312" w:cs="DengXian-Regular"/>
          <w:sz w:val="32"/>
          <w:szCs w:val="32"/>
        </w:rPr>
        <w:t>2019年度中国人民政治协商会议保定市徐水区委员会</w:t>
      </w:r>
      <w:r>
        <w:rPr>
          <w:rFonts w:hint="eastAsia" w:ascii="仿宋_GB2312" w:eastAsia="仿宋_GB2312" w:cs="Times New Roman" w:hAnsiTheme="minorEastAsia"/>
          <w:sz w:val="32"/>
          <w:szCs w:val="32"/>
          <w:u w:color="000000"/>
        </w:rPr>
        <w:t>决算支出为480.05万元，其中：基本支出424.59万元，项目支出55.47万元。决算支出按功能分类包含：一般公共服务支出308.43万元，占比64.25%；社会保障和就业支出150.9万元，占比31.43%；卫生健康支出8.28万元，占比1.7%；农林水</w:t>
      </w:r>
      <w:r>
        <w:rPr>
          <w:rFonts w:ascii="仿宋_GB2312" w:eastAsia="仿宋_GB2312" w:cs="Times New Roman" w:hAnsiTheme="minorEastAsia"/>
          <w:sz w:val="32"/>
          <w:szCs w:val="32"/>
          <w:u w:color="000000"/>
        </w:rPr>
        <w:t>支出</w:t>
      </w:r>
      <w:r>
        <w:rPr>
          <w:rFonts w:hint="eastAsia" w:ascii="仿宋_GB2312" w:eastAsia="仿宋_GB2312" w:cs="Times New Roman" w:hAnsiTheme="minorEastAsia"/>
          <w:sz w:val="32"/>
          <w:szCs w:val="32"/>
          <w:u w:color="000000"/>
        </w:rPr>
        <w:t>0万元</w:t>
      </w:r>
      <w:r>
        <w:rPr>
          <w:rFonts w:ascii="仿宋_GB2312" w:eastAsia="仿宋_GB2312" w:cs="Times New Roman" w:hAnsiTheme="minorEastAsia"/>
          <w:sz w:val="32"/>
          <w:szCs w:val="32"/>
          <w:u w:color="000000"/>
        </w:rPr>
        <w:t>，占比</w:t>
      </w:r>
      <w:r>
        <w:rPr>
          <w:rFonts w:hint="eastAsia" w:ascii="仿宋_GB2312" w:eastAsia="仿宋_GB2312" w:cs="Times New Roman" w:hAnsiTheme="minorEastAsia"/>
          <w:sz w:val="32"/>
          <w:szCs w:val="32"/>
          <w:u w:color="000000"/>
        </w:rPr>
        <w:t>0</w:t>
      </w:r>
      <w:r>
        <w:rPr>
          <w:rFonts w:ascii="仿宋_GB2312" w:eastAsia="仿宋_GB2312" w:cs="Times New Roman" w:hAnsiTheme="minorEastAsia"/>
          <w:sz w:val="32"/>
          <w:szCs w:val="32"/>
          <w:u w:color="000000"/>
        </w:rPr>
        <w:t>%；</w:t>
      </w:r>
      <w:r>
        <w:rPr>
          <w:rFonts w:hint="eastAsia" w:ascii="仿宋_GB2312" w:eastAsia="仿宋_GB2312" w:cs="Times New Roman" w:hAnsiTheme="minorEastAsia"/>
          <w:sz w:val="32"/>
          <w:szCs w:val="32"/>
          <w:u w:color="000000"/>
        </w:rPr>
        <w:t>住房保障支出</w:t>
      </w:r>
      <w:r>
        <w:rPr>
          <w:rFonts w:ascii="仿宋_GB2312" w:eastAsia="仿宋_GB2312" w:cs="Times New Roman" w:hAnsiTheme="minorEastAsia"/>
          <w:sz w:val="32"/>
          <w:szCs w:val="32"/>
          <w:u w:color="000000"/>
        </w:rPr>
        <w:t>16.</w:t>
      </w:r>
      <w:r>
        <w:rPr>
          <w:rFonts w:hint="eastAsia" w:ascii="仿宋_GB2312" w:eastAsia="仿宋_GB2312" w:cs="Times New Roman" w:hAnsiTheme="minorEastAsia"/>
          <w:sz w:val="32"/>
          <w:szCs w:val="32"/>
          <w:u w:color="000000"/>
        </w:rPr>
        <w:t>1万元，占比3.35%。具体决算支出详见附件2。</w:t>
      </w:r>
    </w:p>
    <w:p>
      <w:pPr>
        <w:spacing w:after="0" w:line="360" w:lineRule="auto"/>
        <w:ind w:firstLine="640"/>
        <w:jc w:val="both"/>
        <w:rPr>
          <w:rFonts w:ascii="仿宋_GB2312" w:eastAsia="仿宋_GB2312" w:cs="DengXian-Regular"/>
          <w:sz w:val="32"/>
          <w:szCs w:val="32"/>
        </w:rPr>
      </w:pPr>
      <w:r>
        <w:rPr>
          <w:rFonts w:hint="eastAsia" w:ascii="仿宋_GB2312" w:eastAsia="仿宋_GB2312" w:cs="DengXian-Regular"/>
          <w:sz w:val="32"/>
          <w:szCs w:val="32"/>
        </w:rPr>
        <w:t>财政拨款决算支出比年初预算减少76.89万元。决算支出完成年初预算的</w:t>
      </w:r>
      <w:r>
        <w:rPr>
          <w:rFonts w:ascii="仿宋_GB2312" w:eastAsia="仿宋_GB2312" w:cs="DengXian-Regular"/>
          <w:sz w:val="32"/>
          <w:szCs w:val="32"/>
        </w:rPr>
        <w:t>8</w:t>
      </w:r>
      <w:r>
        <w:rPr>
          <w:rFonts w:hint="eastAsia" w:ascii="仿宋_GB2312" w:eastAsia="仿宋_GB2312" w:cs="DengXian-Regular"/>
          <w:sz w:val="32"/>
          <w:szCs w:val="32"/>
        </w:rPr>
        <w:t>6.11%。</w:t>
      </w:r>
      <w:r>
        <w:rPr>
          <w:rFonts w:hint="eastAsia" w:ascii="仿宋_GB2312" w:eastAsia="仿宋_GB2312" w:cs="Times New Roman" w:hAnsiTheme="minorEastAsia"/>
          <w:sz w:val="32"/>
          <w:szCs w:val="32"/>
          <w:u w:color="000000"/>
        </w:rPr>
        <w:t>决算支出小于预算支出的</w:t>
      </w:r>
      <w:r>
        <w:rPr>
          <w:rFonts w:hint="eastAsia" w:ascii="仿宋_GB2312" w:eastAsia="仿宋_GB2312" w:cs="DengXian-Regular"/>
          <w:sz w:val="32"/>
          <w:szCs w:val="32"/>
        </w:rPr>
        <w:t>主要原因为2019年度</w:t>
      </w:r>
      <w:r>
        <w:rPr>
          <w:rFonts w:hint="eastAsia" w:ascii="仿宋_GB2312" w:hAnsi="Times New Roman" w:eastAsia="仿宋_GB2312" w:cs="DengXian-Regular"/>
          <w:kern w:val="2"/>
          <w:sz w:val="32"/>
          <w:szCs w:val="32"/>
        </w:rPr>
        <w:t>是认真贯彻落实中央八项规定精神和厉行节约要求，从严控制“三公”经费开支，全年实际支出比预算有所节约</w:t>
      </w:r>
      <w:r>
        <w:rPr>
          <w:rFonts w:hint="eastAsia" w:ascii="仿宋" w:hAnsi="仿宋" w:eastAsia="仿宋"/>
          <w:snapToGrid w:val="0"/>
          <w:sz w:val="32"/>
          <w:szCs w:val="32"/>
        </w:rPr>
        <w:t>。</w:t>
      </w:r>
    </w:p>
    <w:p>
      <w:pPr>
        <w:spacing w:after="0" w:line="360" w:lineRule="auto"/>
        <w:ind w:firstLine="640"/>
        <w:jc w:val="both"/>
        <w:rPr>
          <w:rFonts w:ascii="仿宋_GB2312" w:eastAsia="仿宋_GB2312" w:cs="DengXian-Regular"/>
          <w:sz w:val="32"/>
          <w:szCs w:val="32"/>
        </w:rPr>
      </w:pPr>
      <w:r>
        <w:rPr>
          <w:rFonts w:hint="eastAsia" w:ascii="仿宋_GB2312" w:eastAsia="仿宋_GB2312" w:cs="DengXian-Regular"/>
          <w:sz w:val="32"/>
          <w:szCs w:val="32"/>
        </w:rPr>
        <w:t>中国人民政治协商会议保定市徐水区委员会办公室2019年实际项目支出55.47万元，决算报表中项目支出55.47万元，实际支出与决算报表差</w:t>
      </w:r>
      <w:r>
        <w:rPr>
          <w:rFonts w:ascii="仿宋_GB2312" w:eastAsia="仿宋_GB2312" w:cs="DengXian-Regular"/>
          <w:sz w:val="32"/>
          <w:szCs w:val="32"/>
        </w:rPr>
        <w:t>0</w:t>
      </w:r>
      <w:r>
        <w:rPr>
          <w:rFonts w:hint="eastAsia" w:ascii="仿宋_GB2312" w:eastAsia="仿宋_GB2312" w:cs="DengXian-Regular"/>
          <w:sz w:val="32"/>
          <w:szCs w:val="32"/>
        </w:rPr>
        <w:t>万元。</w:t>
      </w:r>
    </w:p>
    <w:p>
      <w:pPr>
        <w:pStyle w:val="4"/>
        <w:spacing w:before="0" w:after="0"/>
        <w:ind w:firstLine="643"/>
        <w:jc w:val="both"/>
        <w:rPr>
          <w:rFonts w:ascii="仿宋_GB2312" w:hAnsi="Tahoma" w:cs="DengXian-Regular"/>
          <w:sz w:val="32"/>
        </w:rPr>
      </w:pPr>
      <w:bookmarkStart w:id="12" w:name="_Toc57553857"/>
      <w:bookmarkStart w:id="13" w:name="_Toc465149503"/>
      <w:bookmarkStart w:id="14" w:name="_Toc492652769"/>
      <w:r>
        <w:rPr>
          <w:rFonts w:hint="eastAsia" w:ascii="仿宋_GB2312" w:hAnsi="Tahoma" w:cs="DengXian-Regular"/>
          <w:sz w:val="32"/>
        </w:rPr>
        <w:t>（五）“三公”经费预算安排及支出情况</w:t>
      </w:r>
      <w:bookmarkEnd w:id="12"/>
      <w:bookmarkEnd w:id="13"/>
      <w:bookmarkEnd w:id="14"/>
    </w:p>
    <w:p>
      <w:pPr>
        <w:spacing w:after="0" w:line="360" w:lineRule="auto"/>
        <w:ind w:firstLine="640"/>
        <w:jc w:val="both"/>
        <w:rPr>
          <w:rFonts w:ascii="仿宋_GB2312" w:eastAsia="仿宋_GB2312" w:cs="DengXian-Regular"/>
          <w:sz w:val="32"/>
          <w:szCs w:val="32"/>
        </w:rPr>
      </w:pPr>
      <w:r>
        <w:rPr>
          <w:rFonts w:hint="eastAsia" w:ascii="仿宋_GB2312" w:eastAsia="仿宋_GB2312" w:cs="DengXian-Regular"/>
          <w:sz w:val="32"/>
          <w:szCs w:val="32"/>
        </w:rPr>
        <w:t>2019年中国人民政治协商会议保定市徐水区委员会办公室“三公”经费预算16万元（公务用车运行维护费16万元，公务接待费2万元），实际支出5.57万元（公务用车运行维护费</w:t>
      </w:r>
      <w:r>
        <w:rPr>
          <w:rFonts w:ascii="仿宋_GB2312" w:eastAsia="仿宋_GB2312" w:cs="DengXian-Regular"/>
          <w:sz w:val="32"/>
          <w:szCs w:val="32"/>
        </w:rPr>
        <w:t>5.</w:t>
      </w:r>
      <w:r>
        <w:rPr>
          <w:rFonts w:hint="eastAsia" w:ascii="仿宋_GB2312" w:eastAsia="仿宋_GB2312" w:cs="DengXian-Regular"/>
          <w:sz w:val="32"/>
          <w:szCs w:val="32"/>
        </w:rPr>
        <w:t>24万元，公务接待费0.33万元），比预算减少</w:t>
      </w:r>
      <w:r>
        <w:rPr>
          <w:rFonts w:ascii="仿宋_GB2312" w:eastAsia="仿宋_GB2312" w:cs="DengXian-Regular"/>
          <w:sz w:val="32"/>
          <w:szCs w:val="32"/>
        </w:rPr>
        <w:t>1</w:t>
      </w:r>
      <w:r>
        <w:rPr>
          <w:rFonts w:hint="eastAsia" w:ascii="仿宋_GB2312" w:eastAsia="仿宋_GB2312" w:cs="DengXian-Regular"/>
          <w:sz w:val="32"/>
          <w:szCs w:val="32"/>
        </w:rPr>
        <w:t>2.43万元，节约率69.05%。2019年“三公”经费预算数与2018年预算数相比无变化，决算数与2018年实际支出相比，减少</w:t>
      </w:r>
      <w:r>
        <w:rPr>
          <w:rFonts w:ascii="仿宋_GB2312" w:eastAsia="仿宋_GB2312" w:cs="DengXian-Regular"/>
          <w:sz w:val="32"/>
          <w:szCs w:val="32"/>
        </w:rPr>
        <w:t>7.18</w:t>
      </w:r>
      <w:r>
        <w:rPr>
          <w:rFonts w:hint="eastAsia" w:ascii="仿宋_GB2312" w:eastAsia="仿宋_GB2312" w:cs="DengXian-Regular"/>
          <w:sz w:val="32"/>
          <w:szCs w:val="32"/>
        </w:rPr>
        <w:t>万元。具体详见表1。</w:t>
      </w:r>
    </w:p>
    <w:p>
      <w:pPr>
        <w:spacing w:after="0" w:line="360" w:lineRule="auto"/>
        <w:ind w:firstLine="643"/>
        <w:jc w:val="both"/>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 xml:space="preserve">表1  </w:t>
      </w:r>
      <w:r>
        <w:rPr>
          <w:rFonts w:hint="eastAsia" w:ascii="仿宋_GB2312" w:eastAsia="仿宋_GB2312" w:cs="DengXian-Regular"/>
          <w:sz w:val="32"/>
          <w:szCs w:val="32"/>
        </w:rPr>
        <w:t>中国人民政治协商会议保定市徐水区委员会办公室</w:t>
      </w:r>
      <w:r>
        <w:rPr>
          <w:rFonts w:hint="eastAsia" w:asciiTheme="minorEastAsia" w:hAnsiTheme="minorEastAsia" w:eastAsiaTheme="minorEastAsia" w:cstheme="minorEastAsia"/>
          <w:b/>
          <w:bCs/>
          <w:sz w:val="32"/>
          <w:szCs w:val="32"/>
        </w:rPr>
        <w:t>“三公”经费预算及决算明细表</w:t>
      </w:r>
    </w:p>
    <w:p>
      <w:pPr>
        <w:spacing w:after="0" w:line="540" w:lineRule="exact"/>
        <w:ind w:firstLine="420"/>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单位：万元</w:t>
      </w:r>
    </w:p>
    <w:tbl>
      <w:tblPr>
        <w:tblStyle w:val="9"/>
        <w:tblW w:w="8565" w:type="dxa"/>
        <w:tblInd w:w="0" w:type="dxa"/>
        <w:tblLayout w:type="fixed"/>
        <w:tblCellMar>
          <w:top w:w="0" w:type="dxa"/>
          <w:left w:w="0" w:type="dxa"/>
          <w:bottom w:w="0" w:type="dxa"/>
          <w:right w:w="0" w:type="dxa"/>
        </w:tblCellMar>
      </w:tblPr>
      <w:tblGrid>
        <w:gridCol w:w="549"/>
        <w:gridCol w:w="1818"/>
        <w:gridCol w:w="993"/>
        <w:gridCol w:w="932"/>
        <w:gridCol w:w="1022"/>
        <w:gridCol w:w="947"/>
        <w:gridCol w:w="1149"/>
        <w:gridCol w:w="1155"/>
      </w:tblGrid>
      <w:tr>
        <w:tblPrEx>
          <w:tblCellMar>
            <w:top w:w="0" w:type="dxa"/>
            <w:left w:w="0" w:type="dxa"/>
            <w:bottom w:w="0" w:type="dxa"/>
            <w:right w:w="0" w:type="dxa"/>
          </w:tblCellMar>
        </w:tblPrEx>
        <w:trPr>
          <w:trHeight w:val="454" w:hRule="atLeast"/>
        </w:trPr>
        <w:tc>
          <w:tcPr>
            <w:tcW w:w="549" w:type="dxa"/>
            <w:vMerge w:val="restar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after="0"/>
              <w:ind w:firstLine="422"/>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序号</w:t>
            </w:r>
          </w:p>
        </w:tc>
        <w:tc>
          <w:tcPr>
            <w:tcW w:w="1818"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after="0"/>
              <w:ind w:firstLine="422"/>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支出内容</w:t>
            </w:r>
          </w:p>
        </w:tc>
        <w:tc>
          <w:tcPr>
            <w:tcW w:w="1925"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after="0"/>
              <w:ind w:firstLine="422"/>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2018年</w:t>
            </w:r>
          </w:p>
        </w:tc>
        <w:tc>
          <w:tcPr>
            <w:tcW w:w="1969" w:type="dxa"/>
            <w:gridSpan w:val="2"/>
            <w:tcBorders>
              <w:top w:val="single" w:color="000000" w:sz="4" w:space="0"/>
              <w:left w:val="single" w:color="auto" w:sz="4" w:space="0"/>
              <w:bottom w:val="single" w:color="000000" w:sz="4" w:space="0"/>
              <w:right w:val="nil"/>
            </w:tcBorders>
            <w:shd w:val="clear" w:color="auto" w:fill="auto"/>
            <w:tcMar>
              <w:top w:w="15" w:type="dxa"/>
              <w:left w:w="15" w:type="dxa"/>
              <w:right w:w="15" w:type="dxa"/>
            </w:tcMar>
            <w:vAlign w:val="center"/>
          </w:tcPr>
          <w:p>
            <w:pPr>
              <w:spacing w:after="0"/>
              <w:ind w:firstLine="422"/>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2019年</w:t>
            </w:r>
          </w:p>
        </w:tc>
        <w:tc>
          <w:tcPr>
            <w:tcW w:w="23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ind w:firstLine="422"/>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环比情况</w:t>
            </w:r>
          </w:p>
        </w:tc>
      </w:tr>
      <w:tr>
        <w:tblPrEx>
          <w:tblCellMar>
            <w:top w:w="0" w:type="dxa"/>
            <w:left w:w="0" w:type="dxa"/>
            <w:bottom w:w="0" w:type="dxa"/>
            <w:right w:w="0" w:type="dxa"/>
          </w:tblCellMar>
        </w:tblPrEx>
        <w:trPr>
          <w:trHeight w:val="454" w:hRule="atLeast"/>
        </w:trPr>
        <w:tc>
          <w:tcPr>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tc>
        <w:tc>
          <w:tcPr>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tcPr>
          <w:p/>
        </w:tc>
        <w:tc>
          <w:tcPr>
            <w:tcW w:w="9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after="0"/>
              <w:ind w:firstLine="422"/>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预算安排</w:t>
            </w:r>
          </w:p>
        </w:tc>
        <w:tc>
          <w:tcPr>
            <w:tcW w:w="932" w:type="dxa"/>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spacing w:after="0"/>
              <w:ind w:firstLine="422"/>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实际支出</w:t>
            </w:r>
          </w:p>
        </w:tc>
        <w:tc>
          <w:tcPr>
            <w:tcW w:w="102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spacing w:after="0"/>
              <w:ind w:firstLine="422"/>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预算安排</w:t>
            </w:r>
          </w:p>
        </w:tc>
        <w:tc>
          <w:tcPr>
            <w:tcW w:w="94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spacing w:after="0"/>
              <w:ind w:firstLine="422"/>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实际支出</w:t>
            </w:r>
          </w:p>
        </w:tc>
        <w:tc>
          <w:tcPr>
            <w:tcW w:w="114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spacing w:after="0"/>
              <w:ind w:firstLine="422"/>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较上年预算增减金额</w:t>
            </w:r>
          </w:p>
        </w:tc>
        <w:tc>
          <w:tcPr>
            <w:tcW w:w="115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spacing w:after="0"/>
              <w:ind w:firstLine="422"/>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较上年支出增减金额</w:t>
            </w:r>
          </w:p>
        </w:tc>
      </w:tr>
      <w:tr>
        <w:tblPrEx>
          <w:tblCellMar>
            <w:top w:w="0" w:type="dxa"/>
            <w:left w:w="0" w:type="dxa"/>
            <w:bottom w:w="0" w:type="dxa"/>
            <w:right w:w="0" w:type="dxa"/>
          </w:tblCellMar>
        </w:tblPrEx>
        <w:trPr>
          <w:trHeight w:val="454" w:hRule="atLeast"/>
        </w:trPr>
        <w:tc>
          <w:tcPr>
            <w:tcW w:w="549"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ind w:firstLine="42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w:t>
            </w:r>
          </w:p>
        </w:tc>
        <w:tc>
          <w:tcPr>
            <w:tcW w:w="1818" w:type="dxa"/>
            <w:tcBorders>
              <w:top w:val="single" w:color="auto" w:sz="4" w:space="0"/>
              <w:left w:val="single" w:color="000000" w:sz="4" w:space="0"/>
              <w:bottom w:val="single" w:color="000000" w:sz="4" w:space="0"/>
              <w:right w:val="nil"/>
            </w:tcBorders>
            <w:shd w:val="clear" w:color="auto" w:fill="auto"/>
            <w:tcMar>
              <w:top w:w="15" w:type="dxa"/>
              <w:left w:w="15" w:type="dxa"/>
              <w:right w:w="15" w:type="dxa"/>
            </w:tcMar>
            <w:vAlign w:val="center"/>
          </w:tcPr>
          <w:p>
            <w:pPr>
              <w:spacing w:after="0"/>
              <w:ind w:firstLine="42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因公出国（境）费</w:t>
            </w:r>
          </w:p>
        </w:tc>
        <w:tc>
          <w:tcPr>
            <w:tcW w:w="993"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ind w:firstLine="42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0</w:t>
            </w:r>
          </w:p>
        </w:tc>
        <w:tc>
          <w:tcPr>
            <w:tcW w:w="9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ind w:firstLine="42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0</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ind w:firstLine="42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0</w:t>
            </w:r>
          </w:p>
        </w:tc>
        <w:tc>
          <w:tcPr>
            <w:tcW w:w="94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after="0"/>
              <w:ind w:firstLine="42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0</w:t>
            </w:r>
          </w:p>
        </w:tc>
        <w:tc>
          <w:tcPr>
            <w:tcW w:w="114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after="0"/>
              <w:ind w:firstLine="42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0</w:t>
            </w: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after="0"/>
              <w:ind w:firstLine="42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0</w:t>
            </w:r>
          </w:p>
        </w:tc>
      </w:tr>
      <w:tr>
        <w:tblPrEx>
          <w:tblCellMar>
            <w:top w:w="0" w:type="dxa"/>
            <w:left w:w="0" w:type="dxa"/>
            <w:bottom w:w="0" w:type="dxa"/>
            <w:right w:w="0" w:type="dxa"/>
          </w:tblCellMar>
        </w:tblPrEx>
        <w:trPr>
          <w:trHeight w:val="454"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ind w:firstLine="42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w:t>
            </w:r>
          </w:p>
        </w:tc>
        <w:tc>
          <w:tcPr>
            <w:tcW w:w="181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spacing w:after="0"/>
              <w:ind w:firstLine="42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公务用车购置及运维费</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ind w:firstLine="42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16</w:t>
            </w:r>
          </w:p>
        </w:tc>
        <w:tc>
          <w:tcPr>
            <w:tcW w:w="9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ind w:firstLine="42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6.78</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ind w:firstLine="42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16</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ind w:firstLine="42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5.24</w:t>
            </w:r>
          </w:p>
        </w:tc>
        <w:tc>
          <w:tcPr>
            <w:tcW w:w="114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after="0"/>
              <w:ind w:firstLine="42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0</w:t>
            </w: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after="0"/>
              <w:ind w:firstLine="420"/>
              <w:jc w:val="center"/>
              <w:textAlignment w:val="center"/>
              <w:rPr>
                <w:rFonts w:asciiTheme="minorEastAsia" w:hAnsiTheme="minorEastAsia" w:eastAsiaTheme="minorEastAsia" w:cstheme="minorEastAsia"/>
                <w:color w:val="000000"/>
                <w:sz w:val="21"/>
                <w:szCs w:val="21"/>
              </w:rPr>
            </w:pPr>
            <w:r>
              <w:rPr>
                <w:rFonts w:asciiTheme="minorEastAsia" w:hAnsiTheme="minorEastAsia" w:eastAsiaTheme="minorEastAsia" w:cstheme="minorEastAsia"/>
                <w:color w:val="000000"/>
                <w:sz w:val="21"/>
                <w:szCs w:val="21"/>
              </w:rPr>
              <w:t>-</w:t>
            </w:r>
            <w:r>
              <w:rPr>
                <w:rFonts w:hint="eastAsia" w:asciiTheme="minorEastAsia" w:hAnsiTheme="minorEastAsia" w:eastAsiaTheme="minorEastAsia" w:cstheme="minorEastAsia"/>
                <w:color w:val="000000"/>
                <w:sz w:val="21"/>
                <w:szCs w:val="21"/>
              </w:rPr>
              <w:t>1.54</w:t>
            </w:r>
          </w:p>
        </w:tc>
      </w:tr>
      <w:tr>
        <w:tblPrEx>
          <w:tblCellMar>
            <w:top w:w="0" w:type="dxa"/>
            <w:left w:w="0" w:type="dxa"/>
            <w:bottom w:w="0" w:type="dxa"/>
            <w:right w:w="0" w:type="dxa"/>
          </w:tblCellMar>
        </w:tblPrEx>
        <w:trPr>
          <w:trHeight w:val="454"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ind w:firstLine="42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w:t>
            </w:r>
          </w:p>
        </w:tc>
        <w:tc>
          <w:tcPr>
            <w:tcW w:w="1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ind w:firstLine="42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公务接待费</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ind w:firstLine="42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w:t>
            </w:r>
          </w:p>
        </w:tc>
        <w:tc>
          <w:tcPr>
            <w:tcW w:w="9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ind w:firstLine="42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1.17</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ind w:firstLine="42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ind w:firstLine="42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0.33</w:t>
            </w:r>
          </w:p>
        </w:tc>
        <w:tc>
          <w:tcPr>
            <w:tcW w:w="114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after="0"/>
              <w:ind w:firstLine="42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0</w:t>
            </w: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after="0"/>
              <w:ind w:firstLine="420"/>
              <w:jc w:val="center"/>
              <w:textAlignment w:val="center"/>
              <w:rPr>
                <w:rFonts w:asciiTheme="minorEastAsia" w:hAnsiTheme="minorEastAsia" w:eastAsiaTheme="minorEastAsia" w:cstheme="minorEastAsia"/>
                <w:color w:val="000000"/>
                <w:sz w:val="21"/>
                <w:szCs w:val="21"/>
              </w:rPr>
            </w:pPr>
            <w:r>
              <w:rPr>
                <w:rFonts w:asciiTheme="minorEastAsia" w:hAnsiTheme="minorEastAsia" w:eastAsiaTheme="minorEastAsia" w:cstheme="minorEastAsia"/>
                <w:color w:val="000000"/>
                <w:sz w:val="21"/>
                <w:szCs w:val="21"/>
              </w:rPr>
              <w:t>-</w:t>
            </w:r>
            <w:r>
              <w:rPr>
                <w:rFonts w:hint="eastAsia" w:asciiTheme="minorEastAsia" w:hAnsiTheme="minorEastAsia" w:eastAsiaTheme="minorEastAsia" w:cstheme="minorEastAsia"/>
                <w:color w:val="000000"/>
                <w:sz w:val="21"/>
                <w:szCs w:val="21"/>
              </w:rPr>
              <w:t>0.84</w:t>
            </w:r>
          </w:p>
        </w:tc>
      </w:tr>
      <w:tr>
        <w:tblPrEx>
          <w:tblCellMar>
            <w:top w:w="0" w:type="dxa"/>
            <w:left w:w="0" w:type="dxa"/>
            <w:bottom w:w="0" w:type="dxa"/>
            <w:right w:w="0" w:type="dxa"/>
          </w:tblCellMar>
        </w:tblPrEx>
        <w:trPr>
          <w:trHeight w:val="454"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ind w:firstLine="42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4</w:t>
            </w:r>
          </w:p>
        </w:tc>
        <w:tc>
          <w:tcPr>
            <w:tcW w:w="181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spacing w:after="0"/>
              <w:ind w:firstLine="42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合计</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ind w:firstLine="42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18</w:t>
            </w:r>
          </w:p>
        </w:tc>
        <w:tc>
          <w:tcPr>
            <w:tcW w:w="9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ind w:firstLine="42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7.96</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ind w:firstLine="42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18</w:t>
            </w:r>
          </w:p>
        </w:tc>
        <w:tc>
          <w:tcPr>
            <w:tcW w:w="94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after="0"/>
              <w:ind w:firstLine="42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5.57</w:t>
            </w:r>
          </w:p>
        </w:tc>
        <w:tc>
          <w:tcPr>
            <w:tcW w:w="114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after="0"/>
              <w:ind w:firstLine="42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0</w:t>
            </w: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after="0"/>
              <w:ind w:firstLine="420"/>
              <w:jc w:val="center"/>
              <w:textAlignment w:val="center"/>
              <w:rPr>
                <w:rFonts w:asciiTheme="minorEastAsia" w:hAnsiTheme="minorEastAsia" w:eastAsiaTheme="minorEastAsia" w:cstheme="minorEastAsia"/>
                <w:color w:val="000000"/>
                <w:sz w:val="21"/>
                <w:szCs w:val="21"/>
              </w:rPr>
            </w:pPr>
            <w:r>
              <w:rPr>
                <w:rFonts w:asciiTheme="minorEastAsia" w:hAnsiTheme="minorEastAsia" w:eastAsiaTheme="minorEastAsia" w:cstheme="minorEastAsia"/>
                <w:color w:val="000000"/>
                <w:sz w:val="21"/>
                <w:szCs w:val="21"/>
              </w:rPr>
              <w:t>-</w:t>
            </w:r>
            <w:r>
              <w:rPr>
                <w:rFonts w:hint="eastAsia" w:asciiTheme="minorEastAsia" w:hAnsiTheme="minorEastAsia" w:eastAsiaTheme="minorEastAsia" w:cstheme="minorEastAsia"/>
                <w:color w:val="000000"/>
                <w:sz w:val="21"/>
                <w:szCs w:val="21"/>
              </w:rPr>
              <w:t>2.38</w:t>
            </w:r>
          </w:p>
        </w:tc>
      </w:tr>
    </w:tbl>
    <w:p>
      <w:pPr>
        <w:spacing w:after="0" w:line="360" w:lineRule="auto"/>
        <w:ind w:firstLine="640"/>
        <w:jc w:val="both"/>
        <w:rPr>
          <w:rFonts w:ascii="仿宋_GB2312" w:eastAsia="仿宋_GB2312" w:cs="DengXian-Regular"/>
          <w:sz w:val="32"/>
          <w:szCs w:val="32"/>
        </w:rPr>
      </w:pPr>
      <w:r>
        <w:rPr>
          <w:rFonts w:hint="eastAsia" w:ascii="仿宋_GB2312" w:eastAsia="仿宋_GB2312" w:cs="DengXian-Regular"/>
          <w:sz w:val="32"/>
          <w:szCs w:val="32"/>
        </w:rPr>
        <w:t>1、公务用车：2019年底中国人民政治协商会议保定市徐水区委员会车辆合计4辆，其中应急保障用车4辆，无其他用车。2019年公务用车购置及运维费年初预算0万元，全部为公务用车运行维护费，实际支出</w:t>
      </w:r>
      <w:r>
        <w:rPr>
          <w:rFonts w:ascii="仿宋_GB2312" w:eastAsia="仿宋_GB2312" w:cs="DengXian-Regular"/>
          <w:sz w:val="32"/>
          <w:szCs w:val="32"/>
        </w:rPr>
        <w:t>5.</w:t>
      </w:r>
      <w:r>
        <w:rPr>
          <w:rFonts w:hint="eastAsia" w:ascii="仿宋_GB2312" w:eastAsia="仿宋_GB2312" w:cs="DengXian-Regular"/>
          <w:sz w:val="32"/>
          <w:szCs w:val="32"/>
        </w:rPr>
        <w:t>24万元，比预算减少10.76万元，节约率67.25%。2019年预算数与2018年预算相比无变化，决算数与2018年实际支出相比，减少1.54万元。</w:t>
      </w:r>
    </w:p>
    <w:p>
      <w:pPr>
        <w:spacing w:after="0" w:line="360" w:lineRule="auto"/>
        <w:ind w:firstLine="640"/>
        <w:jc w:val="both"/>
        <w:rPr>
          <w:rFonts w:ascii="仿宋_GB2312" w:eastAsia="仿宋_GB2312" w:cs="DengXian-Regular"/>
          <w:sz w:val="32"/>
          <w:szCs w:val="32"/>
        </w:rPr>
      </w:pPr>
      <w:r>
        <w:rPr>
          <w:rFonts w:hint="eastAsia" w:ascii="仿宋_GB2312" w:eastAsia="仿宋_GB2312" w:cs="DengXian-Regular"/>
          <w:sz w:val="32"/>
          <w:szCs w:val="32"/>
        </w:rPr>
        <w:t>2、公务接待：2019年中国人民政治协商会议保定市徐水区委员会公务接待费年初预算2万元，实际支出0.33万元，比预算减少了1.67万元，节约率83.5%。2019年预算数与2018年预算相比无变化，决算数与2018年实际支出相比，减少了0.84万元。</w:t>
      </w:r>
    </w:p>
    <w:p>
      <w:pPr>
        <w:pStyle w:val="3"/>
        <w:spacing w:before="0" w:after="0" w:line="360" w:lineRule="auto"/>
        <w:ind w:firstLine="643"/>
        <w:rPr>
          <w:rFonts w:ascii="黑体" w:hAnsiTheme="minorEastAsia"/>
          <w:u w:color="000000"/>
        </w:rPr>
      </w:pPr>
      <w:bookmarkStart w:id="15" w:name="_Toc57553858"/>
      <w:bookmarkStart w:id="16" w:name="_Toc492652770"/>
      <w:bookmarkStart w:id="17" w:name="_Toc465149504"/>
      <w:r>
        <w:rPr>
          <w:rFonts w:hint="eastAsia" w:ascii="黑体"/>
        </w:rPr>
        <w:t>二、部门整体支出绩效评价指标体系设定情况</w:t>
      </w:r>
      <w:bookmarkEnd w:id="15"/>
      <w:bookmarkEnd w:id="16"/>
    </w:p>
    <w:p>
      <w:pPr>
        <w:spacing w:after="0" w:line="360" w:lineRule="auto"/>
        <w:ind w:firstLine="640"/>
        <w:jc w:val="both"/>
        <w:rPr>
          <w:rFonts w:ascii="仿宋_GB2312" w:eastAsia="仿宋_GB2312" w:cs="DengXian-Regular"/>
          <w:sz w:val="32"/>
          <w:szCs w:val="32"/>
        </w:rPr>
      </w:pPr>
      <w:r>
        <w:rPr>
          <w:rFonts w:hint="eastAsia" w:ascii="仿宋_GB2312" w:eastAsia="仿宋_GB2312" w:cs="DengXian-Regular"/>
          <w:sz w:val="32"/>
          <w:szCs w:val="32"/>
        </w:rPr>
        <w:t>根据绩效预算管理改革的有关政策和文件规定，并与中国人民政治协商会议保定市徐水区委员会办公室沟通，绩效评价工作组以绩效预算架构为指导，以部门预算文本及相关资料为基础，制定了部门整体支出绩效评价指标体系。</w:t>
      </w:r>
    </w:p>
    <w:p>
      <w:pPr>
        <w:spacing w:after="0" w:line="360" w:lineRule="auto"/>
        <w:ind w:firstLine="640"/>
        <w:jc w:val="both"/>
        <w:rPr>
          <w:rFonts w:ascii="仿宋_GB2312" w:eastAsia="仿宋_GB2312" w:cs="DengXian-Regular"/>
          <w:sz w:val="32"/>
          <w:szCs w:val="32"/>
        </w:rPr>
      </w:pPr>
      <w:r>
        <w:rPr>
          <w:rFonts w:hint="eastAsia" w:ascii="仿宋_GB2312" w:eastAsia="仿宋_GB2312" w:cs="DengXian-Regular"/>
          <w:sz w:val="32"/>
          <w:szCs w:val="32"/>
        </w:rPr>
        <w:t>部门整体支出绩效评价指标体系设置一级指标4个，二级指标7个，三级指标27个（详见附件3）。指标体系设定满分100分，绩效评价分值≥90为“优”；80≤分值＜90为“良”；60≤分值＜80为“中”；60分以下为“差”。评价指标体系具体构成如下：</w:t>
      </w:r>
      <w:bookmarkStart w:id="18" w:name="_Toc492652771"/>
    </w:p>
    <w:p>
      <w:pPr>
        <w:spacing w:after="0" w:line="360" w:lineRule="auto"/>
        <w:ind w:firstLine="643"/>
        <w:jc w:val="both"/>
        <w:rPr>
          <w:rFonts w:ascii="楷体_GB2312" w:eastAsia="楷体_GB2312" w:cs="Times New Roman" w:hAnsiTheme="minorEastAsia"/>
          <w:b/>
          <w:bCs/>
          <w:kern w:val="2"/>
          <w:sz w:val="32"/>
          <w:szCs w:val="32"/>
          <w:u w:color="000000"/>
        </w:rPr>
      </w:pPr>
      <w:r>
        <w:rPr>
          <w:rFonts w:hint="eastAsia" w:ascii="楷体_GB2312" w:eastAsia="楷体_GB2312" w:cs="Times New Roman" w:hAnsiTheme="minorEastAsia"/>
          <w:b/>
          <w:bCs/>
          <w:kern w:val="2"/>
          <w:sz w:val="32"/>
          <w:szCs w:val="32"/>
          <w:u w:color="000000"/>
        </w:rPr>
        <w:t>（一）投入（12分）</w:t>
      </w:r>
      <w:bookmarkEnd w:id="18"/>
    </w:p>
    <w:p>
      <w:pPr>
        <w:spacing w:after="0" w:line="360" w:lineRule="auto"/>
        <w:ind w:firstLine="640"/>
        <w:jc w:val="both"/>
        <w:rPr>
          <w:rFonts w:ascii="仿宋_GB2312" w:eastAsia="仿宋_GB2312" w:cs="DengXian-Regular"/>
          <w:sz w:val="32"/>
          <w:szCs w:val="32"/>
        </w:rPr>
      </w:pPr>
      <w:r>
        <w:rPr>
          <w:rFonts w:hint="eastAsia" w:ascii="仿宋_GB2312" w:eastAsia="仿宋_GB2312" w:cs="DengXian-Regular"/>
          <w:sz w:val="32"/>
          <w:szCs w:val="32"/>
        </w:rPr>
        <w:t>主要反映绩效目标设定是否合理、科学，绩效指标的制定是否清晰、可衡量，预算编制是否完整，项目预算是否细化及在职人员控制情况。</w:t>
      </w:r>
    </w:p>
    <w:p>
      <w:pPr>
        <w:keepNext/>
        <w:widowControl w:val="0"/>
        <w:spacing w:after="0" w:line="360" w:lineRule="auto"/>
        <w:ind w:firstLine="640"/>
        <w:jc w:val="both"/>
        <w:rPr>
          <w:rFonts w:ascii="仿宋_GB2312" w:eastAsia="仿宋_GB2312" w:cs="DengXian-Regular"/>
          <w:sz w:val="32"/>
          <w:szCs w:val="32"/>
        </w:rPr>
      </w:pPr>
      <w:r>
        <w:rPr>
          <w:rFonts w:hint="eastAsia" w:ascii="仿宋_GB2312" w:eastAsia="仿宋_GB2312" w:cs="DengXian-Regular"/>
          <w:sz w:val="32"/>
          <w:szCs w:val="32"/>
        </w:rPr>
        <w:t>投入指标指标分值为12分，下设2个二级指标：绩效目标设定和预算配置，6个三级指标：绩效目标合理性、绩效目标科学性、绩效指标明确性、预算编制完整性、项目预算细化率、在职人员控制率。</w:t>
      </w:r>
    </w:p>
    <w:p>
      <w:pPr>
        <w:pStyle w:val="4"/>
        <w:spacing w:before="0" w:after="0"/>
        <w:ind w:firstLine="643"/>
        <w:jc w:val="both"/>
        <w:rPr>
          <w:rFonts w:ascii="楷体" w:hAnsi="楷体" w:eastAsia="楷体"/>
          <w:sz w:val="32"/>
        </w:rPr>
      </w:pPr>
      <w:bookmarkStart w:id="19" w:name="_Toc57553859"/>
      <w:bookmarkStart w:id="20" w:name="_Toc492652772"/>
      <w:r>
        <w:rPr>
          <w:rFonts w:hint="eastAsia" w:ascii="楷体" w:hAnsi="楷体" w:eastAsia="楷体"/>
          <w:kern w:val="2"/>
          <w:sz w:val="32"/>
        </w:rPr>
        <w:t>（二）过程（48分）</w:t>
      </w:r>
      <w:bookmarkEnd w:id="19"/>
      <w:bookmarkEnd w:id="20"/>
    </w:p>
    <w:p>
      <w:pPr>
        <w:spacing w:after="0" w:line="360" w:lineRule="auto"/>
        <w:ind w:firstLine="640"/>
        <w:jc w:val="both"/>
        <w:textAlignment w:val="baseline"/>
        <w:rPr>
          <w:rFonts w:ascii="仿宋_GB2312" w:eastAsia="仿宋_GB2312" w:cs="DengXian-Regular"/>
          <w:sz w:val="32"/>
          <w:szCs w:val="32"/>
        </w:rPr>
      </w:pPr>
      <w:r>
        <w:rPr>
          <w:rFonts w:hint="eastAsia" w:ascii="仿宋_GB2312" w:eastAsia="仿宋_GB2312" w:cs="DengXian-Regular"/>
          <w:sz w:val="32"/>
          <w:szCs w:val="32"/>
        </w:rPr>
        <w:t>主要反映预算调整、收入及支出完成情况，“三公”经费、政府采购执行情况，财务管理是否规范、资金使用是否合规，决算真实性。</w:t>
      </w:r>
    </w:p>
    <w:p>
      <w:pPr>
        <w:spacing w:after="0" w:line="360" w:lineRule="auto"/>
        <w:ind w:firstLine="640"/>
        <w:jc w:val="both"/>
        <w:textAlignment w:val="baseline"/>
        <w:rPr>
          <w:rFonts w:ascii="仿宋_GB2312" w:eastAsia="仿宋_GB2312" w:cs="DengXian-Regular"/>
          <w:sz w:val="32"/>
          <w:szCs w:val="32"/>
        </w:rPr>
      </w:pPr>
      <w:r>
        <w:rPr>
          <w:rFonts w:hint="eastAsia" w:ascii="仿宋_GB2312" w:eastAsia="仿宋_GB2312" w:cs="DengXian-Regular"/>
          <w:sz w:val="32"/>
          <w:szCs w:val="32"/>
        </w:rPr>
        <w:t>过程指标指标分值为48分，下设3个二级指标：预算执行、预算管理和绩效评价，14个三级指标：预算收入调整率、收入完成率、预算支出调整率、财政拨款支出完成率、“三公”经费控制率、政府采购执行率、资金使用合规性、决算真实性、管理制度健全性、预决算信息公开性、基础信息完整性、资产管理规范性、绩效自评覆盖率、绩效评价优等率。</w:t>
      </w:r>
    </w:p>
    <w:p>
      <w:pPr>
        <w:pStyle w:val="4"/>
        <w:spacing w:before="0" w:after="0"/>
        <w:ind w:firstLine="643"/>
        <w:jc w:val="both"/>
        <w:rPr>
          <w:rFonts w:ascii="楷体" w:hAnsi="楷体" w:eastAsia="楷体"/>
          <w:kern w:val="2"/>
          <w:sz w:val="32"/>
        </w:rPr>
      </w:pPr>
      <w:bookmarkStart w:id="21" w:name="_Toc492652773"/>
      <w:bookmarkStart w:id="22" w:name="_Toc57553860"/>
      <w:r>
        <w:rPr>
          <w:rFonts w:hint="eastAsia" w:ascii="楷体" w:hAnsi="楷体" w:eastAsia="楷体"/>
          <w:kern w:val="2"/>
          <w:sz w:val="32"/>
        </w:rPr>
        <w:t>（三）产出（25分）</w:t>
      </w:r>
      <w:bookmarkEnd w:id="21"/>
      <w:bookmarkEnd w:id="22"/>
    </w:p>
    <w:p>
      <w:pPr>
        <w:spacing w:after="0" w:line="360" w:lineRule="auto"/>
        <w:ind w:firstLine="640"/>
        <w:jc w:val="both"/>
        <w:textAlignment w:val="baseline"/>
        <w:rPr>
          <w:rFonts w:ascii="仿宋_GB2312" w:eastAsia="仿宋_GB2312" w:cs="DengXian-Regular"/>
          <w:sz w:val="32"/>
          <w:szCs w:val="32"/>
        </w:rPr>
      </w:pPr>
      <w:bookmarkStart w:id="23" w:name="_Toc492652774"/>
      <w:r>
        <w:rPr>
          <w:rFonts w:hint="eastAsia" w:ascii="仿宋_GB2312" w:eastAsia="仿宋_GB2312" w:cs="DengXian-Regular"/>
          <w:sz w:val="32"/>
          <w:szCs w:val="32"/>
        </w:rPr>
        <w:t>主要反映结转结余率，项目资金使用率，。</w:t>
      </w:r>
    </w:p>
    <w:p>
      <w:pPr>
        <w:spacing w:after="0" w:line="360" w:lineRule="auto"/>
        <w:ind w:firstLine="640"/>
        <w:jc w:val="both"/>
        <w:textAlignment w:val="baseline"/>
        <w:rPr>
          <w:rFonts w:ascii="仿宋_GB2312" w:eastAsia="仿宋_GB2312" w:cs="DengXian-Regular"/>
          <w:sz w:val="32"/>
          <w:szCs w:val="32"/>
        </w:rPr>
      </w:pPr>
      <w:r>
        <w:rPr>
          <w:rFonts w:hint="eastAsia" w:ascii="仿宋_GB2312" w:eastAsia="仿宋_GB2312" w:cs="DengXian-Regular"/>
          <w:sz w:val="32"/>
          <w:szCs w:val="32"/>
        </w:rPr>
        <w:t>产出指标指标分值为25分，下设1个二级指标：责任履行，5个三级指标：结转结余率、项目资金使用率。</w:t>
      </w:r>
    </w:p>
    <w:p>
      <w:pPr>
        <w:pStyle w:val="4"/>
        <w:spacing w:before="0" w:after="0"/>
        <w:ind w:firstLine="643"/>
        <w:jc w:val="both"/>
        <w:rPr>
          <w:rFonts w:ascii="楷体_GB2312" w:eastAsia="楷体_GB2312" w:hAnsiTheme="minorEastAsia"/>
          <w:sz w:val="32"/>
        </w:rPr>
      </w:pPr>
      <w:bookmarkStart w:id="24" w:name="_Toc57553861"/>
      <w:r>
        <w:rPr>
          <w:rFonts w:hint="eastAsia" w:ascii="楷体_GB2312" w:eastAsia="楷体_GB2312" w:hAnsiTheme="minorEastAsia"/>
          <w:kern w:val="2"/>
          <w:sz w:val="32"/>
        </w:rPr>
        <w:t>（四）效果（15分）</w:t>
      </w:r>
      <w:bookmarkEnd w:id="23"/>
      <w:bookmarkEnd w:id="24"/>
    </w:p>
    <w:p>
      <w:pPr>
        <w:spacing w:after="0" w:line="360" w:lineRule="auto"/>
        <w:ind w:firstLine="640"/>
        <w:jc w:val="both"/>
        <w:textAlignment w:val="baseline"/>
        <w:rPr>
          <w:rFonts w:ascii="仿宋_GB2312" w:eastAsia="仿宋_GB2312" w:cs="DengXian-Regular"/>
          <w:sz w:val="32"/>
          <w:szCs w:val="32"/>
        </w:rPr>
      </w:pPr>
      <w:bookmarkStart w:id="25" w:name="_Toc492652775"/>
      <w:r>
        <w:rPr>
          <w:rFonts w:hint="eastAsia" w:ascii="仿宋_GB2312" w:eastAsia="仿宋_GB2312" w:cs="DengXian-Regular"/>
          <w:sz w:val="32"/>
          <w:szCs w:val="32"/>
        </w:rPr>
        <w:t>主要反映部门履行职责对社会发展所带来的直接或间接效益及社会公众或部门的服务对象对部门履职效果的满意程度。</w:t>
      </w:r>
    </w:p>
    <w:p>
      <w:pPr>
        <w:spacing w:after="0" w:line="360" w:lineRule="auto"/>
        <w:ind w:firstLine="640"/>
        <w:jc w:val="both"/>
        <w:textAlignment w:val="baseline"/>
        <w:rPr>
          <w:rFonts w:ascii="仿宋_GB2312" w:eastAsia="仿宋_GB2312" w:cs="DengXian-Regular"/>
          <w:sz w:val="32"/>
          <w:szCs w:val="32"/>
        </w:rPr>
      </w:pPr>
      <w:r>
        <w:rPr>
          <w:rFonts w:hint="eastAsia" w:ascii="仿宋_GB2312" w:eastAsia="仿宋_GB2312" w:cs="DengXian-Regular"/>
          <w:sz w:val="32"/>
          <w:szCs w:val="32"/>
        </w:rPr>
        <w:t>效果指标指标分值15分，下设1个二级指标：履职效率，2个三级指标：部门整体效益和考核满意度。</w:t>
      </w:r>
    </w:p>
    <w:p>
      <w:pPr>
        <w:pStyle w:val="3"/>
        <w:spacing w:before="0" w:after="0" w:line="360" w:lineRule="auto"/>
        <w:ind w:firstLine="643"/>
        <w:rPr>
          <w:rFonts w:ascii="黑体"/>
        </w:rPr>
      </w:pPr>
      <w:bookmarkStart w:id="26" w:name="_Toc57553862"/>
      <w:r>
        <w:rPr>
          <w:rFonts w:hint="eastAsia" w:ascii="黑体"/>
        </w:rPr>
        <w:t>三、综合绩效评价工作情况</w:t>
      </w:r>
      <w:bookmarkEnd w:id="17"/>
      <w:bookmarkEnd w:id="25"/>
      <w:bookmarkEnd w:id="26"/>
      <w:bookmarkStart w:id="27" w:name="_Toc465149505"/>
      <w:bookmarkStart w:id="28" w:name="_Toc492652776"/>
    </w:p>
    <w:p>
      <w:pPr>
        <w:pStyle w:val="4"/>
        <w:spacing w:before="0" w:after="0"/>
        <w:ind w:firstLine="643"/>
        <w:jc w:val="both"/>
        <w:rPr>
          <w:rFonts w:ascii="楷体_GB2312" w:eastAsia="楷体_GB2312" w:hAnsiTheme="minorEastAsia"/>
          <w:sz w:val="32"/>
        </w:rPr>
      </w:pPr>
      <w:bookmarkStart w:id="29" w:name="_Toc57553863"/>
      <w:r>
        <w:rPr>
          <w:rFonts w:hint="eastAsia" w:ascii="楷体_GB2312" w:eastAsia="楷体_GB2312" w:hAnsiTheme="minorEastAsia"/>
          <w:kern w:val="2"/>
          <w:sz w:val="32"/>
        </w:rPr>
        <w:t>（一）绩效评价目的</w:t>
      </w:r>
      <w:bookmarkEnd w:id="27"/>
      <w:bookmarkEnd w:id="28"/>
      <w:bookmarkEnd w:id="29"/>
    </w:p>
    <w:p>
      <w:pPr>
        <w:spacing w:after="0" w:line="360" w:lineRule="auto"/>
        <w:ind w:firstLine="640"/>
        <w:jc w:val="both"/>
        <w:textAlignment w:val="baseline"/>
        <w:rPr>
          <w:rFonts w:ascii="仿宋_GB2312" w:eastAsia="仿宋_GB2312" w:cs="DengXian-Regular"/>
          <w:sz w:val="32"/>
          <w:szCs w:val="32"/>
        </w:rPr>
      </w:pPr>
      <w:bookmarkStart w:id="30" w:name="_Toc465149506"/>
      <w:bookmarkStart w:id="31" w:name="_Toc492652777"/>
      <w:r>
        <w:rPr>
          <w:rFonts w:hint="eastAsia" w:ascii="仿宋_GB2312" w:eastAsia="仿宋_GB2312" w:cs="DengXian-Regular"/>
          <w:sz w:val="32"/>
          <w:szCs w:val="32"/>
        </w:rPr>
        <w:t>通过对中国人民政治协商会议保定市徐水区委员会办公室2019年部门整体支出绩效评价，了解部门整体资金预算情况、实际收支情况及结转结余情况；绩效目标和指标的设置及完成情况；部门履职对社会发展所带来的直接或间接影响及服务对象对部门履职效果的满意程度。</w:t>
      </w:r>
    </w:p>
    <w:p>
      <w:pPr>
        <w:spacing w:after="0" w:line="360" w:lineRule="auto"/>
        <w:ind w:firstLine="640"/>
        <w:jc w:val="both"/>
        <w:textAlignment w:val="baseline"/>
        <w:rPr>
          <w:rFonts w:ascii="仿宋_GB2312" w:eastAsia="仿宋_GB2312" w:cs="DengXian-Regular"/>
          <w:sz w:val="32"/>
          <w:szCs w:val="32"/>
        </w:rPr>
      </w:pPr>
      <w:r>
        <w:rPr>
          <w:rFonts w:hint="eastAsia" w:ascii="仿宋_GB2312" w:eastAsia="仿宋_GB2312" w:cs="DengXian-Regular"/>
          <w:sz w:val="32"/>
          <w:szCs w:val="32"/>
        </w:rPr>
        <w:t>部门整体支出绩效评价工作促使相关部门根据绩效评价过程中发现的问题，及时整改并总结经验，提高部门管理水平，牢固树立预算绩效理念，强化部门支出责任，提高预算执行效率和财政资金使用效益。</w:t>
      </w:r>
    </w:p>
    <w:p>
      <w:pPr>
        <w:pStyle w:val="4"/>
        <w:spacing w:before="0" w:after="0"/>
        <w:ind w:firstLine="643"/>
        <w:jc w:val="both"/>
        <w:rPr>
          <w:rFonts w:ascii="楷体_GB2312" w:eastAsia="楷体_GB2312" w:hAnsiTheme="minorEastAsia"/>
          <w:kern w:val="2"/>
          <w:sz w:val="32"/>
        </w:rPr>
      </w:pPr>
      <w:bookmarkStart w:id="32" w:name="_Toc57553864"/>
      <w:r>
        <w:rPr>
          <w:rFonts w:hint="eastAsia" w:ascii="楷体_GB2312" w:eastAsia="楷体_GB2312" w:hAnsiTheme="minorEastAsia"/>
          <w:kern w:val="2"/>
          <w:sz w:val="32"/>
        </w:rPr>
        <w:t>（二）绩效评价依据</w:t>
      </w:r>
      <w:bookmarkEnd w:id="30"/>
      <w:bookmarkEnd w:id="31"/>
      <w:bookmarkEnd w:id="32"/>
    </w:p>
    <w:p>
      <w:pPr>
        <w:spacing w:after="0" w:line="360" w:lineRule="auto"/>
        <w:ind w:firstLine="640"/>
        <w:jc w:val="both"/>
        <w:textAlignment w:val="baseline"/>
        <w:rPr>
          <w:rFonts w:ascii="仿宋_GB2312" w:eastAsia="仿宋_GB2312" w:cs="DengXian-Regular"/>
          <w:sz w:val="32"/>
          <w:szCs w:val="32"/>
        </w:rPr>
      </w:pPr>
      <w:bookmarkStart w:id="33" w:name="_Toc465149507"/>
      <w:r>
        <w:rPr>
          <w:rFonts w:hint="eastAsia" w:ascii="仿宋_GB2312" w:eastAsia="仿宋_GB2312" w:cs="DengXian-Regular"/>
          <w:sz w:val="32"/>
          <w:szCs w:val="32"/>
        </w:rPr>
        <w:t>1.</w:t>
      </w:r>
      <w:r>
        <w:rPr>
          <w:rFonts w:ascii="仿宋_GB2312" w:eastAsia="仿宋_GB2312" w:cs="DengXian-Regular"/>
          <w:sz w:val="32"/>
          <w:szCs w:val="32"/>
        </w:rPr>
        <w:t>《中华人民共和国预算法》；</w:t>
      </w:r>
    </w:p>
    <w:p>
      <w:pPr>
        <w:spacing w:after="0" w:line="360" w:lineRule="auto"/>
        <w:ind w:firstLine="640"/>
        <w:jc w:val="both"/>
        <w:textAlignment w:val="baseline"/>
        <w:rPr>
          <w:rFonts w:ascii="仿宋_GB2312" w:eastAsia="仿宋_GB2312" w:cs="DengXian-Regular"/>
          <w:sz w:val="32"/>
          <w:szCs w:val="32"/>
        </w:rPr>
      </w:pPr>
      <w:r>
        <w:rPr>
          <w:rFonts w:hint="eastAsia" w:ascii="仿宋_GB2312" w:eastAsia="仿宋_GB2312" w:cs="DengXian-Regular"/>
          <w:sz w:val="32"/>
          <w:szCs w:val="32"/>
        </w:rPr>
        <w:t>2.中共中央国务院《关于全面实施预算绩效管理的意见》（中发〔2018〕34号）；</w:t>
      </w:r>
    </w:p>
    <w:p>
      <w:pPr>
        <w:spacing w:after="0" w:line="360" w:lineRule="auto"/>
        <w:ind w:firstLine="640"/>
        <w:jc w:val="both"/>
        <w:textAlignment w:val="baseline"/>
        <w:rPr>
          <w:rFonts w:ascii="仿宋_GB2312" w:eastAsia="仿宋_GB2312" w:cs="DengXian-Regular"/>
          <w:sz w:val="32"/>
          <w:szCs w:val="32"/>
        </w:rPr>
      </w:pPr>
      <w:r>
        <w:rPr>
          <w:rFonts w:hint="eastAsia" w:ascii="仿宋_GB2312" w:eastAsia="仿宋_GB2312" w:cs="DengXian-Regular"/>
          <w:sz w:val="32"/>
          <w:szCs w:val="32"/>
        </w:rPr>
        <w:t>3.</w:t>
      </w:r>
      <w:r>
        <w:rPr>
          <w:rFonts w:ascii="仿宋_GB2312" w:eastAsia="仿宋_GB2312" w:cs="DengXian-Regular"/>
          <w:sz w:val="32"/>
          <w:szCs w:val="32"/>
        </w:rPr>
        <w:t>《河北省财政支出绩效评价管理办法》（冀财预</w:t>
      </w:r>
      <w:r>
        <w:rPr>
          <w:rFonts w:hint="eastAsia" w:ascii="仿宋_GB2312" w:eastAsia="仿宋_GB2312" w:cs="DengXian-Regular"/>
          <w:sz w:val="32"/>
          <w:szCs w:val="32"/>
        </w:rPr>
        <w:t xml:space="preserve">〔2011〕68号）； </w:t>
      </w:r>
    </w:p>
    <w:p>
      <w:pPr>
        <w:spacing w:after="0" w:line="360" w:lineRule="auto"/>
        <w:ind w:firstLine="640"/>
        <w:jc w:val="both"/>
        <w:textAlignment w:val="baseline"/>
        <w:rPr>
          <w:rFonts w:ascii="仿宋_GB2312" w:eastAsia="仿宋_GB2312" w:cs="DengXian-Regular"/>
          <w:sz w:val="32"/>
          <w:szCs w:val="32"/>
        </w:rPr>
      </w:pPr>
      <w:r>
        <w:rPr>
          <w:rFonts w:hint="eastAsia" w:ascii="仿宋_GB2312" w:eastAsia="仿宋_GB2312" w:cs="DengXian-Regular"/>
          <w:sz w:val="32"/>
          <w:szCs w:val="32"/>
        </w:rPr>
        <w:t>4.中共河北省委河北省人民政府</w:t>
      </w:r>
      <w:r>
        <w:rPr>
          <w:rFonts w:ascii="仿宋_GB2312" w:eastAsia="仿宋_GB2312" w:cs="DengXian-Regular"/>
          <w:sz w:val="32"/>
          <w:szCs w:val="32"/>
        </w:rPr>
        <w:t>《</w:t>
      </w:r>
      <w:r>
        <w:rPr>
          <w:rFonts w:hint="eastAsia" w:ascii="仿宋_GB2312" w:eastAsia="仿宋_GB2312" w:cs="DengXian-Regular"/>
          <w:sz w:val="32"/>
          <w:szCs w:val="32"/>
        </w:rPr>
        <w:t>关于全面实施预算绩效管理的实施意见</w:t>
      </w:r>
      <w:r>
        <w:rPr>
          <w:rFonts w:ascii="仿宋_GB2312" w:eastAsia="仿宋_GB2312" w:cs="DengXian-Regular"/>
          <w:sz w:val="32"/>
          <w:szCs w:val="32"/>
        </w:rPr>
        <w:t>》（冀</w:t>
      </w:r>
      <w:r>
        <w:rPr>
          <w:rFonts w:hint="eastAsia" w:ascii="仿宋_GB2312" w:eastAsia="仿宋_GB2312" w:cs="DengXian-Regular"/>
          <w:sz w:val="32"/>
          <w:szCs w:val="32"/>
        </w:rPr>
        <w:t>发〔2018〕54</w:t>
      </w:r>
      <w:r>
        <w:rPr>
          <w:rFonts w:ascii="仿宋_GB2312" w:eastAsia="仿宋_GB2312" w:cs="DengXian-Regular"/>
          <w:sz w:val="32"/>
          <w:szCs w:val="32"/>
        </w:rPr>
        <w:t>号）</w:t>
      </w:r>
      <w:r>
        <w:rPr>
          <w:rFonts w:hint="eastAsia" w:ascii="仿宋_GB2312" w:eastAsia="仿宋_GB2312" w:cs="DengXian-Regular"/>
          <w:sz w:val="32"/>
          <w:szCs w:val="32"/>
        </w:rPr>
        <w:t>；</w:t>
      </w:r>
    </w:p>
    <w:p>
      <w:pPr>
        <w:spacing w:after="0" w:line="360" w:lineRule="auto"/>
        <w:ind w:firstLine="640"/>
        <w:jc w:val="both"/>
        <w:textAlignment w:val="baseline"/>
        <w:rPr>
          <w:rFonts w:ascii="仿宋_GB2312" w:eastAsia="仿宋_GB2312" w:cs="DengXian-Regular"/>
          <w:sz w:val="32"/>
          <w:szCs w:val="32"/>
        </w:rPr>
      </w:pPr>
      <w:r>
        <w:rPr>
          <w:rFonts w:hint="eastAsia" w:ascii="仿宋_GB2312" w:eastAsia="仿宋_GB2312" w:cs="DengXian-Regular"/>
          <w:sz w:val="32"/>
          <w:szCs w:val="32"/>
        </w:rPr>
        <w:t>5.保定市徐水区财政局《关于印发绩效评价工作规划（2016-2020年）的通知》（徐政财字〔2016〕45号）；</w:t>
      </w:r>
    </w:p>
    <w:p>
      <w:pPr>
        <w:spacing w:after="0" w:line="360" w:lineRule="auto"/>
        <w:ind w:firstLine="640"/>
        <w:jc w:val="both"/>
        <w:textAlignment w:val="baseline"/>
        <w:rPr>
          <w:rFonts w:ascii="仿宋_GB2312" w:eastAsia="仿宋_GB2312" w:cs="DengXian-Regular"/>
          <w:sz w:val="32"/>
          <w:szCs w:val="32"/>
        </w:rPr>
      </w:pPr>
      <w:r>
        <w:rPr>
          <w:rFonts w:hint="eastAsia" w:ascii="仿宋_GB2312" w:eastAsia="仿宋_GB2312" w:cs="DengXian-Regular"/>
          <w:sz w:val="32"/>
          <w:szCs w:val="32"/>
        </w:rPr>
        <w:t>6.保定市徐水区财政局《关于印发&lt;全面实施预算绩效管理推进工作方案&gt;的通知》（徐政财字〔2019〕33号）；</w:t>
      </w:r>
    </w:p>
    <w:p>
      <w:pPr>
        <w:spacing w:after="0" w:line="360" w:lineRule="auto"/>
        <w:ind w:firstLine="640"/>
        <w:jc w:val="both"/>
        <w:textAlignment w:val="baseline"/>
        <w:rPr>
          <w:rFonts w:ascii="仿宋_GB2312" w:eastAsia="仿宋_GB2312" w:cs="DengXian-Regular"/>
          <w:sz w:val="32"/>
          <w:szCs w:val="32"/>
        </w:rPr>
      </w:pPr>
      <w:r>
        <w:rPr>
          <w:rFonts w:hint="eastAsia" w:ascii="仿宋_GB2312" w:eastAsia="仿宋_GB2312" w:cs="DengXian-Regular"/>
          <w:sz w:val="32"/>
          <w:szCs w:val="32"/>
        </w:rPr>
        <w:t>7.其他与部门绩效评价工作相关的文件。</w:t>
      </w:r>
      <w:bookmarkStart w:id="34" w:name="_Toc492652778"/>
    </w:p>
    <w:p>
      <w:pPr>
        <w:pStyle w:val="4"/>
        <w:spacing w:before="0" w:after="0"/>
        <w:ind w:firstLine="643"/>
        <w:jc w:val="both"/>
        <w:rPr>
          <w:rFonts w:ascii="楷体_GB2312" w:eastAsia="楷体_GB2312" w:hAnsiTheme="minorEastAsia"/>
          <w:kern w:val="2"/>
          <w:sz w:val="32"/>
        </w:rPr>
      </w:pPr>
      <w:bookmarkStart w:id="35" w:name="_Toc57553865"/>
      <w:r>
        <w:rPr>
          <w:rFonts w:hint="eastAsia" w:ascii="楷体_GB2312" w:eastAsia="楷体_GB2312" w:hAnsiTheme="minorEastAsia"/>
          <w:kern w:val="2"/>
          <w:sz w:val="32"/>
        </w:rPr>
        <w:t>（三）绩效评价</w:t>
      </w:r>
      <w:bookmarkEnd w:id="34"/>
      <w:r>
        <w:rPr>
          <w:rFonts w:hint="eastAsia" w:ascii="楷体_GB2312" w:eastAsia="楷体_GB2312" w:hAnsiTheme="minorEastAsia"/>
          <w:kern w:val="2"/>
          <w:sz w:val="32"/>
        </w:rPr>
        <w:t>内容</w:t>
      </w:r>
      <w:bookmarkEnd w:id="35"/>
    </w:p>
    <w:bookmarkEnd w:id="33"/>
    <w:p>
      <w:pPr>
        <w:spacing w:after="0" w:line="360" w:lineRule="auto"/>
        <w:ind w:firstLine="640"/>
        <w:jc w:val="both"/>
        <w:textAlignment w:val="baseline"/>
        <w:rPr>
          <w:rFonts w:ascii="仿宋_GB2312" w:eastAsia="仿宋_GB2312" w:cs="DengXian-Regular"/>
          <w:sz w:val="32"/>
          <w:szCs w:val="32"/>
        </w:rPr>
      </w:pPr>
      <w:bookmarkStart w:id="36" w:name="_Toc465149508"/>
      <w:bookmarkStart w:id="37" w:name="_Toc492652779"/>
      <w:r>
        <w:rPr>
          <w:rFonts w:hint="eastAsia" w:ascii="仿宋_GB2312" w:eastAsia="仿宋_GB2312" w:cs="DengXian-Regular"/>
          <w:sz w:val="32"/>
          <w:szCs w:val="32"/>
        </w:rPr>
        <w:t>中国人民政治协商会议保定市徐水区委员会办公室2019年部门整体支出绩效目标和指标的设置及完成情况；资金预算情况、实际收支情况及结转结余情况；部门履职对社会发展所带来的直接或间接影响及服务对象对部门履职效果的满意程度。</w:t>
      </w:r>
    </w:p>
    <w:p>
      <w:pPr>
        <w:pStyle w:val="4"/>
        <w:spacing w:before="0" w:after="0"/>
        <w:ind w:firstLine="643"/>
        <w:jc w:val="both"/>
        <w:rPr>
          <w:rFonts w:ascii="楷体_GB2312" w:eastAsia="楷体_GB2312" w:hAnsiTheme="minorEastAsia"/>
          <w:kern w:val="2"/>
          <w:sz w:val="32"/>
        </w:rPr>
      </w:pPr>
      <w:bookmarkStart w:id="38" w:name="_Toc57553866"/>
      <w:r>
        <w:rPr>
          <w:rFonts w:hint="eastAsia" w:ascii="楷体_GB2312" w:eastAsia="楷体_GB2312" w:hAnsiTheme="minorEastAsia"/>
          <w:kern w:val="2"/>
          <w:sz w:val="32"/>
        </w:rPr>
        <w:t>（四）绩效评价原则</w:t>
      </w:r>
      <w:bookmarkEnd w:id="38"/>
    </w:p>
    <w:p>
      <w:pPr>
        <w:spacing w:after="0" w:line="360" w:lineRule="auto"/>
        <w:ind w:firstLine="640"/>
        <w:jc w:val="both"/>
        <w:textAlignment w:val="baseline"/>
        <w:rPr>
          <w:rFonts w:ascii="仿宋_GB2312" w:eastAsia="仿宋_GB2312" w:cs="DengXian-Regular"/>
          <w:sz w:val="32"/>
          <w:szCs w:val="32"/>
        </w:rPr>
      </w:pPr>
      <w:r>
        <w:rPr>
          <w:rFonts w:hint="eastAsia" w:ascii="仿宋_GB2312" w:eastAsia="仿宋_GB2312" w:cs="DengXian-Regular"/>
          <w:sz w:val="32"/>
          <w:szCs w:val="32"/>
        </w:rPr>
        <w:t>1.价值导向原则：财政支出绩效评价体系应能够反映财政支出的经济性、效益性、有效性原则，体现财政部门和项目主管部门的价值导向。</w:t>
      </w:r>
    </w:p>
    <w:p>
      <w:pPr>
        <w:spacing w:after="0" w:line="360" w:lineRule="auto"/>
        <w:ind w:firstLine="640"/>
        <w:jc w:val="both"/>
        <w:textAlignment w:val="baseline"/>
        <w:rPr>
          <w:rFonts w:ascii="仿宋_GB2312" w:eastAsia="仿宋_GB2312" w:cs="DengXian-Regular"/>
          <w:sz w:val="32"/>
          <w:szCs w:val="32"/>
        </w:rPr>
      </w:pPr>
      <w:r>
        <w:rPr>
          <w:rFonts w:hint="eastAsia" w:ascii="仿宋_GB2312" w:eastAsia="仿宋_GB2312" w:cs="DengXian-Regular"/>
          <w:sz w:val="32"/>
          <w:szCs w:val="32"/>
        </w:rPr>
        <w:t>2.重要性原则：根据指标在整个指标体系中的地位和作用进行筛选，选择最具代表性、最能反映评价要求的指标。</w:t>
      </w:r>
    </w:p>
    <w:p>
      <w:pPr>
        <w:spacing w:after="0" w:line="360" w:lineRule="auto"/>
        <w:ind w:firstLine="640"/>
        <w:jc w:val="both"/>
        <w:textAlignment w:val="baseline"/>
        <w:rPr>
          <w:rFonts w:ascii="仿宋_GB2312" w:eastAsia="仿宋_GB2312" w:cs="DengXian-Regular"/>
          <w:sz w:val="32"/>
          <w:szCs w:val="32"/>
        </w:rPr>
      </w:pPr>
      <w:r>
        <w:rPr>
          <w:rFonts w:hint="eastAsia" w:ascii="仿宋_GB2312" w:eastAsia="仿宋_GB2312" w:cs="DengXian-Regular"/>
          <w:sz w:val="32"/>
          <w:szCs w:val="32"/>
        </w:rPr>
        <w:t>3.综合性原则：将定性指标和定量指标相结合，定性分析是定量分析的基础，定量分析是定性分析的深化，两者相结合系统反映财政支出所产生的社会效益。</w:t>
      </w:r>
    </w:p>
    <w:p>
      <w:pPr>
        <w:spacing w:after="0" w:line="360" w:lineRule="auto"/>
        <w:ind w:firstLine="640"/>
        <w:jc w:val="both"/>
        <w:textAlignment w:val="baseline"/>
        <w:rPr>
          <w:rFonts w:ascii="仿宋_GB2312" w:eastAsia="仿宋_GB2312" w:cs="DengXian-Regular"/>
          <w:sz w:val="32"/>
          <w:szCs w:val="32"/>
        </w:rPr>
      </w:pPr>
      <w:r>
        <w:rPr>
          <w:rFonts w:hint="eastAsia" w:ascii="仿宋_GB2312" w:eastAsia="仿宋_GB2312" w:cs="DengXian-Regular"/>
          <w:sz w:val="32"/>
          <w:szCs w:val="32"/>
        </w:rPr>
        <w:t>4.经济性原则：指标的选取要考虑现实条件及可操作性，数据的获得应符合成本效益原则，在合理成本的基础上收集信息。</w:t>
      </w:r>
    </w:p>
    <w:p>
      <w:pPr>
        <w:pStyle w:val="4"/>
        <w:spacing w:before="0" w:after="0"/>
        <w:ind w:firstLine="643"/>
        <w:jc w:val="both"/>
        <w:rPr>
          <w:rFonts w:ascii="楷体_GB2312" w:eastAsia="楷体_GB2312" w:hAnsiTheme="minorEastAsia"/>
          <w:kern w:val="2"/>
          <w:sz w:val="32"/>
        </w:rPr>
      </w:pPr>
      <w:bookmarkStart w:id="39" w:name="_Toc57553867"/>
      <w:r>
        <w:rPr>
          <w:rFonts w:hint="eastAsia" w:ascii="楷体_GB2312" w:eastAsia="楷体_GB2312" w:hAnsiTheme="minorEastAsia"/>
          <w:kern w:val="2"/>
          <w:sz w:val="32"/>
        </w:rPr>
        <w:t>（五）</w:t>
      </w:r>
      <w:bookmarkEnd w:id="36"/>
      <w:bookmarkStart w:id="40" w:name="_Toc465149509"/>
      <w:r>
        <w:rPr>
          <w:rFonts w:hint="eastAsia" w:ascii="楷体_GB2312" w:eastAsia="楷体_GB2312" w:hAnsiTheme="minorEastAsia"/>
          <w:kern w:val="2"/>
          <w:sz w:val="32"/>
        </w:rPr>
        <w:t>绩效评价方法</w:t>
      </w:r>
      <w:bookmarkEnd w:id="37"/>
      <w:bookmarkEnd w:id="39"/>
      <w:bookmarkEnd w:id="40"/>
    </w:p>
    <w:p>
      <w:pPr>
        <w:spacing w:after="0" w:line="360" w:lineRule="auto"/>
        <w:ind w:firstLine="640"/>
        <w:jc w:val="both"/>
        <w:textAlignment w:val="baseline"/>
        <w:rPr>
          <w:rFonts w:ascii="仿宋_GB2312" w:eastAsia="仿宋_GB2312" w:cs="DengXian-Regular"/>
          <w:sz w:val="32"/>
          <w:szCs w:val="32"/>
        </w:rPr>
      </w:pPr>
      <w:bookmarkStart w:id="41" w:name="_Toc422314152"/>
      <w:bookmarkStart w:id="42" w:name="_Toc421623217"/>
      <w:bookmarkStart w:id="43" w:name="_Toc465149510"/>
      <w:bookmarkStart w:id="44" w:name="_Toc492652780"/>
      <w:r>
        <w:rPr>
          <w:rFonts w:ascii="仿宋_GB2312" w:eastAsia="仿宋_GB2312" w:cs="DengXian-Regular"/>
          <w:sz w:val="32"/>
          <w:szCs w:val="32"/>
        </w:rPr>
        <w:t>本次评价采取</w:t>
      </w:r>
      <w:r>
        <w:rPr>
          <w:rFonts w:hint="eastAsia" w:ascii="仿宋_GB2312" w:eastAsia="仿宋_GB2312" w:cs="DengXian-Regular"/>
          <w:sz w:val="32"/>
          <w:szCs w:val="32"/>
        </w:rPr>
        <w:t>目标比较法、</w:t>
      </w:r>
      <w:r>
        <w:rPr>
          <w:rFonts w:ascii="仿宋_GB2312" w:eastAsia="仿宋_GB2312" w:cs="DengXian-Regular"/>
          <w:sz w:val="32"/>
          <w:szCs w:val="32"/>
        </w:rPr>
        <w:t>定量和定性评价相结合和综合评价相结合</w:t>
      </w:r>
      <w:r>
        <w:rPr>
          <w:rFonts w:hint="eastAsia" w:ascii="仿宋_GB2312" w:eastAsia="仿宋_GB2312" w:cs="DengXian-Regular"/>
          <w:sz w:val="32"/>
          <w:szCs w:val="32"/>
        </w:rPr>
        <w:t>的方式</w:t>
      </w:r>
      <w:r>
        <w:rPr>
          <w:rFonts w:ascii="仿宋_GB2312" w:eastAsia="仿宋_GB2312" w:cs="DengXian-Regular"/>
          <w:sz w:val="32"/>
          <w:szCs w:val="32"/>
        </w:rPr>
        <w:t>，运用审查、</w:t>
      </w:r>
      <w:r>
        <w:rPr>
          <w:rFonts w:hint="eastAsia" w:ascii="仿宋_GB2312" w:eastAsia="仿宋_GB2312" w:cs="DengXian-Regular"/>
          <w:sz w:val="32"/>
          <w:szCs w:val="32"/>
        </w:rPr>
        <w:t>询问查证和问卷调查</w:t>
      </w:r>
      <w:r>
        <w:rPr>
          <w:rFonts w:ascii="仿宋_GB2312" w:eastAsia="仿宋_GB2312" w:cs="DengXian-Regular"/>
          <w:sz w:val="32"/>
          <w:szCs w:val="32"/>
        </w:rPr>
        <w:t>等方法开展</w:t>
      </w:r>
      <w:r>
        <w:rPr>
          <w:rFonts w:hint="eastAsia" w:ascii="仿宋_GB2312" w:eastAsia="仿宋_GB2312" w:cs="DengXian-Regular"/>
          <w:sz w:val="32"/>
          <w:szCs w:val="32"/>
        </w:rPr>
        <w:t>绩效</w:t>
      </w:r>
      <w:r>
        <w:rPr>
          <w:rFonts w:ascii="仿宋_GB2312" w:eastAsia="仿宋_GB2312" w:cs="DengXian-Regular"/>
          <w:sz w:val="32"/>
          <w:szCs w:val="32"/>
        </w:rPr>
        <w:t>评价工作。</w:t>
      </w:r>
      <w:bookmarkEnd w:id="41"/>
      <w:bookmarkEnd w:id="42"/>
    </w:p>
    <w:p>
      <w:pPr>
        <w:spacing w:after="0" w:line="360" w:lineRule="auto"/>
        <w:ind w:firstLine="640"/>
        <w:jc w:val="both"/>
        <w:textAlignment w:val="baseline"/>
        <w:rPr>
          <w:rFonts w:ascii="仿宋_GB2312" w:eastAsia="仿宋_GB2312" w:cs="DengXian-Regular"/>
          <w:sz w:val="32"/>
          <w:szCs w:val="32"/>
        </w:rPr>
      </w:pPr>
      <w:bookmarkStart w:id="45" w:name="_Toc422314153"/>
      <w:bookmarkStart w:id="46" w:name="_Toc421623218"/>
      <w:r>
        <w:rPr>
          <w:rFonts w:ascii="仿宋_GB2312" w:eastAsia="仿宋_GB2312" w:cs="DengXian-Regular"/>
          <w:sz w:val="32"/>
          <w:szCs w:val="32"/>
        </w:rPr>
        <w:t>1</w:t>
      </w:r>
      <w:r>
        <w:rPr>
          <w:rFonts w:hint="eastAsia" w:ascii="仿宋_GB2312" w:eastAsia="仿宋_GB2312" w:cs="DengXian-Regular"/>
          <w:sz w:val="32"/>
          <w:szCs w:val="32"/>
        </w:rPr>
        <w:t>.</w:t>
      </w:r>
      <w:r>
        <w:rPr>
          <w:rFonts w:ascii="仿宋_GB2312" w:eastAsia="仿宋_GB2312" w:cs="DengXian-Regular"/>
          <w:sz w:val="32"/>
          <w:szCs w:val="32"/>
        </w:rPr>
        <w:t>审查法：通过审查被评价单位的</w:t>
      </w:r>
      <w:r>
        <w:rPr>
          <w:rFonts w:hint="eastAsia" w:ascii="仿宋_GB2312" w:eastAsia="仿宋_GB2312" w:cs="DengXian-Regular"/>
          <w:sz w:val="32"/>
          <w:szCs w:val="32"/>
        </w:rPr>
        <w:t>预算文本</w:t>
      </w:r>
      <w:r>
        <w:rPr>
          <w:rFonts w:ascii="仿宋_GB2312" w:eastAsia="仿宋_GB2312" w:cs="DengXian-Regular"/>
          <w:sz w:val="32"/>
          <w:szCs w:val="32"/>
        </w:rPr>
        <w:t>、</w:t>
      </w:r>
      <w:r>
        <w:rPr>
          <w:rFonts w:hint="eastAsia" w:ascii="仿宋_GB2312" w:eastAsia="仿宋_GB2312" w:cs="DengXian-Regular"/>
          <w:sz w:val="32"/>
          <w:szCs w:val="32"/>
        </w:rPr>
        <w:t>决算文本</w:t>
      </w:r>
      <w:r>
        <w:rPr>
          <w:rFonts w:ascii="仿宋_GB2312" w:eastAsia="仿宋_GB2312" w:cs="DengXian-Regular"/>
          <w:sz w:val="32"/>
          <w:szCs w:val="32"/>
        </w:rPr>
        <w:t>、</w:t>
      </w:r>
      <w:r>
        <w:rPr>
          <w:rFonts w:hint="eastAsia" w:ascii="仿宋_GB2312" w:eastAsia="仿宋_GB2312" w:cs="DengXian-Regular"/>
          <w:sz w:val="32"/>
          <w:szCs w:val="32"/>
        </w:rPr>
        <w:t>会计账簿、支出凭证、项目完成情况</w:t>
      </w:r>
      <w:r>
        <w:rPr>
          <w:rFonts w:ascii="仿宋_GB2312" w:eastAsia="仿宋_GB2312" w:cs="DengXian-Regular"/>
          <w:sz w:val="32"/>
          <w:szCs w:val="32"/>
        </w:rPr>
        <w:t>等</w:t>
      </w:r>
      <w:r>
        <w:rPr>
          <w:rFonts w:hint="eastAsia" w:ascii="仿宋_GB2312" w:eastAsia="仿宋_GB2312" w:cs="DengXian-Regular"/>
          <w:sz w:val="32"/>
          <w:szCs w:val="32"/>
        </w:rPr>
        <w:t>相关</w:t>
      </w:r>
      <w:r>
        <w:rPr>
          <w:rFonts w:ascii="仿宋_GB2312" w:eastAsia="仿宋_GB2312" w:cs="DengXian-Regular"/>
          <w:sz w:val="32"/>
          <w:szCs w:val="32"/>
        </w:rPr>
        <w:t>资料，分析资金</w:t>
      </w:r>
      <w:r>
        <w:rPr>
          <w:rFonts w:hint="eastAsia" w:ascii="仿宋_GB2312" w:eastAsia="仿宋_GB2312" w:cs="DengXian-Regular"/>
          <w:sz w:val="32"/>
          <w:szCs w:val="32"/>
        </w:rPr>
        <w:t>收</w:t>
      </w:r>
      <w:r>
        <w:rPr>
          <w:rFonts w:ascii="仿宋_GB2312" w:eastAsia="仿宋_GB2312" w:cs="DengXian-Regular"/>
          <w:sz w:val="32"/>
          <w:szCs w:val="32"/>
        </w:rPr>
        <w:t>支的合理性</w:t>
      </w:r>
      <w:r>
        <w:rPr>
          <w:rFonts w:hint="eastAsia" w:ascii="仿宋_GB2312" w:eastAsia="仿宋_GB2312" w:cs="DengXian-Regular"/>
          <w:sz w:val="32"/>
          <w:szCs w:val="32"/>
        </w:rPr>
        <w:t>和</w:t>
      </w:r>
      <w:r>
        <w:rPr>
          <w:rFonts w:ascii="仿宋_GB2312" w:eastAsia="仿宋_GB2312" w:cs="DengXian-Regular"/>
          <w:sz w:val="32"/>
          <w:szCs w:val="32"/>
        </w:rPr>
        <w:t>合规性</w:t>
      </w:r>
      <w:r>
        <w:rPr>
          <w:rFonts w:hint="eastAsia" w:ascii="仿宋_GB2312" w:eastAsia="仿宋_GB2312" w:cs="DengXian-Regular"/>
          <w:sz w:val="32"/>
          <w:szCs w:val="32"/>
        </w:rPr>
        <w:t>、预算执行及管理情况、绩效目标和指标的设置及完成情况、部门整体效益</w:t>
      </w:r>
      <w:r>
        <w:rPr>
          <w:rFonts w:ascii="仿宋_GB2312" w:eastAsia="仿宋_GB2312" w:cs="DengXian-Regular"/>
          <w:sz w:val="32"/>
          <w:szCs w:val="32"/>
        </w:rPr>
        <w:t>。</w:t>
      </w:r>
      <w:bookmarkEnd w:id="45"/>
      <w:bookmarkEnd w:id="46"/>
    </w:p>
    <w:p>
      <w:pPr>
        <w:spacing w:after="0" w:line="360" w:lineRule="auto"/>
        <w:ind w:firstLine="640"/>
        <w:jc w:val="both"/>
        <w:textAlignment w:val="baseline"/>
        <w:rPr>
          <w:rFonts w:ascii="仿宋_GB2312" w:eastAsia="仿宋_GB2312" w:cs="DengXian-Regular"/>
          <w:sz w:val="32"/>
          <w:szCs w:val="32"/>
        </w:rPr>
      </w:pPr>
      <w:bookmarkStart w:id="47" w:name="_Toc421623220"/>
      <w:bookmarkStart w:id="48" w:name="_Toc422314155"/>
      <w:r>
        <w:rPr>
          <w:rFonts w:hint="eastAsia" w:ascii="仿宋_GB2312" w:eastAsia="仿宋_GB2312" w:cs="DengXian-Regular"/>
          <w:sz w:val="32"/>
          <w:szCs w:val="32"/>
        </w:rPr>
        <w:t>2.询问查证</w:t>
      </w:r>
      <w:r>
        <w:rPr>
          <w:rFonts w:ascii="仿宋_GB2312" w:eastAsia="仿宋_GB2312" w:cs="DengXian-Regular"/>
          <w:sz w:val="32"/>
          <w:szCs w:val="32"/>
        </w:rPr>
        <w:t>法：</w:t>
      </w:r>
      <w:r>
        <w:rPr>
          <w:rFonts w:hint="eastAsia" w:ascii="仿宋_GB2312" w:eastAsia="仿宋_GB2312" w:cs="DengXian-Regular"/>
          <w:sz w:val="32"/>
          <w:szCs w:val="32"/>
        </w:rPr>
        <w:t>在比较分析相关资料的基础上，通过询问的形式，核查项目资料是否真实、合理，从而对部门整体支出情况作出初步的判断和评价</w:t>
      </w:r>
      <w:r>
        <w:rPr>
          <w:rFonts w:ascii="仿宋_GB2312" w:eastAsia="仿宋_GB2312" w:cs="DengXian-Regular"/>
          <w:sz w:val="32"/>
          <w:szCs w:val="32"/>
        </w:rPr>
        <w:t>。</w:t>
      </w:r>
      <w:bookmarkEnd w:id="47"/>
      <w:bookmarkEnd w:id="48"/>
    </w:p>
    <w:p>
      <w:pPr>
        <w:spacing w:after="0" w:line="360" w:lineRule="auto"/>
        <w:ind w:firstLine="640"/>
        <w:jc w:val="both"/>
        <w:textAlignment w:val="baseline"/>
        <w:rPr>
          <w:rFonts w:ascii="仿宋_GB2312" w:eastAsia="仿宋_GB2312" w:cs="DengXian-Regular"/>
          <w:sz w:val="32"/>
          <w:szCs w:val="32"/>
        </w:rPr>
      </w:pPr>
      <w:bookmarkStart w:id="49" w:name="_Toc422314156"/>
      <w:bookmarkStart w:id="50" w:name="_Toc421623221"/>
      <w:r>
        <w:rPr>
          <w:rFonts w:hint="eastAsia" w:ascii="仿宋_GB2312" w:eastAsia="仿宋_GB2312" w:cs="DengXian-Regular"/>
          <w:sz w:val="32"/>
          <w:szCs w:val="32"/>
        </w:rPr>
        <w:t>3.问卷调查</w:t>
      </w:r>
      <w:r>
        <w:rPr>
          <w:rFonts w:ascii="仿宋_GB2312" w:eastAsia="仿宋_GB2312" w:cs="DengXian-Regular"/>
          <w:sz w:val="32"/>
          <w:szCs w:val="32"/>
        </w:rPr>
        <w:t>法：通过</w:t>
      </w:r>
      <w:r>
        <w:rPr>
          <w:rFonts w:hint="eastAsia" w:ascii="仿宋_GB2312" w:eastAsia="仿宋_GB2312" w:cs="DengXian-Regular"/>
          <w:sz w:val="32"/>
          <w:szCs w:val="32"/>
        </w:rPr>
        <w:t>设计调查问卷，在一定范围内随机发放，并收集分析调查问卷，</w:t>
      </w:r>
      <w:r>
        <w:rPr>
          <w:rFonts w:ascii="仿宋_GB2312" w:eastAsia="仿宋_GB2312" w:cs="DengXian-Regular"/>
          <w:sz w:val="32"/>
          <w:szCs w:val="32"/>
        </w:rPr>
        <w:t>对财政支出的效果进行</w:t>
      </w:r>
      <w:r>
        <w:rPr>
          <w:rFonts w:hint="eastAsia" w:ascii="仿宋_GB2312" w:eastAsia="仿宋_GB2312" w:cs="DengXian-Regular"/>
          <w:sz w:val="32"/>
          <w:szCs w:val="32"/>
        </w:rPr>
        <w:t>评价</w:t>
      </w:r>
      <w:r>
        <w:rPr>
          <w:rFonts w:ascii="仿宋_GB2312" w:eastAsia="仿宋_GB2312" w:cs="DengXian-Regular"/>
          <w:sz w:val="32"/>
          <w:szCs w:val="32"/>
        </w:rPr>
        <w:t>，</w:t>
      </w:r>
      <w:r>
        <w:rPr>
          <w:rFonts w:hint="eastAsia" w:ascii="仿宋_GB2312" w:eastAsia="仿宋_GB2312" w:cs="DengXian-Regular"/>
          <w:sz w:val="32"/>
          <w:szCs w:val="32"/>
        </w:rPr>
        <w:t>了解服务对象对部门履职效果</w:t>
      </w:r>
      <w:r>
        <w:rPr>
          <w:rFonts w:ascii="仿宋_GB2312" w:eastAsia="仿宋_GB2312" w:cs="DengXian-Regular"/>
          <w:sz w:val="32"/>
          <w:szCs w:val="32"/>
        </w:rPr>
        <w:t>的满意</w:t>
      </w:r>
      <w:r>
        <w:rPr>
          <w:rFonts w:hint="eastAsia" w:ascii="仿宋_GB2312" w:eastAsia="仿宋_GB2312" w:cs="DengXian-Regular"/>
          <w:sz w:val="32"/>
          <w:szCs w:val="32"/>
        </w:rPr>
        <w:t>程</w:t>
      </w:r>
      <w:r>
        <w:rPr>
          <w:rFonts w:ascii="仿宋_GB2312" w:eastAsia="仿宋_GB2312" w:cs="DengXian-Regular"/>
          <w:sz w:val="32"/>
          <w:szCs w:val="32"/>
        </w:rPr>
        <w:t>度。</w:t>
      </w:r>
      <w:bookmarkEnd w:id="49"/>
      <w:bookmarkEnd w:id="50"/>
    </w:p>
    <w:p>
      <w:pPr>
        <w:spacing w:after="0" w:line="360" w:lineRule="auto"/>
        <w:ind w:firstLine="643"/>
        <w:jc w:val="both"/>
        <w:textAlignment w:val="baseline"/>
        <w:rPr>
          <w:rFonts w:ascii="楷体_GB2312" w:eastAsia="楷体_GB2312" w:hAnsiTheme="minorEastAsia"/>
          <w:b/>
          <w:bCs/>
          <w:kern w:val="2"/>
          <w:sz w:val="32"/>
        </w:rPr>
      </w:pPr>
      <w:r>
        <w:rPr>
          <w:rFonts w:hint="eastAsia" w:ascii="楷体_GB2312" w:eastAsia="楷体_GB2312" w:hAnsiTheme="minorEastAsia"/>
          <w:b/>
          <w:bCs/>
          <w:kern w:val="2"/>
          <w:sz w:val="32"/>
        </w:rPr>
        <w:t>（六）绩效评价工作过程</w:t>
      </w:r>
      <w:bookmarkEnd w:id="43"/>
      <w:bookmarkEnd w:id="44"/>
    </w:p>
    <w:p>
      <w:pPr>
        <w:spacing w:after="0" w:line="360" w:lineRule="auto"/>
        <w:ind w:firstLine="640"/>
        <w:jc w:val="both"/>
        <w:textAlignment w:val="baseline"/>
        <w:rPr>
          <w:rFonts w:ascii="仿宋_GB2312" w:eastAsia="仿宋_GB2312" w:cs="DengXian-Regular"/>
          <w:sz w:val="32"/>
          <w:szCs w:val="32"/>
        </w:rPr>
      </w:pPr>
      <w:r>
        <w:rPr>
          <w:rFonts w:hint="eastAsia" w:ascii="仿宋_GB2312" w:eastAsia="仿宋_GB2312" w:cs="DengXian-Regular"/>
          <w:sz w:val="32"/>
          <w:szCs w:val="32"/>
        </w:rPr>
        <w:t>本次绩效评价工作经过了前期准备、绩效评价实施方案和指标体系制定、组织实施、绩效评价报告撰写四个阶段。</w:t>
      </w:r>
    </w:p>
    <w:p>
      <w:pPr>
        <w:spacing w:after="0" w:line="360" w:lineRule="auto"/>
        <w:ind w:firstLine="640"/>
        <w:jc w:val="both"/>
        <w:textAlignment w:val="baseline"/>
        <w:rPr>
          <w:rFonts w:ascii="仿宋_GB2312" w:eastAsia="仿宋_GB2312" w:cs="DengXian-Regular"/>
          <w:sz w:val="32"/>
          <w:szCs w:val="32"/>
        </w:rPr>
      </w:pPr>
      <w:r>
        <w:rPr>
          <w:rFonts w:hint="eastAsia" w:ascii="仿宋_GB2312" w:eastAsia="仿宋_GB2312" w:cs="DengXian-Regular"/>
          <w:sz w:val="32"/>
          <w:szCs w:val="32"/>
        </w:rPr>
        <w:t>1.前期准备阶段</w:t>
      </w:r>
    </w:p>
    <w:p>
      <w:pPr>
        <w:spacing w:after="0" w:line="360" w:lineRule="auto"/>
        <w:ind w:firstLine="640"/>
        <w:jc w:val="both"/>
        <w:textAlignment w:val="baseline"/>
        <w:rPr>
          <w:rFonts w:ascii="仿宋_GB2312" w:eastAsia="仿宋_GB2312" w:cs="DengXian-Regular"/>
          <w:sz w:val="32"/>
          <w:szCs w:val="32"/>
        </w:rPr>
      </w:pPr>
      <w:r>
        <w:rPr>
          <w:rFonts w:hint="eastAsia" w:ascii="仿宋_GB2312" w:eastAsia="仿宋_GB2312" w:cs="DengXian-Regular"/>
          <w:sz w:val="32"/>
          <w:szCs w:val="32"/>
        </w:rPr>
        <w:t>经与中国人民政治协商会议保定市徐水区委员会办公室充分沟通，并充分收集相关资料，主要包括部门职责、工作活动、预决算文本、相关管理制度、资金使用等相关资料，为制定绩效评价实施方案和指标体系奠定了基础。</w:t>
      </w:r>
    </w:p>
    <w:p>
      <w:pPr>
        <w:spacing w:after="0" w:line="360" w:lineRule="auto"/>
        <w:ind w:firstLine="640"/>
        <w:jc w:val="both"/>
        <w:textAlignment w:val="baseline"/>
        <w:rPr>
          <w:rFonts w:ascii="仿宋_GB2312" w:eastAsia="仿宋_GB2312" w:cs="DengXian-Regular"/>
          <w:sz w:val="32"/>
          <w:szCs w:val="32"/>
        </w:rPr>
      </w:pPr>
      <w:r>
        <w:rPr>
          <w:rFonts w:hint="eastAsia" w:ascii="仿宋_GB2312" w:eastAsia="仿宋_GB2312" w:cs="DengXian-Regular"/>
          <w:sz w:val="32"/>
          <w:szCs w:val="32"/>
        </w:rPr>
        <w:t>2.制定绩效评价实施方案和体系</w:t>
      </w:r>
    </w:p>
    <w:p>
      <w:pPr>
        <w:spacing w:after="0" w:line="360" w:lineRule="auto"/>
        <w:ind w:firstLine="640"/>
        <w:jc w:val="both"/>
        <w:textAlignment w:val="baseline"/>
        <w:rPr>
          <w:rFonts w:ascii="仿宋_GB2312" w:eastAsia="仿宋_GB2312" w:cs="DengXian-Regular"/>
          <w:sz w:val="32"/>
          <w:szCs w:val="32"/>
        </w:rPr>
      </w:pPr>
      <w:r>
        <w:rPr>
          <w:rFonts w:hint="eastAsia" w:ascii="仿宋_GB2312" w:eastAsia="仿宋_GB2312" w:cs="DengXian-Regular"/>
          <w:sz w:val="32"/>
          <w:szCs w:val="32"/>
        </w:rPr>
        <w:t>基于对中国人民政治协商会议保定市徐水区委员会办公室相关资料的收集，制定绩效评价实施方案和体系,确定最终方案。</w:t>
      </w:r>
    </w:p>
    <w:p>
      <w:pPr>
        <w:spacing w:after="0" w:line="360" w:lineRule="auto"/>
        <w:ind w:firstLine="640"/>
        <w:jc w:val="both"/>
        <w:textAlignment w:val="baseline"/>
        <w:rPr>
          <w:rFonts w:ascii="仿宋_GB2312" w:eastAsia="仿宋_GB2312" w:cs="DengXian-Regular"/>
          <w:sz w:val="32"/>
          <w:szCs w:val="32"/>
        </w:rPr>
      </w:pPr>
      <w:r>
        <w:rPr>
          <w:rFonts w:hint="eastAsia" w:ascii="仿宋_GB2312" w:eastAsia="仿宋_GB2312" w:cs="DengXian-Regular"/>
          <w:sz w:val="32"/>
          <w:szCs w:val="32"/>
        </w:rPr>
        <w:t>3.组织实施阶段</w:t>
      </w:r>
    </w:p>
    <w:p>
      <w:pPr>
        <w:spacing w:after="0" w:line="360" w:lineRule="auto"/>
        <w:ind w:firstLine="64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绩效评价实施方案和指标体系，对中国人民政治协商会议保定市徐水区委员会办公室开展评价工作，包括查看预决算文本及部门工作活动绩效目标和指标；比对预决算的调整及执行情况；核查固定资产管理的规范性；核查明细账与决算报表项目的一致性；对项目产出情况进行了解查看；随机选取服务对象进行满意度调查；对一些专业的问题咨询相关专家等。根据收集的数据、资料进行核对、比较、计算，对部门整体支出进行评分。</w:t>
      </w:r>
    </w:p>
    <w:p>
      <w:pPr>
        <w:spacing w:after="0" w:line="360" w:lineRule="auto"/>
        <w:ind w:firstLine="640"/>
        <w:jc w:val="both"/>
        <w:textAlignment w:val="baseline"/>
        <w:rPr>
          <w:rFonts w:ascii="仿宋_GB2312" w:eastAsia="仿宋_GB2312" w:cs="DengXian-Regular"/>
          <w:sz w:val="32"/>
          <w:szCs w:val="32"/>
        </w:rPr>
      </w:pPr>
      <w:r>
        <w:rPr>
          <w:rFonts w:hint="eastAsia" w:ascii="仿宋_GB2312" w:eastAsia="仿宋_GB2312" w:cs="DengXian-Regular"/>
          <w:sz w:val="32"/>
          <w:szCs w:val="32"/>
        </w:rPr>
        <w:t>4.撰写绩效评价报告</w:t>
      </w:r>
      <w:bookmarkStart w:id="51" w:name="_Toc492652781"/>
      <w:bookmarkStart w:id="52" w:name="_Toc465149511"/>
    </w:p>
    <w:p>
      <w:pPr>
        <w:spacing w:after="0" w:line="360" w:lineRule="auto"/>
        <w:ind w:firstLine="640"/>
        <w:jc w:val="both"/>
        <w:textAlignment w:val="baseline"/>
        <w:rPr>
          <w:rFonts w:ascii="仿宋_GB2312" w:eastAsia="仿宋_GB2312" w:cs="DengXian-Regular"/>
          <w:sz w:val="32"/>
          <w:szCs w:val="32"/>
        </w:rPr>
      </w:pPr>
      <w:r>
        <w:rPr>
          <w:rFonts w:hint="eastAsia" w:ascii="仿宋_GB2312" w:eastAsia="仿宋_GB2312" w:cs="DengXian-Regular"/>
          <w:sz w:val="32"/>
          <w:szCs w:val="32"/>
        </w:rPr>
        <w:t>在完成对各评价指标评分定级的基础上，开始进行报告撰写工作。</w:t>
      </w:r>
    </w:p>
    <w:p>
      <w:pPr>
        <w:pStyle w:val="3"/>
        <w:spacing w:before="0" w:after="0" w:line="360" w:lineRule="auto"/>
        <w:ind w:firstLine="643"/>
        <w:rPr>
          <w:rFonts w:ascii="黑体"/>
        </w:rPr>
      </w:pPr>
      <w:bookmarkStart w:id="53" w:name="_Toc57553868"/>
      <w:r>
        <w:rPr>
          <w:rFonts w:hint="eastAsia" w:ascii="黑体"/>
        </w:rPr>
        <w:t>四、</w:t>
      </w:r>
      <w:bookmarkEnd w:id="51"/>
      <w:bookmarkEnd w:id="52"/>
      <w:bookmarkStart w:id="54" w:name="_Toc492652782"/>
      <w:r>
        <w:rPr>
          <w:rFonts w:hint="eastAsia" w:ascii="黑体"/>
        </w:rPr>
        <w:t>绩效评价评分情况</w:t>
      </w:r>
      <w:bookmarkEnd w:id="53"/>
    </w:p>
    <w:bookmarkEnd w:id="54"/>
    <w:p>
      <w:pPr>
        <w:spacing w:after="0" w:line="360" w:lineRule="auto"/>
        <w:ind w:firstLine="640"/>
        <w:jc w:val="both"/>
        <w:textAlignment w:val="baseline"/>
        <w:rPr>
          <w:rFonts w:ascii="仿宋_GB2312" w:eastAsia="仿宋_GB2312" w:cs="Times New Roman" w:hAnsiTheme="minorEastAsia"/>
          <w:sz w:val="32"/>
          <w:szCs w:val="32"/>
          <w:u w:color="000000"/>
        </w:rPr>
      </w:pPr>
      <w:r>
        <w:rPr>
          <w:rFonts w:hint="eastAsia" w:ascii="仿宋_GB2312" w:eastAsia="仿宋_GB2312" w:cs="DengXian-Regular"/>
          <w:sz w:val="32"/>
          <w:szCs w:val="32"/>
        </w:rPr>
        <w:t>中国人民政治协商会议保定市徐水区委员会办公室部门整体支出绩效评价总得分为87.63分，综合绩效评价等级为“良”。各项得分情况如下</w:t>
      </w:r>
      <w:r>
        <w:rPr>
          <w:rFonts w:hint="eastAsia" w:ascii="仿宋_GB2312" w:eastAsia="仿宋_GB2312" w:cs="Times New Roman" w:hAnsiTheme="minorEastAsia"/>
          <w:sz w:val="32"/>
          <w:szCs w:val="32"/>
          <w:u w:color="000000"/>
        </w:rPr>
        <w:t>：</w:t>
      </w:r>
    </w:p>
    <w:p>
      <w:pPr>
        <w:pStyle w:val="4"/>
        <w:spacing w:before="0" w:after="0"/>
        <w:ind w:firstLine="643"/>
        <w:jc w:val="both"/>
        <w:rPr>
          <w:rFonts w:ascii="楷体_GB2312" w:eastAsia="楷体_GB2312" w:hAnsiTheme="minorEastAsia"/>
          <w:kern w:val="2"/>
          <w:sz w:val="32"/>
        </w:rPr>
      </w:pPr>
      <w:bookmarkStart w:id="55" w:name="_Toc492652783"/>
      <w:bookmarkStart w:id="56" w:name="_Toc57553869"/>
      <w:r>
        <w:rPr>
          <w:rFonts w:hint="eastAsia" w:ascii="楷体_GB2312" w:eastAsia="楷体_GB2312" w:hAnsiTheme="minorEastAsia"/>
          <w:kern w:val="2"/>
          <w:sz w:val="32"/>
        </w:rPr>
        <w:t>（一）</w:t>
      </w:r>
      <w:bookmarkEnd w:id="55"/>
      <w:r>
        <w:rPr>
          <w:rFonts w:hint="eastAsia" w:ascii="楷体_GB2312" w:eastAsia="楷体_GB2312" w:hAnsiTheme="minorEastAsia"/>
          <w:kern w:val="2"/>
          <w:sz w:val="32"/>
        </w:rPr>
        <w:t>投入（1</w:t>
      </w:r>
      <w:r>
        <w:rPr>
          <w:rFonts w:ascii="楷体_GB2312" w:eastAsia="楷体_GB2312" w:hAnsiTheme="minorEastAsia"/>
          <w:kern w:val="2"/>
          <w:sz w:val="32"/>
        </w:rPr>
        <w:t>0</w:t>
      </w:r>
      <w:r>
        <w:rPr>
          <w:rFonts w:hint="eastAsia" w:ascii="楷体_GB2312" w:eastAsia="楷体_GB2312" w:hAnsiTheme="minorEastAsia"/>
          <w:kern w:val="2"/>
          <w:sz w:val="32"/>
        </w:rPr>
        <w:t>分）</w:t>
      </w:r>
      <w:bookmarkEnd w:id="56"/>
    </w:p>
    <w:p>
      <w:pPr>
        <w:spacing w:after="0" w:line="360" w:lineRule="auto"/>
        <w:ind w:firstLine="640"/>
        <w:jc w:val="both"/>
        <w:textAlignment w:val="baseline"/>
        <w:rPr>
          <w:rFonts w:ascii="仿宋_GB2312" w:eastAsia="仿宋_GB2312" w:cs="Times New Roman" w:hAnsiTheme="minorEastAsia"/>
          <w:sz w:val="32"/>
          <w:szCs w:val="32"/>
          <w:u w:color="000000"/>
        </w:rPr>
      </w:pPr>
      <w:r>
        <w:rPr>
          <w:rFonts w:hint="eastAsia" w:ascii="仿宋_GB2312" w:eastAsia="仿宋_GB2312" w:cs="DengXian-Regular"/>
          <w:sz w:val="32"/>
          <w:szCs w:val="32"/>
        </w:rPr>
        <w:t>该一级指标包含绩效目标设定和预算配置两个二级指标，主要反映绩效目标设定是否合理、科学，绩效指标的制定是否清晰、可衡量，预算编制是否完整，项目预算是否细化及在职人员控制情况。</w:t>
      </w:r>
      <w:r>
        <w:rPr>
          <w:rFonts w:hint="eastAsia" w:ascii="仿宋_GB2312" w:eastAsia="仿宋_GB2312" w:cs="Times New Roman" w:hAnsiTheme="minorEastAsia"/>
          <w:sz w:val="32"/>
          <w:szCs w:val="32"/>
          <w:u w:color="000000"/>
        </w:rPr>
        <w:tab/>
      </w:r>
    </w:p>
    <w:p>
      <w:pPr>
        <w:spacing w:after="0" w:line="360" w:lineRule="auto"/>
        <w:ind w:firstLine="643"/>
        <w:jc w:val="center"/>
        <w:textAlignment w:val="baseline"/>
        <w:rPr>
          <w:rFonts w:asciiTheme="minorEastAsia" w:hAnsiTheme="minorEastAsia" w:eastAsiaTheme="minorEastAsia" w:cstheme="minorEastAsia"/>
          <w:b/>
          <w:bCs/>
          <w:sz w:val="32"/>
          <w:szCs w:val="32"/>
          <w:u w:color="000000"/>
        </w:rPr>
      </w:pPr>
      <w:r>
        <w:rPr>
          <w:rFonts w:hint="eastAsia" w:asciiTheme="minorEastAsia" w:hAnsiTheme="minorEastAsia" w:eastAsiaTheme="minorEastAsia" w:cstheme="minorEastAsia"/>
          <w:b/>
          <w:bCs/>
          <w:sz w:val="32"/>
          <w:szCs w:val="32"/>
          <w:u w:color="000000"/>
        </w:rPr>
        <w:t>表2  投入指标及得分情况表</w:t>
      </w:r>
    </w:p>
    <w:tbl>
      <w:tblPr>
        <w:tblStyle w:val="9"/>
        <w:tblW w:w="7088" w:type="dxa"/>
        <w:tblInd w:w="70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59"/>
        <w:gridCol w:w="1418"/>
        <w:gridCol w:w="1701"/>
        <w:gridCol w:w="1276"/>
        <w:gridCol w:w="11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559" w:type="dxa"/>
            <w:vAlign w:val="center"/>
          </w:tcPr>
          <w:p>
            <w:pPr>
              <w:spacing w:line="420" w:lineRule="exact"/>
              <w:ind w:firstLine="422"/>
              <w:jc w:val="center"/>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一级指标</w:t>
            </w:r>
          </w:p>
        </w:tc>
        <w:tc>
          <w:tcPr>
            <w:tcW w:w="1418" w:type="dxa"/>
            <w:vAlign w:val="center"/>
          </w:tcPr>
          <w:p>
            <w:pPr>
              <w:spacing w:line="420" w:lineRule="exact"/>
              <w:ind w:firstLine="422"/>
              <w:jc w:val="center"/>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二级指标</w:t>
            </w:r>
          </w:p>
        </w:tc>
        <w:tc>
          <w:tcPr>
            <w:tcW w:w="1701" w:type="dxa"/>
            <w:vAlign w:val="center"/>
          </w:tcPr>
          <w:p>
            <w:pPr>
              <w:spacing w:line="420" w:lineRule="exact"/>
              <w:ind w:firstLine="422"/>
              <w:jc w:val="center"/>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三级指标</w:t>
            </w:r>
          </w:p>
        </w:tc>
        <w:tc>
          <w:tcPr>
            <w:tcW w:w="1276" w:type="dxa"/>
            <w:vAlign w:val="center"/>
          </w:tcPr>
          <w:p>
            <w:pPr>
              <w:spacing w:line="420" w:lineRule="exact"/>
              <w:ind w:firstLine="422"/>
              <w:jc w:val="center"/>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分值权重</w:t>
            </w:r>
          </w:p>
        </w:tc>
        <w:tc>
          <w:tcPr>
            <w:tcW w:w="1134" w:type="dxa"/>
            <w:vAlign w:val="center"/>
          </w:tcPr>
          <w:p>
            <w:pPr>
              <w:spacing w:line="420" w:lineRule="exact"/>
              <w:ind w:firstLine="422"/>
              <w:jc w:val="center"/>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559" w:type="dxa"/>
            <w:vMerge w:val="restart"/>
            <w:vAlign w:val="center"/>
          </w:tcPr>
          <w:p>
            <w:pPr>
              <w:spacing w:line="420" w:lineRule="exact"/>
              <w:ind w:firstLine="42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投入</w:t>
            </w:r>
          </w:p>
          <w:p>
            <w:pPr>
              <w:spacing w:line="420" w:lineRule="exact"/>
              <w:ind w:firstLine="420"/>
              <w:jc w:val="center"/>
              <w:rPr>
                <w:rFonts w:cs="宋体" w:asciiTheme="minorEastAsia" w:hAnsiTheme="minorEastAsia" w:eastAsiaTheme="minorEastAsia"/>
                <w:sz w:val="21"/>
                <w:szCs w:val="21"/>
                <w:highlight w:val="yellow"/>
              </w:rPr>
            </w:pPr>
            <w:r>
              <w:rPr>
                <w:rFonts w:hint="eastAsia" w:cs="宋体" w:asciiTheme="minorEastAsia" w:hAnsiTheme="minorEastAsia" w:eastAsiaTheme="minorEastAsia"/>
                <w:sz w:val="21"/>
                <w:szCs w:val="21"/>
              </w:rPr>
              <w:t>（12分）</w:t>
            </w:r>
          </w:p>
        </w:tc>
        <w:tc>
          <w:tcPr>
            <w:tcW w:w="1418" w:type="dxa"/>
            <w:vMerge w:val="restart"/>
            <w:vAlign w:val="center"/>
          </w:tcPr>
          <w:p>
            <w:pPr>
              <w:spacing w:line="420" w:lineRule="exact"/>
              <w:ind w:firstLine="420"/>
              <w:jc w:val="center"/>
              <w:rPr>
                <w:rFonts w:cs="宋体" w:asciiTheme="minorEastAsia" w:hAnsiTheme="minorEastAsia" w:eastAsiaTheme="minorEastAsia"/>
                <w:sz w:val="21"/>
                <w:szCs w:val="21"/>
                <w:highlight w:val="yellow"/>
              </w:rPr>
            </w:pPr>
            <w:r>
              <w:rPr>
                <w:rFonts w:hint="eastAsia" w:cs="宋体" w:asciiTheme="minorEastAsia" w:hAnsiTheme="minorEastAsia" w:eastAsiaTheme="minorEastAsia"/>
                <w:sz w:val="21"/>
                <w:szCs w:val="21"/>
              </w:rPr>
              <w:t>绩效目标设定（6分）</w:t>
            </w:r>
          </w:p>
        </w:tc>
        <w:tc>
          <w:tcPr>
            <w:tcW w:w="1701" w:type="dxa"/>
            <w:vAlign w:val="center"/>
          </w:tcPr>
          <w:p>
            <w:pPr>
              <w:spacing w:line="420" w:lineRule="exact"/>
              <w:ind w:firstLine="42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绩效目标合理性</w:t>
            </w:r>
          </w:p>
        </w:tc>
        <w:tc>
          <w:tcPr>
            <w:tcW w:w="1276" w:type="dxa"/>
            <w:vAlign w:val="center"/>
          </w:tcPr>
          <w:p>
            <w:pPr>
              <w:spacing w:line="420" w:lineRule="exact"/>
              <w:ind w:firstLine="42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c>
          <w:tcPr>
            <w:tcW w:w="1134" w:type="dxa"/>
            <w:vAlign w:val="center"/>
          </w:tcPr>
          <w:p>
            <w:pPr>
              <w:spacing w:line="420" w:lineRule="exact"/>
              <w:ind w:firstLine="420"/>
              <w:jc w:val="center"/>
              <w:rPr>
                <w:rFonts w:cs="宋体" w:asciiTheme="minorEastAsia" w:hAnsiTheme="minorEastAsia" w:eastAsiaTheme="minorEastAsia"/>
                <w:sz w:val="21"/>
                <w:szCs w:val="21"/>
              </w:rPr>
            </w:pPr>
            <w:r>
              <w:rPr>
                <w:rFonts w:cs="宋体" w:asciiTheme="minorEastAsia" w:hAnsiTheme="minorEastAsia" w:eastAsiaTheme="minorEastAsia"/>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vMerge w:val="continue"/>
          </w:tcPr>
          <w:p/>
        </w:tc>
        <w:tc>
          <w:tcPr>
            <w:vMerge w:val="continue"/>
          </w:tcPr>
          <w:p/>
        </w:tc>
        <w:tc>
          <w:tcPr>
            <w:tcW w:w="1701" w:type="dxa"/>
            <w:vAlign w:val="center"/>
          </w:tcPr>
          <w:p>
            <w:pPr>
              <w:spacing w:line="420" w:lineRule="exact"/>
              <w:ind w:firstLine="42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绩效目标科学性</w:t>
            </w:r>
          </w:p>
        </w:tc>
        <w:tc>
          <w:tcPr>
            <w:tcW w:w="1276" w:type="dxa"/>
            <w:vAlign w:val="center"/>
          </w:tcPr>
          <w:p>
            <w:pPr>
              <w:spacing w:line="420" w:lineRule="exact"/>
              <w:ind w:firstLine="42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c>
          <w:tcPr>
            <w:tcW w:w="1134" w:type="dxa"/>
            <w:vAlign w:val="center"/>
          </w:tcPr>
          <w:p>
            <w:pPr>
              <w:spacing w:line="420" w:lineRule="exact"/>
              <w:ind w:firstLine="420"/>
              <w:jc w:val="center"/>
              <w:rPr>
                <w:rFonts w:cs="宋体" w:asciiTheme="minorEastAsia" w:hAnsiTheme="minorEastAsia" w:eastAsiaTheme="minorEastAsia"/>
                <w:sz w:val="21"/>
                <w:szCs w:val="21"/>
              </w:rPr>
            </w:pPr>
            <w:r>
              <w:rPr>
                <w:rFonts w:cs="宋体" w:asciiTheme="minorEastAsia" w:hAnsiTheme="minorEastAsia" w:eastAsiaTheme="minorEastAsia"/>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vMerge w:val="continue"/>
          </w:tcPr>
          <w:p/>
        </w:tc>
        <w:tc>
          <w:tcPr>
            <w:vMerge w:val="continue"/>
          </w:tcPr>
          <w:p/>
        </w:tc>
        <w:tc>
          <w:tcPr>
            <w:tcW w:w="1701" w:type="dxa"/>
            <w:vAlign w:val="center"/>
          </w:tcPr>
          <w:p>
            <w:pPr>
              <w:spacing w:line="420" w:lineRule="exact"/>
              <w:ind w:firstLine="42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绩效指标明确性</w:t>
            </w:r>
          </w:p>
        </w:tc>
        <w:tc>
          <w:tcPr>
            <w:tcW w:w="1276" w:type="dxa"/>
            <w:vAlign w:val="center"/>
          </w:tcPr>
          <w:p>
            <w:pPr>
              <w:spacing w:line="420" w:lineRule="exact"/>
              <w:ind w:firstLine="42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c>
          <w:tcPr>
            <w:tcW w:w="1134" w:type="dxa"/>
            <w:vAlign w:val="center"/>
          </w:tcPr>
          <w:p>
            <w:pPr>
              <w:spacing w:line="420" w:lineRule="exact"/>
              <w:ind w:firstLine="420"/>
              <w:jc w:val="center"/>
              <w:rPr>
                <w:rFonts w:cs="宋体" w:asciiTheme="minorEastAsia" w:hAnsiTheme="minorEastAsia" w:eastAsiaTheme="minorEastAsia"/>
                <w:sz w:val="21"/>
                <w:szCs w:val="21"/>
              </w:rPr>
            </w:pPr>
            <w:r>
              <w:rPr>
                <w:rFonts w:cs="宋体" w:asciiTheme="minorEastAsia" w:hAnsiTheme="minorEastAsia" w:eastAsiaTheme="minorEastAsia"/>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vMerge w:val="continue"/>
          </w:tcPr>
          <w:p/>
        </w:tc>
        <w:tc>
          <w:tcPr>
            <w:tcW w:w="1418" w:type="dxa"/>
            <w:vMerge w:val="restart"/>
            <w:vAlign w:val="center"/>
          </w:tcPr>
          <w:p>
            <w:pPr>
              <w:spacing w:line="420" w:lineRule="exact"/>
              <w:ind w:firstLine="42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预算配置</w:t>
            </w:r>
          </w:p>
          <w:p>
            <w:pPr>
              <w:spacing w:line="420" w:lineRule="exact"/>
              <w:ind w:firstLine="42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（6分）</w:t>
            </w:r>
          </w:p>
        </w:tc>
        <w:tc>
          <w:tcPr>
            <w:tcW w:w="1701" w:type="dxa"/>
            <w:vAlign w:val="center"/>
          </w:tcPr>
          <w:p>
            <w:pPr>
              <w:spacing w:line="420" w:lineRule="exact"/>
              <w:ind w:firstLine="42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预算编制完整性</w:t>
            </w:r>
          </w:p>
        </w:tc>
        <w:tc>
          <w:tcPr>
            <w:tcW w:w="1276" w:type="dxa"/>
            <w:vAlign w:val="center"/>
          </w:tcPr>
          <w:p>
            <w:pPr>
              <w:spacing w:line="420" w:lineRule="exact"/>
              <w:ind w:firstLine="42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c>
          <w:tcPr>
            <w:tcW w:w="1134" w:type="dxa"/>
            <w:vAlign w:val="center"/>
          </w:tcPr>
          <w:p>
            <w:pPr>
              <w:spacing w:line="420" w:lineRule="exact"/>
              <w:ind w:firstLine="42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vMerge w:val="continue"/>
          </w:tcPr>
          <w:p/>
        </w:tc>
        <w:tc>
          <w:tcPr>
            <w:vMerge w:val="continue"/>
          </w:tcPr>
          <w:p/>
        </w:tc>
        <w:tc>
          <w:tcPr>
            <w:tcW w:w="1701" w:type="dxa"/>
            <w:vAlign w:val="center"/>
          </w:tcPr>
          <w:p>
            <w:pPr>
              <w:spacing w:line="420" w:lineRule="exact"/>
              <w:ind w:firstLine="42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项目预算细化率</w:t>
            </w:r>
          </w:p>
        </w:tc>
        <w:tc>
          <w:tcPr>
            <w:tcW w:w="1276" w:type="dxa"/>
            <w:vAlign w:val="center"/>
          </w:tcPr>
          <w:p>
            <w:pPr>
              <w:spacing w:line="420" w:lineRule="exact"/>
              <w:ind w:firstLine="42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c>
          <w:tcPr>
            <w:tcW w:w="1134" w:type="dxa"/>
            <w:vAlign w:val="center"/>
          </w:tcPr>
          <w:p>
            <w:pPr>
              <w:spacing w:line="420" w:lineRule="exact"/>
              <w:ind w:firstLine="42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vMerge w:val="continue"/>
          </w:tcPr>
          <w:p/>
        </w:tc>
        <w:tc>
          <w:tcPr>
            <w:vMerge w:val="continue"/>
          </w:tcPr>
          <w:p/>
        </w:tc>
        <w:tc>
          <w:tcPr>
            <w:tcW w:w="1701" w:type="dxa"/>
            <w:vAlign w:val="center"/>
          </w:tcPr>
          <w:p>
            <w:pPr>
              <w:spacing w:line="420" w:lineRule="exact"/>
              <w:ind w:firstLine="42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在职人员控制率</w:t>
            </w:r>
          </w:p>
        </w:tc>
        <w:tc>
          <w:tcPr>
            <w:tcW w:w="1276" w:type="dxa"/>
            <w:vAlign w:val="center"/>
          </w:tcPr>
          <w:p>
            <w:pPr>
              <w:spacing w:line="420" w:lineRule="exact"/>
              <w:ind w:firstLine="42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c>
          <w:tcPr>
            <w:tcW w:w="1134" w:type="dxa"/>
            <w:vAlign w:val="center"/>
          </w:tcPr>
          <w:p>
            <w:pPr>
              <w:spacing w:line="420" w:lineRule="exact"/>
              <w:ind w:firstLine="420"/>
              <w:jc w:val="center"/>
              <w:rPr>
                <w:rFonts w:cs="宋体" w:asciiTheme="minorEastAsia" w:hAnsiTheme="minorEastAsia" w:eastAsiaTheme="minorEastAsia"/>
                <w:sz w:val="21"/>
                <w:szCs w:val="21"/>
              </w:rPr>
            </w:pPr>
            <w:r>
              <w:rPr>
                <w:rFonts w:cs="宋体" w:asciiTheme="minorEastAsia" w:hAnsiTheme="minorEastAsia" w:eastAsiaTheme="minorEastAsia"/>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2977" w:type="dxa"/>
            <w:gridSpan w:val="2"/>
            <w:vAlign w:val="center"/>
          </w:tcPr>
          <w:p>
            <w:pPr>
              <w:spacing w:line="420" w:lineRule="exact"/>
              <w:ind w:firstLine="420"/>
              <w:jc w:val="center"/>
              <w:rPr>
                <w:rFonts w:cs="宋体" w:asciiTheme="minorEastAsia" w:hAnsiTheme="minorEastAsia" w:eastAsiaTheme="minorEastAsia"/>
                <w:sz w:val="21"/>
                <w:szCs w:val="21"/>
                <w:highlight w:val="yellow"/>
              </w:rPr>
            </w:pPr>
            <w:r>
              <w:rPr>
                <w:rFonts w:hint="eastAsia" w:cs="宋体" w:asciiTheme="minorEastAsia" w:hAnsiTheme="minorEastAsia" w:eastAsiaTheme="minorEastAsia"/>
                <w:sz w:val="21"/>
                <w:szCs w:val="21"/>
              </w:rPr>
              <w:t>合计</w:t>
            </w:r>
          </w:p>
        </w:tc>
        <w:tc>
          <w:tcPr>
            <w:tcW w:w="1701" w:type="dxa"/>
            <w:vAlign w:val="center"/>
          </w:tcPr>
          <w:p>
            <w:pPr>
              <w:spacing w:line="420" w:lineRule="exact"/>
              <w:ind w:firstLine="420"/>
              <w:jc w:val="center"/>
              <w:rPr>
                <w:rFonts w:cs="宋体" w:asciiTheme="minorEastAsia" w:hAnsiTheme="minorEastAsia" w:eastAsiaTheme="minorEastAsia"/>
                <w:sz w:val="21"/>
                <w:szCs w:val="21"/>
                <w:highlight w:val="yellow"/>
              </w:rPr>
            </w:pPr>
          </w:p>
        </w:tc>
        <w:tc>
          <w:tcPr>
            <w:tcW w:w="1276" w:type="dxa"/>
            <w:vAlign w:val="center"/>
          </w:tcPr>
          <w:p>
            <w:pPr>
              <w:spacing w:line="420" w:lineRule="exact"/>
              <w:ind w:firstLine="42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12</w:t>
            </w:r>
          </w:p>
        </w:tc>
        <w:tc>
          <w:tcPr>
            <w:tcW w:w="1134" w:type="dxa"/>
            <w:vAlign w:val="center"/>
          </w:tcPr>
          <w:p>
            <w:pPr>
              <w:spacing w:line="420" w:lineRule="exact"/>
              <w:ind w:firstLine="420"/>
              <w:jc w:val="center"/>
              <w:rPr>
                <w:rFonts w:cs="宋体" w:asciiTheme="minorEastAsia" w:hAnsiTheme="minorEastAsia" w:eastAsiaTheme="minorEastAsia"/>
                <w:sz w:val="21"/>
                <w:szCs w:val="21"/>
              </w:rPr>
            </w:pPr>
            <w:r>
              <w:rPr>
                <w:rFonts w:cs="宋体" w:asciiTheme="minorEastAsia" w:hAnsiTheme="minorEastAsia" w:eastAsiaTheme="minorEastAsia"/>
                <w:sz w:val="21"/>
                <w:szCs w:val="21"/>
              </w:rPr>
              <w:t>10</w:t>
            </w:r>
          </w:p>
        </w:tc>
      </w:tr>
    </w:tbl>
    <w:p>
      <w:pPr>
        <w:spacing w:after="0" w:line="360" w:lineRule="auto"/>
        <w:ind w:firstLine="640"/>
        <w:jc w:val="both"/>
        <w:textAlignment w:val="baseline"/>
        <w:rPr>
          <w:rFonts w:ascii="仿宋_GB2312" w:eastAsia="仿宋_GB2312" w:cs="DengXian-Regular"/>
          <w:sz w:val="32"/>
          <w:szCs w:val="32"/>
        </w:rPr>
      </w:pPr>
      <w:bookmarkStart w:id="57" w:name="_Toc465149513"/>
      <w:bookmarkStart w:id="58" w:name="_Toc464638478"/>
      <w:r>
        <w:rPr>
          <w:rFonts w:hint="eastAsia" w:ascii="仿宋_GB2312" w:eastAsia="仿宋_GB2312" w:cs="DengXian-Regular"/>
          <w:sz w:val="32"/>
          <w:szCs w:val="32"/>
        </w:rPr>
        <w:t>1.绩效目标设定（</w:t>
      </w:r>
      <w:r>
        <w:rPr>
          <w:rFonts w:ascii="仿宋_GB2312" w:eastAsia="仿宋_GB2312" w:cs="DengXian-Regular"/>
          <w:sz w:val="32"/>
          <w:szCs w:val="32"/>
        </w:rPr>
        <w:t>4</w:t>
      </w:r>
      <w:r>
        <w:rPr>
          <w:rFonts w:hint="eastAsia" w:ascii="仿宋_GB2312" w:eastAsia="仿宋_GB2312" w:cs="DengXian-Regular"/>
          <w:sz w:val="32"/>
          <w:szCs w:val="32"/>
        </w:rPr>
        <w:t>分）</w:t>
      </w:r>
    </w:p>
    <w:p>
      <w:pPr>
        <w:spacing w:after="0" w:line="360" w:lineRule="auto"/>
        <w:ind w:firstLine="640"/>
        <w:jc w:val="both"/>
        <w:textAlignment w:val="baseline"/>
        <w:rPr>
          <w:rFonts w:ascii="仿宋_GB2312" w:eastAsia="仿宋_GB2312" w:cs="DengXian-Regular"/>
          <w:sz w:val="32"/>
          <w:szCs w:val="32"/>
        </w:rPr>
      </w:pPr>
      <w:r>
        <w:rPr>
          <w:rFonts w:hint="eastAsia" w:ascii="仿宋_GB2312" w:eastAsia="仿宋_GB2312" w:cs="DengXian-Regular"/>
          <w:sz w:val="32"/>
          <w:szCs w:val="32"/>
        </w:rPr>
        <w:t>（1）绩效目标合理性(</w:t>
      </w:r>
      <w:r>
        <w:rPr>
          <w:rFonts w:ascii="仿宋_GB2312" w:eastAsia="仿宋_GB2312" w:cs="DengXian-Regular"/>
          <w:sz w:val="32"/>
          <w:szCs w:val="32"/>
        </w:rPr>
        <w:t>2</w:t>
      </w:r>
      <w:r>
        <w:rPr>
          <w:rFonts w:hint="eastAsia" w:ascii="仿宋_GB2312" w:eastAsia="仿宋_GB2312" w:cs="DengXian-Regular"/>
          <w:sz w:val="32"/>
          <w:szCs w:val="32"/>
        </w:rPr>
        <w:t>分)</w:t>
      </w:r>
    </w:p>
    <w:p>
      <w:pPr>
        <w:spacing w:after="0" w:line="360" w:lineRule="auto"/>
        <w:ind w:firstLine="64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的职责设定是否符合“三定”方案中所赋予的职责；工作活动是否与部门职责、工作规划和重点工作相关；工作活动项下确定的预算项目是否合理，是否与工作活动密切相关；工作活动和项目预算安排是否合理。</w:t>
      </w:r>
    </w:p>
    <w:p>
      <w:pPr>
        <w:spacing w:after="0" w:line="360" w:lineRule="auto"/>
        <w:ind w:firstLine="640"/>
        <w:jc w:val="both"/>
        <w:textAlignment w:val="baseline"/>
        <w:rPr>
          <w:rFonts w:ascii="仿宋_GB2312" w:eastAsia="仿宋_GB2312" w:cs="DengXian-Regular"/>
          <w:sz w:val="32"/>
          <w:szCs w:val="32"/>
        </w:rPr>
      </w:pPr>
      <w:r>
        <w:rPr>
          <w:rFonts w:hint="eastAsia" w:ascii="仿宋_GB2312" w:eastAsia="仿宋_GB2312" w:cs="DengXian-Regular"/>
          <w:sz w:val="32"/>
          <w:szCs w:val="32"/>
        </w:rPr>
        <w:t>通过对比保定市徐水区委办公室印发的《中国人民政治协商会议保定市徐水区委员会职能配置、内设机构和人员编制规定》和中国人民政治协商会议保定市徐水区委员会办公室2019年预算文本—部门职责工作活动绩效目标，评价工作组认为中国人民政治协商会议保定市徐水区委员会部门职责符合“三定”方案中所赋予的职责，绩效目标设立依据充分，符合客观实际，与部门职责、工作规划和重点工作相关，工作活动和项目预算安排合理。</w:t>
      </w:r>
    </w:p>
    <w:p>
      <w:pPr>
        <w:spacing w:after="0" w:line="360" w:lineRule="auto"/>
        <w:ind w:firstLine="64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该指标实际得分2分。</w:t>
      </w:r>
    </w:p>
    <w:p>
      <w:pPr>
        <w:spacing w:after="0" w:line="360" w:lineRule="auto"/>
        <w:ind w:firstLine="640"/>
        <w:jc w:val="both"/>
        <w:textAlignment w:val="baseline"/>
        <w:rPr>
          <w:rFonts w:ascii="仿宋_GB2312" w:eastAsia="仿宋_GB2312" w:cs="DengXian-Regular"/>
          <w:sz w:val="32"/>
          <w:szCs w:val="32"/>
        </w:rPr>
      </w:pPr>
      <w:r>
        <w:rPr>
          <w:rFonts w:hint="eastAsia" w:ascii="仿宋_GB2312" w:eastAsia="仿宋_GB2312" w:cs="DengXian-Regular"/>
          <w:sz w:val="32"/>
          <w:szCs w:val="32"/>
        </w:rPr>
        <w:t>（2）绩效目标科学性（</w:t>
      </w:r>
      <w:r>
        <w:rPr>
          <w:rFonts w:ascii="仿宋_GB2312" w:eastAsia="仿宋_GB2312" w:cs="DengXian-Regular"/>
          <w:sz w:val="32"/>
          <w:szCs w:val="32"/>
        </w:rPr>
        <w:t>1</w:t>
      </w:r>
      <w:r>
        <w:rPr>
          <w:rFonts w:hint="eastAsia" w:ascii="仿宋_GB2312" w:eastAsia="仿宋_GB2312" w:cs="DengXian-Regular"/>
          <w:sz w:val="32"/>
          <w:szCs w:val="32"/>
        </w:rPr>
        <w:t>分）</w:t>
      </w:r>
    </w:p>
    <w:p>
      <w:pPr>
        <w:spacing w:after="0" w:line="360" w:lineRule="auto"/>
        <w:ind w:firstLine="64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预算批复的部门年度发展规划目标和部门职责分类绩效目标是否充分，是否与部门履职、年度工作任务相符；工作活动是否有明确的绩效目标，绩效目标是否与部门职责目标、部门年度工作目标一致，是否能体现工作活动的产出和效果。</w:t>
      </w:r>
    </w:p>
    <w:p>
      <w:pPr>
        <w:spacing w:after="0" w:line="360" w:lineRule="auto"/>
        <w:ind w:firstLine="64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中国人民政治协商会议保定市徐水区委员会019年预算文本—部门职责工作活动绩效目标（详见附件4），参政议政职责活动未设置可评价、可衡量的绩效指标，部门绩效目标未划分为具体的工作任务，不利于对绩效目标实际完成情况进行考核。</w:t>
      </w:r>
    </w:p>
    <w:p>
      <w:pPr>
        <w:spacing w:after="0" w:line="360" w:lineRule="auto"/>
        <w:ind w:firstLine="640"/>
        <w:jc w:val="both"/>
        <w:textAlignment w:val="baseline"/>
        <w:rPr>
          <w:rFonts w:ascii="仿宋_GB2312" w:eastAsia="仿宋_GB2312" w:cs="DengXian-Regular"/>
          <w:sz w:val="32"/>
          <w:szCs w:val="32"/>
        </w:rPr>
      </w:pPr>
      <w:r>
        <w:rPr>
          <w:rFonts w:hint="eastAsia" w:ascii="仿宋_GB2312" w:eastAsia="仿宋_GB2312" w:cs="DengXian-Regular"/>
          <w:sz w:val="32"/>
          <w:szCs w:val="32"/>
        </w:rPr>
        <w:t>该项指标实际得分</w:t>
      </w:r>
      <w:r>
        <w:rPr>
          <w:rFonts w:ascii="仿宋_GB2312" w:eastAsia="仿宋_GB2312" w:cs="DengXian-Regular"/>
          <w:sz w:val="32"/>
          <w:szCs w:val="32"/>
        </w:rPr>
        <w:t>1</w:t>
      </w:r>
      <w:r>
        <w:rPr>
          <w:rFonts w:hint="eastAsia" w:ascii="仿宋_GB2312" w:eastAsia="仿宋_GB2312" w:cs="DengXian-Regular"/>
          <w:sz w:val="32"/>
          <w:szCs w:val="32"/>
        </w:rPr>
        <w:t>分。</w:t>
      </w:r>
    </w:p>
    <w:p>
      <w:pPr>
        <w:spacing w:after="0" w:line="360" w:lineRule="auto"/>
        <w:ind w:firstLine="640"/>
        <w:jc w:val="both"/>
        <w:textAlignment w:val="baseline"/>
        <w:rPr>
          <w:rFonts w:ascii="仿宋_GB2312" w:eastAsia="仿宋_GB2312" w:cs="DengXian-Regular"/>
          <w:sz w:val="32"/>
          <w:szCs w:val="32"/>
        </w:rPr>
      </w:pPr>
      <w:r>
        <w:rPr>
          <w:rFonts w:hint="eastAsia" w:ascii="仿宋_GB2312" w:eastAsia="仿宋_GB2312" w:cs="DengXian-Regular"/>
          <w:sz w:val="32"/>
          <w:szCs w:val="32"/>
        </w:rPr>
        <w:t>（3）绩效目标明确性（</w:t>
      </w:r>
      <w:r>
        <w:rPr>
          <w:rFonts w:ascii="仿宋_GB2312" w:eastAsia="仿宋_GB2312" w:cs="DengXian-Regular"/>
          <w:sz w:val="32"/>
          <w:szCs w:val="32"/>
        </w:rPr>
        <w:t>1</w:t>
      </w:r>
      <w:r>
        <w:rPr>
          <w:rFonts w:hint="eastAsia" w:ascii="仿宋_GB2312" w:eastAsia="仿宋_GB2312" w:cs="DengXian-Regular"/>
          <w:sz w:val="32"/>
          <w:szCs w:val="32"/>
        </w:rPr>
        <w:t>分）</w:t>
      </w:r>
    </w:p>
    <w:p>
      <w:pPr>
        <w:spacing w:after="0" w:line="360" w:lineRule="auto"/>
        <w:ind w:firstLine="640"/>
        <w:jc w:val="both"/>
        <w:textAlignment w:val="baseline"/>
        <w:rPr>
          <w:rFonts w:ascii="仿宋_GB2312" w:eastAsia="仿宋_GB2312" w:cs="DengXian-Regular"/>
          <w:sz w:val="32"/>
          <w:szCs w:val="32"/>
          <w:highlight w:val="yellow"/>
        </w:rPr>
      </w:pPr>
      <w:r>
        <w:rPr>
          <w:rFonts w:hint="eastAsia" w:ascii="仿宋_GB2312" w:eastAsia="仿宋_GB2312" w:cs="DengXian-Regular"/>
          <w:sz w:val="32"/>
          <w:szCs w:val="32"/>
        </w:rPr>
        <w:t>该指标主要评价是否将部门整体的绩效目标细化分解为具体的工作任务，工作活动、预算项目绩效指标是否清晰、细化、可评价、可衡量；工作活动、预算项目绩效指标的评价标准是否清晰、可衡量；是否与部门年度的任务数或计划数相对应。</w:t>
      </w:r>
    </w:p>
    <w:p>
      <w:pPr>
        <w:spacing w:after="0" w:line="360" w:lineRule="auto"/>
        <w:ind w:firstLine="64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根据中国人民政治协商会议保定市徐水区委员会办公室2019年预算文本—部门职责工作活动绩效目标,参政议政职责活动未设置绩效指标及绩效指标评价标准，不便于评价及衡量。</w:t>
      </w:r>
    </w:p>
    <w:p>
      <w:pPr>
        <w:spacing w:after="0" w:line="360" w:lineRule="auto"/>
        <w:ind w:firstLine="64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ascii="仿宋_GB2312" w:eastAsia="仿宋_GB2312" w:cs="DengXian-Regular"/>
          <w:sz w:val="32"/>
          <w:szCs w:val="32"/>
        </w:rPr>
        <w:t>1</w:t>
      </w:r>
      <w:r>
        <w:rPr>
          <w:rFonts w:hint="eastAsia" w:ascii="仿宋_GB2312" w:eastAsia="仿宋_GB2312" w:cs="DengXian-Regular"/>
          <w:sz w:val="32"/>
          <w:szCs w:val="32"/>
        </w:rPr>
        <w:t>分。</w:t>
      </w:r>
    </w:p>
    <w:p>
      <w:pPr>
        <w:spacing w:after="0" w:line="360" w:lineRule="auto"/>
        <w:ind w:firstLine="640"/>
        <w:jc w:val="both"/>
        <w:textAlignment w:val="baseline"/>
        <w:rPr>
          <w:rFonts w:ascii="仿宋_GB2312" w:eastAsia="仿宋_GB2312" w:cs="DengXian-Regular"/>
          <w:sz w:val="32"/>
          <w:szCs w:val="32"/>
        </w:rPr>
      </w:pPr>
      <w:r>
        <w:rPr>
          <w:rFonts w:hint="eastAsia" w:ascii="仿宋_GB2312" w:eastAsia="仿宋_GB2312" w:cs="DengXian-Regular"/>
          <w:sz w:val="32"/>
          <w:szCs w:val="32"/>
        </w:rPr>
        <w:t>2.预算配置（</w:t>
      </w:r>
      <w:r>
        <w:rPr>
          <w:rFonts w:ascii="仿宋_GB2312" w:eastAsia="仿宋_GB2312" w:cs="DengXian-Regular"/>
          <w:sz w:val="32"/>
          <w:szCs w:val="32"/>
        </w:rPr>
        <w:t>6</w:t>
      </w:r>
      <w:r>
        <w:rPr>
          <w:rFonts w:hint="eastAsia" w:ascii="仿宋_GB2312" w:eastAsia="仿宋_GB2312" w:cs="DengXian-Regular"/>
          <w:sz w:val="32"/>
          <w:szCs w:val="32"/>
        </w:rPr>
        <w:t>分）</w:t>
      </w:r>
    </w:p>
    <w:p>
      <w:pPr>
        <w:spacing w:after="0" w:line="360" w:lineRule="auto"/>
        <w:ind w:firstLine="640"/>
        <w:jc w:val="both"/>
        <w:textAlignment w:val="baseline"/>
        <w:rPr>
          <w:rFonts w:ascii="仿宋_GB2312" w:eastAsia="仿宋_GB2312" w:cs="DengXian-Regular"/>
          <w:sz w:val="32"/>
          <w:szCs w:val="32"/>
        </w:rPr>
      </w:pPr>
      <w:r>
        <w:rPr>
          <w:rFonts w:hint="eastAsia" w:ascii="仿宋_GB2312" w:eastAsia="仿宋_GB2312" w:cs="DengXian-Regular"/>
          <w:sz w:val="32"/>
          <w:szCs w:val="32"/>
        </w:rPr>
        <w:t>（1）预算编制完整性（2分）</w:t>
      </w:r>
    </w:p>
    <w:p>
      <w:pPr>
        <w:spacing w:after="0" w:line="360" w:lineRule="auto"/>
        <w:ind w:firstLine="64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该指标主要评价部门所有收入是否全部纳入部门预算，部门支出预算是否统筹各类支出，按基本支出、项目支出分别编制。</w:t>
      </w:r>
    </w:p>
    <w:p>
      <w:pPr>
        <w:spacing w:after="0" w:line="360" w:lineRule="auto"/>
        <w:ind w:firstLine="64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根据中国人民政治协商会议保定市徐水区委员会办公室2019年预算文本及相关会计资料，中国人民政治协商会议保定市徐水区委员会所有收入均已纳入部门预算，部门支出按基本支出、项目支出分别编制。</w:t>
      </w:r>
    </w:p>
    <w:p>
      <w:pPr>
        <w:spacing w:after="0" w:line="360" w:lineRule="auto"/>
        <w:ind w:firstLine="64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ascii="仿宋_GB2312" w:eastAsia="仿宋_GB2312" w:cs="DengXian-Regular"/>
          <w:sz w:val="32"/>
          <w:szCs w:val="32"/>
        </w:rPr>
        <w:t>2</w:t>
      </w:r>
      <w:r>
        <w:rPr>
          <w:rFonts w:hint="eastAsia" w:ascii="仿宋_GB2312" w:eastAsia="仿宋_GB2312" w:cs="DengXian-Regular"/>
          <w:sz w:val="32"/>
          <w:szCs w:val="32"/>
        </w:rPr>
        <w:t>分。</w:t>
      </w:r>
    </w:p>
    <w:p>
      <w:pPr>
        <w:spacing w:after="0" w:line="360" w:lineRule="auto"/>
        <w:ind w:firstLine="640"/>
        <w:jc w:val="both"/>
        <w:textAlignment w:val="baseline"/>
        <w:rPr>
          <w:rFonts w:ascii="仿宋_GB2312" w:eastAsia="仿宋_GB2312" w:cs="DengXian-Regular"/>
          <w:sz w:val="32"/>
          <w:szCs w:val="32"/>
        </w:rPr>
      </w:pPr>
      <w:r>
        <w:rPr>
          <w:rFonts w:hint="eastAsia" w:ascii="仿宋_GB2312" w:eastAsia="仿宋_GB2312" w:cs="DengXian-Regular"/>
          <w:sz w:val="32"/>
          <w:szCs w:val="32"/>
        </w:rPr>
        <w:t>（2）项目预算细化率（2分）</w:t>
      </w:r>
    </w:p>
    <w:p>
      <w:pPr>
        <w:spacing w:after="0" w:line="360" w:lineRule="auto"/>
        <w:ind w:firstLine="64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该指标主要评价编报的项目支出是否细化到具体用款单位和项目的资金额度，通过项目预算细化率衡量。</w:t>
      </w:r>
    </w:p>
    <w:p>
      <w:pPr>
        <w:spacing w:after="0" w:line="360" w:lineRule="auto"/>
        <w:ind w:firstLine="640"/>
        <w:jc w:val="both"/>
        <w:textAlignment w:val="baseline"/>
        <w:rPr>
          <w:rFonts w:ascii="仿宋_GB2312" w:eastAsia="仿宋_GB2312" w:cs="DengXian-Regular"/>
          <w:sz w:val="32"/>
          <w:szCs w:val="32"/>
        </w:rPr>
      </w:pPr>
      <w:r>
        <w:rPr>
          <w:rFonts w:hint="eastAsia" w:ascii="仿宋_GB2312" w:eastAsia="仿宋_GB2312" w:cs="DengXian-Regular"/>
          <w:sz w:val="32"/>
          <w:szCs w:val="32"/>
        </w:rPr>
        <w:t>项目预算细化率=细化的项目金额/实际编报的项目金额×100%。</w:t>
      </w:r>
    </w:p>
    <w:p>
      <w:pPr>
        <w:spacing w:after="0" w:line="360" w:lineRule="auto"/>
        <w:ind w:firstLine="64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中国人民政治协商会议保定市徐水区委员会办公室2019年预算文本—部门项目支出预算表，中国人民政治协商会议保定市徐水区委员会2019年预算项目共5个（详见附件2-2-2），涉及资金63.52万元，所有项目均细化到具体用款单位及项目资金额度。项目预算细化率=（63.52/63.52）*100%=100%</w:t>
      </w:r>
    </w:p>
    <w:p>
      <w:pPr>
        <w:spacing w:after="0" w:line="360" w:lineRule="auto"/>
        <w:ind w:firstLine="64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ascii="仿宋_GB2312" w:eastAsia="仿宋_GB2312" w:cs="DengXian-Regular"/>
          <w:sz w:val="32"/>
          <w:szCs w:val="32"/>
        </w:rPr>
        <w:t>2</w:t>
      </w:r>
      <w:r>
        <w:rPr>
          <w:rFonts w:hint="eastAsia" w:ascii="仿宋_GB2312" w:eastAsia="仿宋_GB2312" w:cs="DengXian-Regular"/>
          <w:sz w:val="32"/>
          <w:szCs w:val="32"/>
        </w:rPr>
        <w:t>分。</w:t>
      </w:r>
    </w:p>
    <w:p>
      <w:pPr>
        <w:spacing w:after="0" w:line="360" w:lineRule="auto"/>
        <w:ind w:firstLine="640"/>
        <w:jc w:val="both"/>
        <w:textAlignment w:val="baseline"/>
        <w:rPr>
          <w:rFonts w:ascii="仿宋_GB2312" w:eastAsia="仿宋_GB2312" w:cs="DengXian-Regular"/>
          <w:sz w:val="32"/>
          <w:szCs w:val="32"/>
        </w:rPr>
      </w:pPr>
      <w:r>
        <w:rPr>
          <w:rFonts w:hint="eastAsia" w:ascii="仿宋_GB2312" w:eastAsia="仿宋_GB2312" w:cs="DengXian-Regular"/>
          <w:sz w:val="32"/>
          <w:szCs w:val="32"/>
        </w:rPr>
        <w:t>（3）在职人员控制率（</w:t>
      </w:r>
      <w:r>
        <w:rPr>
          <w:rFonts w:ascii="仿宋_GB2312" w:eastAsia="仿宋_GB2312" w:cs="DengXian-Regular"/>
          <w:sz w:val="32"/>
          <w:szCs w:val="32"/>
        </w:rPr>
        <w:t>2</w:t>
      </w:r>
      <w:r>
        <w:rPr>
          <w:rFonts w:hint="eastAsia" w:ascii="仿宋_GB2312" w:eastAsia="仿宋_GB2312" w:cs="DengXian-Regular"/>
          <w:sz w:val="32"/>
          <w:szCs w:val="32"/>
        </w:rPr>
        <w:t>分）</w:t>
      </w:r>
    </w:p>
    <w:p>
      <w:pPr>
        <w:spacing w:after="0" w:line="360" w:lineRule="auto"/>
        <w:ind w:firstLine="64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该指标主要考核截至2019年底中国人民政治协商会议保定市徐水区委员会在职人员控制情况，通过在职人员控制率衡量。</w:t>
      </w:r>
    </w:p>
    <w:p>
      <w:pPr>
        <w:spacing w:after="0" w:line="360" w:lineRule="auto"/>
        <w:ind w:firstLine="640"/>
        <w:jc w:val="both"/>
        <w:textAlignment w:val="baseline"/>
        <w:rPr>
          <w:rFonts w:ascii="仿宋_GB2312" w:eastAsia="仿宋_GB2312" w:cs="DengXian-Regular"/>
          <w:sz w:val="32"/>
          <w:szCs w:val="32"/>
        </w:rPr>
      </w:pPr>
      <w:r>
        <w:rPr>
          <w:rFonts w:hint="eastAsia" w:ascii="仿宋_GB2312" w:eastAsia="仿宋_GB2312" w:cs="DengXian-Regular"/>
          <w:sz w:val="32"/>
          <w:szCs w:val="32"/>
        </w:rPr>
        <w:t>在职人员控制率=决算在职人员/编制数×100%。</w:t>
      </w:r>
    </w:p>
    <w:p>
      <w:pPr>
        <w:spacing w:after="0" w:line="360" w:lineRule="auto"/>
        <w:ind w:firstLine="64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保定市徐水区委办公室印发的《中国人民政治协商会议保定市徐水区委员会职能配置、内设机构和人员编制规定》的通知，中国人民政治协商会议保定市徐水区委员会人员编制为20人，根据中国人民政治协商会议保定市徐水区委员会2019年决算文本-部门基本情况表，截至2019年底，在职人员</w:t>
      </w:r>
      <w:r>
        <w:rPr>
          <w:rFonts w:ascii="仿宋_GB2312" w:eastAsia="仿宋_GB2312" w:cs="DengXian-Regular"/>
          <w:sz w:val="32"/>
          <w:szCs w:val="32"/>
        </w:rPr>
        <w:t>1</w:t>
      </w:r>
      <w:r>
        <w:rPr>
          <w:rFonts w:hint="eastAsia" w:ascii="仿宋_GB2312" w:eastAsia="仿宋_GB2312" w:cs="DengXian-Regular"/>
          <w:sz w:val="32"/>
          <w:szCs w:val="32"/>
        </w:rPr>
        <w:t>8人，在职人员控制率=（</w:t>
      </w:r>
      <w:r>
        <w:rPr>
          <w:rFonts w:ascii="仿宋_GB2312" w:eastAsia="仿宋_GB2312" w:cs="DengXian-Regular"/>
          <w:sz w:val="32"/>
          <w:szCs w:val="32"/>
        </w:rPr>
        <w:t>1</w:t>
      </w:r>
      <w:r>
        <w:rPr>
          <w:rFonts w:hint="eastAsia" w:ascii="仿宋_GB2312" w:eastAsia="仿宋_GB2312" w:cs="DengXian-Regular"/>
          <w:sz w:val="32"/>
          <w:szCs w:val="32"/>
        </w:rPr>
        <w:t>8/</w:t>
      </w:r>
      <w:r>
        <w:rPr>
          <w:rFonts w:ascii="仿宋_GB2312" w:eastAsia="仿宋_GB2312" w:cs="DengXian-Regular"/>
          <w:sz w:val="32"/>
          <w:szCs w:val="32"/>
        </w:rPr>
        <w:t>2</w:t>
      </w:r>
      <w:r>
        <w:rPr>
          <w:rFonts w:hint="eastAsia" w:ascii="仿宋_GB2312" w:eastAsia="仿宋_GB2312" w:cs="DengXian-Regular"/>
          <w:sz w:val="32"/>
          <w:szCs w:val="32"/>
        </w:rPr>
        <w:t>0）*100%=90%&lt;</w:t>
      </w:r>
      <w:r>
        <w:rPr>
          <w:rFonts w:ascii="仿宋_GB2312" w:eastAsia="仿宋_GB2312" w:cs="DengXian-Regular"/>
          <w:sz w:val="32"/>
          <w:szCs w:val="32"/>
        </w:rPr>
        <w:t>100%</w:t>
      </w:r>
      <w:r>
        <w:rPr>
          <w:rFonts w:hint="eastAsia" w:ascii="仿宋_GB2312" w:eastAsia="仿宋_GB2312" w:cs="DengXian-Regular"/>
          <w:sz w:val="32"/>
          <w:szCs w:val="32"/>
        </w:rPr>
        <w:t>。</w:t>
      </w:r>
    </w:p>
    <w:p>
      <w:pPr>
        <w:spacing w:after="0" w:line="360" w:lineRule="auto"/>
        <w:ind w:firstLine="64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ascii="仿宋_GB2312" w:eastAsia="仿宋_GB2312" w:cs="DengXian-Regular"/>
          <w:sz w:val="32"/>
          <w:szCs w:val="32"/>
        </w:rPr>
        <w:t>2</w:t>
      </w:r>
      <w:r>
        <w:rPr>
          <w:rFonts w:hint="eastAsia" w:ascii="仿宋_GB2312" w:eastAsia="仿宋_GB2312" w:cs="DengXian-Regular"/>
          <w:sz w:val="32"/>
          <w:szCs w:val="32"/>
        </w:rPr>
        <w:t>分。</w:t>
      </w:r>
    </w:p>
    <w:bookmarkEnd w:id="57"/>
    <w:bookmarkEnd w:id="58"/>
    <w:p>
      <w:pPr>
        <w:pStyle w:val="4"/>
        <w:spacing w:before="0" w:after="0"/>
        <w:ind w:firstLine="643"/>
        <w:jc w:val="both"/>
        <w:rPr>
          <w:rFonts w:ascii="楷体" w:hAnsi="楷体" w:eastAsia="楷体"/>
          <w:sz w:val="32"/>
        </w:rPr>
      </w:pPr>
      <w:bookmarkStart w:id="59" w:name="_Toc57553870"/>
      <w:r>
        <w:rPr>
          <w:rFonts w:hint="eastAsia" w:ascii="楷体" w:hAnsi="楷体" w:eastAsia="楷体"/>
          <w:sz w:val="32"/>
        </w:rPr>
        <w:t>（二）过程（48分）</w:t>
      </w:r>
      <w:bookmarkEnd w:id="59"/>
    </w:p>
    <w:p>
      <w:pPr>
        <w:spacing w:after="0" w:line="360" w:lineRule="auto"/>
        <w:ind w:firstLine="640"/>
        <w:jc w:val="both"/>
        <w:textAlignment w:val="baseline"/>
        <w:rPr>
          <w:rFonts w:ascii="仿宋_GB2312" w:eastAsia="仿宋_GB2312" w:cs="DengXian-Regular"/>
          <w:sz w:val="32"/>
          <w:szCs w:val="32"/>
        </w:rPr>
      </w:pPr>
      <w:bookmarkStart w:id="60" w:name="_Toc464638480"/>
      <w:r>
        <w:rPr>
          <w:rFonts w:hint="eastAsia" w:ascii="仿宋_GB2312" w:eastAsia="仿宋_GB2312" w:cs="DengXian-Regular"/>
          <w:sz w:val="32"/>
          <w:szCs w:val="32"/>
        </w:rPr>
        <w:t>该一级指标包含预算执行、预算管理和绩效评价三个二级指标，主要反映预算调整、收入支出完成情况，“三公”经费、政府采购执行情况，财务管理是否规范、资金使用是否合规，决算真实性。</w:t>
      </w:r>
    </w:p>
    <w:p>
      <w:pPr>
        <w:spacing w:after="0" w:line="360" w:lineRule="auto"/>
        <w:ind w:firstLine="643"/>
        <w:jc w:val="center"/>
        <w:textAlignment w:val="baseline"/>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表3  过程指标及得分情况表</w:t>
      </w:r>
    </w:p>
    <w:tbl>
      <w:tblPr>
        <w:tblStyle w:val="9"/>
        <w:tblW w:w="76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557"/>
        <w:gridCol w:w="1388"/>
        <w:gridCol w:w="2277"/>
        <w:gridCol w:w="1155"/>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Align w:val="center"/>
          </w:tcPr>
          <w:p>
            <w:pPr>
              <w:spacing w:after="0"/>
              <w:ind w:firstLine="422"/>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一级指标</w:t>
            </w:r>
          </w:p>
        </w:tc>
        <w:tc>
          <w:tcPr>
            <w:tcW w:w="1388" w:type="dxa"/>
            <w:vAlign w:val="center"/>
          </w:tcPr>
          <w:p>
            <w:pPr>
              <w:spacing w:after="0"/>
              <w:ind w:firstLine="422"/>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二级指标</w:t>
            </w:r>
          </w:p>
        </w:tc>
        <w:tc>
          <w:tcPr>
            <w:tcW w:w="2277" w:type="dxa"/>
            <w:vAlign w:val="center"/>
          </w:tcPr>
          <w:p>
            <w:pPr>
              <w:spacing w:after="0"/>
              <w:ind w:firstLine="422"/>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三级指标</w:t>
            </w:r>
          </w:p>
        </w:tc>
        <w:tc>
          <w:tcPr>
            <w:tcW w:w="1155" w:type="dxa"/>
            <w:vAlign w:val="center"/>
          </w:tcPr>
          <w:p>
            <w:pPr>
              <w:spacing w:after="0"/>
              <w:ind w:firstLine="422"/>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分数权重</w:t>
            </w:r>
          </w:p>
        </w:tc>
        <w:tc>
          <w:tcPr>
            <w:tcW w:w="1276" w:type="dxa"/>
            <w:vAlign w:val="center"/>
          </w:tcPr>
          <w:p>
            <w:pPr>
              <w:spacing w:after="0"/>
              <w:ind w:firstLine="422"/>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restart"/>
            <w:vAlign w:val="center"/>
          </w:tcPr>
          <w:p>
            <w:pPr>
              <w:spacing w:line="420" w:lineRule="exact"/>
              <w:ind w:firstLine="42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过程（48分）</w:t>
            </w:r>
          </w:p>
        </w:tc>
        <w:tc>
          <w:tcPr>
            <w:tcW w:w="1388" w:type="dxa"/>
            <w:vMerge w:val="restart"/>
            <w:vAlign w:val="center"/>
          </w:tcPr>
          <w:p>
            <w:pPr>
              <w:spacing w:line="420" w:lineRule="exact"/>
              <w:ind w:firstLine="42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预算执行</w:t>
            </w:r>
          </w:p>
          <w:p>
            <w:pPr>
              <w:spacing w:line="420" w:lineRule="exact"/>
              <w:ind w:firstLine="42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（24分）</w:t>
            </w:r>
          </w:p>
        </w:tc>
        <w:tc>
          <w:tcPr>
            <w:tcW w:w="2277" w:type="dxa"/>
            <w:vAlign w:val="center"/>
          </w:tcPr>
          <w:p>
            <w:pPr>
              <w:spacing w:line="420" w:lineRule="exact"/>
              <w:ind w:firstLine="42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预算收入调整率</w:t>
            </w:r>
          </w:p>
        </w:tc>
        <w:tc>
          <w:tcPr>
            <w:tcW w:w="1155" w:type="dxa"/>
            <w:vAlign w:val="center"/>
          </w:tcPr>
          <w:p>
            <w:pPr>
              <w:spacing w:line="420" w:lineRule="exact"/>
              <w:ind w:firstLine="42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c>
          <w:tcPr>
            <w:tcW w:w="1276" w:type="dxa"/>
            <w:vAlign w:val="center"/>
          </w:tcPr>
          <w:p>
            <w:pPr>
              <w:spacing w:line="420" w:lineRule="exact"/>
              <w:ind w:firstLine="42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vMerge w:val="continue"/>
          </w:tcPr>
          <w:p/>
        </w:tc>
        <w:tc>
          <w:tcPr>
            <w:vMerge w:val="continue"/>
          </w:tcPr>
          <w:p/>
        </w:tc>
        <w:tc>
          <w:tcPr>
            <w:tcW w:w="2277" w:type="dxa"/>
            <w:vAlign w:val="center"/>
          </w:tcPr>
          <w:p>
            <w:pPr>
              <w:spacing w:line="420" w:lineRule="exact"/>
              <w:ind w:firstLine="42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收入完成率</w:t>
            </w:r>
          </w:p>
        </w:tc>
        <w:tc>
          <w:tcPr>
            <w:tcW w:w="1155" w:type="dxa"/>
            <w:vAlign w:val="center"/>
          </w:tcPr>
          <w:p>
            <w:pPr>
              <w:spacing w:line="420" w:lineRule="exact"/>
              <w:ind w:firstLine="42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c>
          <w:tcPr>
            <w:tcW w:w="1276" w:type="dxa"/>
            <w:vAlign w:val="center"/>
          </w:tcPr>
          <w:p>
            <w:pPr>
              <w:spacing w:line="420" w:lineRule="exact"/>
              <w:ind w:firstLine="42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vMerge w:val="continue"/>
          </w:tcPr>
          <w:p/>
        </w:tc>
        <w:tc>
          <w:tcPr>
            <w:vMerge w:val="continue"/>
          </w:tcPr>
          <w:p/>
        </w:tc>
        <w:tc>
          <w:tcPr>
            <w:tcW w:w="2277" w:type="dxa"/>
            <w:vAlign w:val="center"/>
          </w:tcPr>
          <w:p>
            <w:pPr>
              <w:spacing w:line="420" w:lineRule="exact"/>
              <w:ind w:firstLine="42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预算支出调整率</w:t>
            </w:r>
          </w:p>
        </w:tc>
        <w:tc>
          <w:tcPr>
            <w:tcW w:w="1155" w:type="dxa"/>
            <w:vAlign w:val="center"/>
          </w:tcPr>
          <w:p>
            <w:pPr>
              <w:spacing w:line="420" w:lineRule="exact"/>
              <w:ind w:firstLine="42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c>
          <w:tcPr>
            <w:tcW w:w="1276" w:type="dxa"/>
            <w:vAlign w:val="center"/>
          </w:tcPr>
          <w:p>
            <w:pPr>
              <w:spacing w:line="420" w:lineRule="exact"/>
              <w:ind w:firstLine="42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vMerge w:val="continue"/>
          </w:tcPr>
          <w:p/>
        </w:tc>
        <w:tc>
          <w:tcPr>
            <w:vMerge w:val="continue"/>
          </w:tcPr>
          <w:p/>
        </w:tc>
        <w:tc>
          <w:tcPr>
            <w:tcW w:w="2277" w:type="dxa"/>
            <w:vAlign w:val="center"/>
          </w:tcPr>
          <w:p>
            <w:pPr>
              <w:spacing w:line="420" w:lineRule="exact"/>
              <w:ind w:firstLine="42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财政拨款支出完成率</w:t>
            </w:r>
          </w:p>
        </w:tc>
        <w:tc>
          <w:tcPr>
            <w:tcW w:w="1155" w:type="dxa"/>
            <w:vAlign w:val="center"/>
          </w:tcPr>
          <w:p>
            <w:pPr>
              <w:spacing w:line="420" w:lineRule="exact"/>
              <w:ind w:firstLine="42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c>
          <w:tcPr>
            <w:tcW w:w="1276" w:type="dxa"/>
            <w:vAlign w:val="center"/>
          </w:tcPr>
          <w:p>
            <w:pPr>
              <w:spacing w:line="420" w:lineRule="exact"/>
              <w:ind w:firstLine="42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vMerge w:val="continue"/>
          </w:tcPr>
          <w:p/>
        </w:tc>
        <w:tc>
          <w:tcPr>
            <w:vMerge w:val="continue"/>
          </w:tcPr>
          <w:p/>
        </w:tc>
        <w:tc>
          <w:tcPr>
            <w:tcW w:w="2277" w:type="dxa"/>
            <w:vAlign w:val="center"/>
          </w:tcPr>
          <w:p>
            <w:pPr>
              <w:spacing w:line="420" w:lineRule="exact"/>
              <w:ind w:firstLine="42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“三公经费”控制率</w:t>
            </w:r>
          </w:p>
        </w:tc>
        <w:tc>
          <w:tcPr>
            <w:tcW w:w="1155" w:type="dxa"/>
            <w:vAlign w:val="center"/>
          </w:tcPr>
          <w:p>
            <w:pPr>
              <w:spacing w:line="420" w:lineRule="exact"/>
              <w:ind w:firstLine="42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w:t>
            </w:r>
          </w:p>
        </w:tc>
        <w:tc>
          <w:tcPr>
            <w:tcW w:w="1276" w:type="dxa"/>
            <w:vAlign w:val="center"/>
          </w:tcPr>
          <w:p>
            <w:pPr>
              <w:spacing w:line="420" w:lineRule="exact"/>
              <w:ind w:firstLine="42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vMerge w:val="continue"/>
          </w:tcPr>
          <w:p/>
        </w:tc>
        <w:tc>
          <w:tcPr>
            <w:vMerge w:val="continue"/>
          </w:tcPr>
          <w:p/>
        </w:tc>
        <w:tc>
          <w:tcPr>
            <w:tcW w:w="2277" w:type="dxa"/>
            <w:vAlign w:val="center"/>
          </w:tcPr>
          <w:p>
            <w:pPr>
              <w:spacing w:line="420" w:lineRule="exact"/>
              <w:ind w:firstLine="42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政府采购执行率</w:t>
            </w:r>
          </w:p>
        </w:tc>
        <w:tc>
          <w:tcPr>
            <w:tcW w:w="1155" w:type="dxa"/>
            <w:vAlign w:val="center"/>
          </w:tcPr>
          <w:p>
            <w:pPr>
              <w:spacing w:line="420" w:lineRule="exact"/>
              <w:ind w:firstLine="42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w:t>
            </w:r>
          </w:p>
        </w:tc>
        <w:tc>
          <w:tcPr>
            <w:tcW w:w="1276" w:type="dxa"/>
            <w:vAlign w:val="center"/>
          </w:tcPr>
          <w:p>
            <w:pPr>
              <w:spacing w:line="420" w:lineRule="exact"/>
              <w:ind w:firstLine="42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vMerge w:val="continue"/>
          </w:tcPr>
          <w:p/>
        </w:tc>
        <w:tc>
          <w:tcPr>
            <w:vMerge w:val="continue"/>
          </w:tcPr>
          <w:p/>
        </w:tc>
        <w:tc>
          <w:tcPr>
            <w:tcW w:w="2277" w:type="dxa"/>
            <w:vAlign w:val="center"/>
          </w:tcPr>
          <w:p>
            <w:pPr>
              <w:spacing w:line="420" w:lineRule="exact"/>
              <w:ind w:firstLine="42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资金使用合规性</w:t>
            </w:r>
          </w:p>
        </w:tc>
        <w:tc>
          <w:tcPr>
            <w:tcW w:w="1155" w:type="dxa"/>
            <w:vAlign w:val="center"/>
          </w:tcPr>
          <w:p>
            <w:pPr>
              <w:spacing w:line="420" w:lineRule="exact"/>
              <w:ind w:firstLine="42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w:t>
            </w:r>
          </w:p>
        </w:tc>
        <w:tc>
          <w:tcPr>
            <w:tcW w:w="1276" w:type="dxa"/>
            <w:vAlign w:val="center"/>
          </w:tcPr>
          <w:p>
            <w:pPr>
              <w:spacing w:line="420" w:lineRule="exact"/>
              <w:ind w:firstLine="42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vMerge w:val="continue"/>
          </w:tcPr>
          <w:p/>
        </w:tc>
        <w:tc>
          <w:tcPr>
            <w:vMerge w:val="continue"/>
          </w:tcPr>
          <w:p/>
        </w:tc>
        <w:tc>
          <w:tcPr>
            <w:tcW w:w="2277" w:type="dxa"/>
            <w:vAlign w:val="center"/>
          </w:tcPr>
          <w:p>
            <w:pPr>
              <w:spacing w:line="420" w:lineRule="exact"/>
              <w:ind w:firstLine="42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决算真实性</w:t>
            </w:r>
          </w:p>
        </w:tc>
        <w:tc>
          <w:tcPr>
            <w:tcW w:w="1155" w:type="dxa"/>
            <w:vAlign w:val="center"/>
          </w:tcPr>
          <w:p>
            <w:pPr>
              <w:spacing w:line="420" w:lineRule="exact"/>
              <w:ind w:firstLine="42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w:t>
            </w:r>
          </w:p>
        </w:tc>
        <w:tc>
          <w:tcPr>
            <w:tcW w:w="1276" w:type="dxa"/>
            <w:vAlign w:val="center"/>
          </w:tcPr>
          <w:p>
            <w:pPr>
              <w:spacing w:line="420" w:lineRule="exact"/>
              <w:ind w:firstLine="42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vMerge w:val="continue"/>
          </w:tcPr>
          <w:p/>
        </w:tc>
        <w:tc>
          <w:tcPr>
            <w:tcW w:w="1388" w:type="dxa"/>
            <w:vMerge w:val="restart"/>
            <w:vAlign w:val="center"/>
          </w:tcPr>
          <w:p>
            <w:pPr>
              <w:spacing w:line="420" w:lineRule="exact"/>
              <w:ind w:firstLine="42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预算管理</w:t>
            </w:r>
          </w:p>
          <w:p>
            <w:pPr>
              <w:spacing w:line="420" w:lineRule="exact"/>
              <w:ind w:firstLine="42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（16分）</w:t>
            </w:r>
          </w:p>
        </w:tc>
        <w:tc>
          <w:tcPr>
            <w:tcW w:w="2277" w:type="dxa"/>
            <w:vAlign w:val="center"/>
          </w:tcPr>
          <w:p>
            <w:pPr>
              <w:spacing w:line="420" w:lineRule="exact"/>
              <w:ind w:firstLine="42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管理制度健全性</w:t>
            </w:r>
          </w:p>
        </w:tc>
        <w:tc>
          <w:tcPr>
            <w:tcW w:w="1155" w:type="dxa"/>
            <w:vAlign w:val="center"/>
          </w:tcPr>
          <w:p>
            <w:pPr>
              <w:spacing w:line="420" w:lineRule="exact"/>
              <w:ind w:firstLine="42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c>
          <w:tcPr>
            <w:tcW w:w="1276" w:type="dxa"/>
            <w:vAlign w:val="center"/>
          </w:tcPr>
          <w:p>
            <w:pPr>
              <w:spacing w:line="420" w:lineRule="exact"/>
              <w:ind w:firstLine="42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vMerge w:val="continue"/>
          </w:tcPr>
          <w:p/>
        </w:tc>
        <w:tc>
          <w:tcPr>
            <w:vMerge w:val="continue"/>
          </w:tcPr>
          <w:p/>
        </w:tc>
        <w:tc>
          <w:tcPr>
            <w:tcW w:w="2277" w:type="dxa"/>
            <w:vAlign w:val="center"/>
          </w:tcPr>
          <w:p>
            <w:pPr>
              <w:spacing w:line="420" w:lineRule="exact"/>
              <w:ind w:firstLine="42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预决算信息公开</w:t>
            </w:r>
          </w:p>
        </w:tc>
        <w:tc>
          <w:tcPr>
            <w:tcW w:w="1155" w:type="dxa"/>
            <w:vAlign w:val="center"/>
          </w:tcPr>
          <w:p>
            <w:pPr>
              <w:spacing w:line="420" w:lineRule="exact"/>
              <w:ind w:firstLine="42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c>
          <w:tcPr>
            <w:tcW w:w="1276" w:type="dxa"/>
            <w:vAlign w:val="center"/>
          </w:tcPr>
          <w:p>
            <w:pPr>
              <w:spacing w:line="420" w:lineRule="exact"/>
              <w:ind w:firstLine="42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vMerge w:val="continue"/>
          </w:tcPr>
          <w:p/>
        </w:tc>
        <w:tc>
          <w:tcPr>
            <w:vMerge w:val="continue"/>
          </w:tcPr>
          <w:p/>
        </w:tc>
        <w:tc>
          <w:tcPr>
            <w:tcW w:w="2277" w:type="dxa"/>
            <w:vAlign w:val="center"/>
          </w:tcPr>
          <w:p>
            <w:pPr>
              <w:spacing w:line="420" w:lineRule="exact"/>
              <w:ind w:firstLine="42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基础信息完善性</w:t>
            </w:r>
          </w:p>
        </w:tc>
        <w:tc>
          <w:tcPr>
            <w:tcW w:w="1155" w:type="dxa"/>
            <w:vAlign w:val="center"/>
          </w:tcPr>
          <w:p>
            <w:pPr>
              <w:spacing w:line="420" w:lineRule="exact"/>
              <w:ind w:firstLine="42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c>
          <w:tcPr>
            <w:tcW w:w="1276" w:type="dxa"/>
            <w:vAlign w:val="center"/>
          </w:tcPr>
          <w:p>
            <w:pPr>
              <w:spacing w:line="420" w:lineRule="exact"/>
              <w:ind w:firstLine="42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vMerge w:val="continue"/>
          </w:tcPr>
          <w:p/>
        </w:tc>
        <w:tc>
          <w:tcPr>
            <w:vMerge w:val="continue"/>
          </w:tcPr>
          <w:p/>
        </w:tc>
        <w:tc>
          <w:tcPr>
            <w:tcW w:w="2277" w:type="dxa"/>
            <w:vAlign w:val="center"/>
          </w:tcPr>
          <w:p>
            <w:pPr>
              <w:spacing w:line="420" w:lineRule="exact"/>
              <w:ind w:firstLine="42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资产管理规范性</w:t>
            </w:r>
          </w:p>
        </w:tc>
        <w:tc>
          <w:tcPr>
            <w:tcW w:w="1155" w:type="dxa"/>
            <w:vAlign w:val="center"/>
          </w:tcPr>
          <w:p>
            <w:pPr>
              <w:spacing w:line="420" w:lineRule="exact"/>
              <w:ind w:firstLine="42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c>
          <w:tcPr>
            <w:tcW w:w="1276" w:type="dxa"/>
            <w:vAlign w:val="center"/>
          </w:tcPr>
          <w:p>
            <w:pPr>
              <w:spacing w:line="420" w:lineRule="exact"/>
              <w:ind w:firstLine="42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67" w:hRule="exact"/>
          <w:jc w:val="center"/>
        </w:trPr>
        <w:tc>
          <w:tcPr>
            <w:vMerge w:val="continue"/>
          </w:tcPr>
          <w:p/>
        </w:tc>
        <w:tc>
          <w:tcPr>
            <w:tcW w:w="1388" w:type="dxa"/>
            <w:vMerge w:val="restart"/>
            <w:vAlign w:val="center"/>
          </w:tcPr>
          <w:p>
            <w:pPr>
              <w:spacing w:line="420" w:lineRule="exact"/>
              <w:ind w:firstLine="42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绩效评价</w:t>
            </w:r>
          </w:p>
          <w:p>
            <w:pPr>
              <w:spacing w:line="420" w:lineRule="exact"/>
              <w:ind w:firstLine="42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（8分）</w:t>
            </w:r>
          </w:p>
        </w:tc>
        <w:tc>
          <w:tcPr>
            <w:tcW w:w="2277" w:type="dxa"/>
            <w:vAlign w:val="center"/>
          </w:tcPr>
          <w:p>
            <w:pPr>
              <w:spacing w:line="420" w:lineRule="exact"/>
              <w:ind w:firstLine="42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绩效自评覆盖率</w:t>
            </w:r>
          </w:p>
        </w:tc>
        <w:tc>
          <w:tcPr>
            <w:tcW w:w="1155" w:type="dxa"/>
            <w:vAlign w:val="center"/>
          </w:tcPr>
          <w:p>
            <w:pPr>
              <w:spacing w:line="420" w:lineRule="exact"/>
              <w:ind w:firstLine="42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c>
          <w:tcPr>
            <w:tcW w:w="1276" w:type="dxa"/>
            <w:vAlign w:val="center"/>
          </w:tcPr>
          <w:p>
            <w:pPr>
              <w:spacing w:line="420" w:lineRule="exact"/>
              <w:ind w:firstLine="42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41" w:hRule="exact"/>
          <w:jc w:val="center"/>
        </w:trPr>
        <w:tc>
          <w:tcPr>
            <w:vMerge w:val="continue"/>
          </w:tcPr>
          <w:p/>
        </w:tc>
        <w:tc>
          <w:tcPr>
            <w:vMerge w:val="continue"/>
          </w:tcPr>
          <w:p/>
        </w:tc>
        <w:tc>
          <w:tcPr>
            <w:tcW w:w="2277" w:type="dxa"/>
            <w:vAlign w:val="center"/>
          </w:tcPr>
          <w:p>
            <w:pPr>
              <w:spacing w:line="420" w:lineRule="exact"/>
              <w:ind w:firstLine="42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绩效评价优等率</w:t>
            </w:r>
          </w:p>
        </w:tc>
        <w:tc>
          <w:tcPr>
            <w:tcW w:w="1155" w:type="dxa"/>
            <w:vAlign w:val="center"/>
          </w:tcPr>
          <w:p>
            <w:pPr>
              <w:spacing w:line="420" w:lineRule="exact"/>
              <w:ind w:firstLine="42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c>
          <w:tcPr>
            <w:tcW w:w="1276" w:type="dxa"/>
            <w:vAlign w:val="center"/>
          </w:tcPr>
          <w:p>
            <w:pPr>
              <w:spacing w:line="420" w:lineRule="exact"/>
              <w:ind w:firstLine="42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41" w:hRule="exact"/>
          <w:jc w:val="center"/>
        </w:trPr>
        <w:tc>
          <w:tcPr>
            <w:tcW w:w="2945" w:type="dxa"/>
            <w:gridSpan w:val="2"/>
            <w:vAlign w:val="center"/>
          </w:tcPr>
          <w:p>
            <w:pPr>
              <w:spacing w:line="420" w:lineRule="exact"/>
              <w:ind w:firstLine="42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合计</w:t>
            </w:r>
          </w:p>
        </w:tc>
        <w:tc>
          <w:tcPr>
            <w:tcW w:w="2277" w:type="dxa"/>
            <w:vAlign w:val="center"/>
          </w:tcPr>
          <w:p>
            <w:pPr>
              <w:spacing w:line="420" w:lineRule="exact"/>
              <w:ind w:firstLine="420"/>
              <w:jc w:val="center"/>
              <w:rPr>
                <w:rFonts w:cs="宋体" w:asciiTheme="minorEastAsia" w:hAnsiTheme="minorEastAsia" w:eastAsiaTheme="minorEastAsia"/>
                <w:sz w:val="21"/>
                <w:szCs w:val="21"/>
              </w:rPr>
            </w:pPr>
          </w:p>
        </w:tc>
        <w:tc>
          <w:tcPr>
            <w:tcW w:w="1155" w:type="dxa"/>
            <w:vAlign w:val="center"/>
          </w:tcPr>
          <w:p>
            <w:pPr>
              <w:spacing w:line="420" w:lineRule="exact"/>
              <w:ind w:firstLine="42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48</w:t>
            </w:r>
          </w:p>
        </w:tc>
        <w:tc>
          <w:tcPr>
            <w:tcW w:w="1276" w:type="dxa"/>
            <w:vAlign w:val="center"/>
          </w:tcPr>
          <w:p>
            <w:pPr>
              <w:spacing w:line="420" w:lineRule="exact"/>
              <w:ind w:firstLine="42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41</w:t>
            </w:r>
          </w:p>
        </w:tc>
      </w:tr>
      <w:bookmarkEnd w:id="60"/>
    </w:tbl>
    <w:p>
      <w:pPr>
        <w:spacing w:after="0" w:line="360" w:lineRule="auto"/>
        <w:ind w:firstLine="640"/>
        <w:jc w:val="both"/>
        <w:textAlignment w:val="baseline"/>
        <w:rPr>
          <w:rFonts w:ascii="仿宋_GB2312" w:eastAsia="仿宋_GB2312" w:cs="DengXian-Regular"/>
          <w:sz w:val="32"/>
          <w:szCs w:val="32"/>
        </w:rPr>
      </w:pPr>
      <w:bookmarkStart w:id="61" w:name="_Toc464638487"/>
      <w:bookmarkStart w:id="62" w:name="_Toc465149514"/>
      <w:r>
        <w:rPr>
          <w:rFonts w:hint="eastAsia" w:ascii="仿宋_GB2312" w:eastAsia="仿宋_GB2312" w:cs="DengXian-Regular"/>
          <w:sz w:val="32"/>
          <w:szCs w:val="32"/>
        </w:rPr>
        <w:t>1.预算执行（18</w:t>
      </w:r>
      <w:r>
        <w:rPr>
          <w:rFonts w:ascii="仿宋_GB2312" w:eastAsia="仿宋_GB2312" w:cs="DengXian-Regular"/>
          <w:sz w:val="32"/>
          <w:szCs w:val="32"/>
        </w:rPr>
        <w:t>.63</w:t>
      </w:r>
      <w:r>
        <w:rPr>
          <w:rFonts w:hint="eastAsia" w:ascii="仿宋_GB2312" w:eastAsia="仿宋_GB2312" w:cs="DengXian-Regular"/>
          <w:sz w:val="32"/>
          <w:szCs w:val="32"/>
        </w:rPr>
        <w:t>分）</w:t>
      </w:r>
    </w:p>
    <w:p>
      <w:pPr>
        <w:spacing w:after="0" w:line="360" w:lineRule="auto"/>
        <w:ind w:firstLine="640"/>
        <w:jc w:val="both"/>
        <w:textAlignment w:val="baseline"/>
        <w:rPr>
          <w:rFonts w:ascii="仿宋_GB2312" w:eastAsia="仿宋_GB2312" w:cs="DengXian-Regular"/>
          <w:sz w:val="32"/>
          <w:szCs w:val="32"/>
        </w:rPr>
      </w:pPr>
      <w:r>
        <w:rPr>
          <w:rFonts w:hint="eastAsia" w:ascii="仿宋_GB2312" w:eastAsia="仿宋_GB2312" w:cs="DengXian-Regular"/>
          <w:sz w:val="32"/>
          <w:szCs w:val="32"/>
        </w:rPr>
        <w:t>（1）预算收入调整率（0分）</w:t>
      </w:r>
    </w:p>
    <w:p>
      <w:pPr>
        <w:spacing w:after="0" w:line="360" w:lineRule="auto"/>
        <w:ind w:firstLine="64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该指标主要评价预算收入的调整情况，进而衡量预算收入编制的准确性，通过预算收入调整率衡量。</w:t>
      </w:r>
    </w:p>
    <w:p>
      <w:pPr>
        <w:spacing w:after="0" w:line="360" w:lineRule="auto"/>
        <w:ind w:firstLine="640"/>
        <w:jc w:val="both"/>
        <w:textAlignment w:val="baseline"/>
        <w:rPr>
          <w:rFonts w:ascii="仿宋_GB2312" w:eastAsia="仿宋_GB2312" w:cs="DengXian-Regular"/>
          <w:sz w:val="32"/>
          <w:szCs w:val="32"/>
        </w:rPr>
      </w:pPr>
      <w:r>
        <w:rPr>
          <w:rFonts w:hint="eastAsia" w:ascii="仿宋_GB2312" w:eastAsia="仿宋_GB2312" w:cs="DengXian-Regular"/>
          <w:sz w:val="32"/>
          <w:szCs w:val="32"/>
        </w:rPr>
        <w:t>预算收入调整率=（调整预算数-年初预算数）/年初预算数*100%</w:t>
      </w:r>
    </w:p>
    <w:p>
      <w:pPr>
        <w:spacing w:after="0" w:line="360" w:lineRule="auto"/>
        <w:ind w:firstLine="64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根据中国人民政治协商会议保定市徐水区委员会提供的预算指标文件，区政协201</w:t>
      </w:r>
      <w:r>
        <w:rPr>
          <w:rFonts w:ascii="仿宋_GB2312" w:eastAsia="仿宋_GB2312" w:cs="DengXian-Regular"/>
          <w:sz w:val="32"/>
          <w:szCs w:val="32"/>
        </w:rPr>
        <w:t>9</w:t>
      </w:r>
      <w:r>
        <w:rPr>
          <w:rFonts w:hint="eastAsia" w:ascii="仿宋_GB2312" w:eastAsia="仿宋_GB2312" w:cs="DengXian-Regular"/>
          <w:sz w:val="32"/>
          <w:szCs w:val="32"/>
        </w:rPr>
        <w:t>年度预算收入的调减数</w:t>
      </w:r>
      <w:r>
        <w:rPr>
          <w:rFonts w:ascii="仿宋_GB2312" w:eastAsia="仿宋_GB2312" w:cs="DengXian-Regular"/>
          <w:sz w:val="32"/>
          <w:szCs w:val="32"/>
        </w:rPr>
        <w:t>为</w:t>
      </w:r>
      <w:r>
        <w:rPr>
          <w:rFonts w:hint="eastAsia" w:ascii="仿宋_GB2312" w:eastAsia="仿宋_GB2312" w:cs="DengXian-Regular"/>
          <w:sz w:val="32"/>
          <w:szCs w:val="32"/>
        </w:rPr>
        <w:t>76.89万元</w:t>
      </w:r>
      <w:r>
        <w:rPr>
          <w:rFonts w:ascii="仿宋_GB2312" w:eastAsia="仿宋_GB2312" w:cs="DengXian-Regular"/>
          <w:sz w:val="32"/>
          <w:szCs w:val="32"/>
        </w:rPr>
        <w:t>，</w:t>
      </w:r>
      <w:r>
        <w:rPr>
          <w:rFonts w:hint="eastAsia" w:ascii="仿宋_GB2312" w:eastAsia="仿宋_GB2312" w:cs="DengXian-Regular"/>
          <w:sz w:val="32"/>
          <w:szCs w:val="32"/>
        </w:rPr>
        <w:t>年初预算数为553.67万元，预算</w:t>
      </w:r>
      <w:r>
        <w:rPr>
          <w:rFonts w:ascii="仿宋_GB2312" w:eastAsia="仿宋_GB2312" w:cs="DengXian-Regular"/>
          <w:sz w:val="32"/>
          <w:szCs w:val="32"/>
        </w:rPr>
        <w:t>收入调减数应为</w:t>
      </w:r>
      <w:r>
        <w:rPr>
          <w:rFonts w:hint="eastAsia" w:ascii="仿宋_GB2312" w:eastAsia="仿宋_GB2312" w:cs="DengXian-Regular"/>
          <w:sz w:val="32"/>
          <w:szCs w:val="32"/>
        </w:rPr>
        <w:t>76.89万元</w:t>
      </w:r>
      <w:r>
        <w:rPr>
          <w:rFonts w:ascii="仿宋_GB2312" w:eastAsia="仿宋_GB2312" w:cs="DengXian-Regular"/>
          <w:sz w:val="32"/>
          <w:szCs w:val="32"/>
        </w:rPr>
        <w:t>，预算数应为</w:t>
      </w:r>
      <w:r>
        <w:rPr>
          <w:rFonts w:hint="eastAsia" w:ascii="仿宋_GB2312" w:eastAsia="仿宋_GB2312" w:cs="DengXian-Regular"/>
          <w:sz w:val="32"/>
          <w:szCs w:val="32"/>
        </w:rPr>
        <w:t>476.78万元,预算收入调减率为76.89</w:t>
      </w:r>
      <w:r>
        <w:rPr>
          <w:rFonts w:ascii="仿宋_GB2312" w:eastAsia="仿宋_GB2312" w:cs="DengXian-Regular"/>
          <w:sz w:val="32"/>
          <w:szCs w:val="32"/>
        </w:rPr>
        <w:t>/</w:t>
      </w:r>
      <w:r>
        <w:rPr>
          <w:rFonts w:hint="eastAsia" w:ascii="仿宋_GB2312" w:eastAsia="仿宋_GB2312" w:cs="DengXian-Regular"/>
          <w:sz w:val="32"/>
          <w:szCs w:val="32"/>
        </w:rPr>
        <w:t>553.67</w:t>
      </w:r>
      <w:r>
        <w:rPr>
          <w:rFonts w:ascii="仿宋_GB2312" w:eastAsia="仿宋_GB2312" w:cs="DengXian-Regular"/>
          <w:sz w:val="32"/>
          <w:szCs w:val="32"/>
        </w:rPr>
        <w:t>*100%=</w:t>
      </w:r>
      <w:r>
        <w:rPr>
          <w:rFonts w:hint="eastAsia" w:ascii="仿宋_GB2312" w:eastAsia="仿宋_GB2312" w:cs="DengXian-Regular"/>
          <w:sz w:val="32"/>
          <w:szCs w:val="32"/>
        </w:rPr>
        <w:t>13.89%。</w:t>
      </w:r>
      <w:r>
        <w:rPr>
          <w:rFonts w:ascii="仿宋_GB2312" w:eastAsia="仿宋_GB2312" w:cs="DengXian-Regular"/>
          <w:sz w:val="32"/>
          <w:szCs w:val="32"/>
        </w:rPr>
        <w:t>预算调减了</w:t>
      </w:r>
      <w:r>
        <w:rPr>
          <w:rFonts w:hint="eastAsia" w:ascii="仿宋_GB2312" w:eastAsia="仿宋_GB2312" w:cs="DengXian-Regular"/>
          <w:sz w:val="32"/>
          <w:szCs w:val="32"/>
        </w:rPr>
        <w:t>13.89个</w:t>
      </w:r>
      <w:r>
        <w:rPr>
          <w:rFonts w:ascii="仿宋_GB2312" w:eastAsia="仿宋_GB2312" w:cs="DengXian-Regular"/>
          <w:sz w:val="32"/>
          <w:szCs w:val="32"/>
        </w:rPr>
        <w:t>百分点，扣</w:t>
      </w:r>
      <w:r>
        <w:rPr>
          <w:rFonts w:hint="eastAsia" w:ascii="仿宋_GB2312" w:eastAsia="仿宋_GB2312" w:cs="DengXian-Regular"/>
          <w:sz w:val="32"/>
          <w:szCs w:val="32"/>
        </w:rPr>
        <w:t>13.89*0.1*2</w:t>
      </w:r>
      <w:r>
        <w:rPr>
          <w:rFonts w:ascii="仿宋_GB2312" w:eastAsia="仿宋_GB2312" w:cs="DengXian-Regular"/>
          <w:sz w:val="32"/>
          <w:szCs w:val="32"/>
        </w:rPr>
        <w:t>=</w:t>
      </w:r>
      <w:r>
        <w:rPr>
          <w:rFonts w:hint="eastAsia" w:ascii="仿宋_GB2312" w:eastAsia="仿宋_GB2312" w:cs="DengXian-Regular"/>
          <w:sz w:val="32"/>
          <w:szCs w:val="32"/>
        </w:rPr>
        <w:t>2.79分</w:t>
      </w:r>
    </w:p>
    <w:p>
      <w:pPr>
        <w:spacing w:after="0" w:line="360" w:lineRule="auto"/>
        <w:ind w:firstLine="640"/>
        <w:jc w:val="both"/>
        <w:textAlignment w:val="baseline"/>
        <w:rPr>
          <w:rFonts w:ascii="仿宋_GB2312" w:eastAsia="仿宋_GB2312" w:cs="DengXian-Regular"/>
          <w:sz w:val="32"/>
          <w:szCs w:val="32"/>
        </w:rPr>
      </w:pPr>
      <w:r>
        <w:rPr>
          <w:rFonts w:hint="eastAsia" w:ascii="仿宋_GB2312" w:eastAsia="仿宋_GB2312" w:cs="DengXian-Regular"/>
          <w:sz w:val="32"/>
          <w:szCs w:val="32"/>
        </w:rPr>
        <w:t>该项指标实际得分0分。</w:t>
      </w:r>
    </w:p>
    <w:p>
      <w:pPr>
        <w:spacing w:after="0" w:line="360" w:lineRule="auto"/>
        <w:ind w:firstLine="640"/>
        <w:jc w:val="both"/>
        <w:textAlignment w:val="baseline"/>
        <w:rPr>
          <w:rFonts w:ascii="仿宋_GB2312" w:eastAsia="仿宋_GB2312" w:cs="DengXian-Regular"/>
          <w:sz w:val="32"/>
          <w:szCs w:val="32"/>
        </w:rPr>
      </w:pPr>
      <w:r>
        <w:rPr>
          <w:rFonts w:hint="eastAsia" w:ascii="仿宋_GB2312" w:eastAsia="仿宋_GB2312" w:cs="DengXian-Regular"/>
          <w:sz w:val="32"/>
          <w:szCs w:val="32"/>
        </w:rPr>
        <w:t>（2）收入完成率（</w:t>
      </w:r>
      <w:r>
        <w:rPr>
          <w:rFonts w:ascii="仿宋_GB2312" w:eastAsia="仿宋_GB2312" w:cs="DengXian-Regular"/>
          <w:sz w:val="32"/>
          <w:szCs w:val="32"/>
        </w:rPr>
        <w:t>4</w:t>
      </w:r>
      <w:r>
        <w:rPr>
          <w:rFonts w:hint="eastAsia" w:ascii="仿宋_GB2312" w:eastAsia="仿宋_GB2312" w:cs="DengXian-Regular"/>
          <w:sz w:val="32"/>
          <w:szCs w:val="32"/>
        </w:rPr>
        <w:t>分）</w:t>
      </w:r>
    </w:p>
    <w:p>
      <w:pPr>
        <w:spacing w:after="0" w:line="360" w:lineRule="auto"/>
        <w:ind w:firstLine="64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该指标主要评价部门预算收入的完成情况，用以反映部门预算收入的完成程度，通过收入完成率衡量。</w:t>
      </w:r>
    </w:p>
    <w:p>
      <w:pPr>
        <w:spacing w:after="0" w:line="360" w:lineRule="auto"/>
        <w:ind w:firstLine="640"/>
        <w:jc w:val="both"/>
        <w:textAlignment w:val="baseline"/>
        <w:rPr>
          <w:rFonts w:ascii="仿宋_GB2312" w:eastAsia="仿宋_GB2312" w:cs="DengXian-Regular"/>
          <w:sz w:val="32"/>
          <w:szCs w:val="32"/>
        </w:rPr>
      </w:pPr>
      <w:r>
        <w:rPr>
          <w:rFonts w:hint="eastAsia" w:ascii="仿宋_GB2312" w:eastAsia="仿宋_GB2312" w:cs="DengXian-Regular"/>
          <w:sz w:val="32"/>
          <w:szCs w:val="32"/>
        </w:rPr>
        <w:t>收入完成率=（决算收入/预算收入）×100%。</w:t>
      </w:r>
    </w:p>
    <w:p>
      <w:pPr>
        <w:spacing w:after="0" w:line="360" w:lineRule="auto"/>
        <w:ind w:firstLine="64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根据中国人民政治协商会议保定市徐水区委员会办公室2019年预算文本、决算文本，2019年收入预算数476.78万元，</w:t>
      </w:r>
      <w:r>
        <w:rPr>
          <w:rFonts w:ascii="仿宋_GB2312" w:eastAsia="仿宋_GB2312" w:cs="DengXian-Regular"/>
          <w:sz w:val="32"/>
          <w:szCs w:val="32"/>
        </w:rPr>
        <w:t>预算数应为</w:t>
      </w:r>
      <w:r>
        <w:rPr>
          <w:rFonts w:hint="eastAsia" w:ascii="仿宋_GB2312" w:eastAsia="仿宋_GB2312" w:cs="DengXian-Regular"/>
          <w:sz w:val="32"/>
          <w:szCs w:val="32"/>
        </w:rPr>
        <w:t>553.67万元</w:t>
      </w:r>
      <w:r>
        <w:rPr>
          <w:rFonts w:ascii="仿宋_GB2312" w:eastAsia="仿宋_GB2312" w:cs="DengXian-Regular"/>
          <w:sz w:val="32"/>
          <w:szCs w:val="32"/>
        </w:rPr>
        <w:t>，</w:t>
      </w:r>
      <w:r>
        <w:rPr>
          <w:rFonts w:hint="eastAsia" w:ascii="仿宋_GB2312" w:eastAsia="仿宋_GB2312" w:cs="DengXian-Regular"/>
          <w:sz w:val="32"/>
          <w:szCs w:val="32"/>
        </w:rPr>
        <w:t>收入决算数476.78万元，收入完成率=（476.78/553.67）*100%=86.11%</w:t>
      </w:r>
      <w:r>
        <w:rPr>
          <w:rFonts w:hint="eastAsia" w:ascii="仿宋" w:hAnsi="仿宋" w:eastAsia="仿宋" w:cs="DengXian-Regular"/>
          <w:sz w:val="32"/>
          <w:szCs w:val="32"/>
        </w:rPr>
        <w:t>＜</w:t>
      </w:r>
      <w:r>
        <w:rPr>
          <w:rFonts w:hint="eastAsia" w:ascii="仿宋_GB2312" w:eastAsia="仿宋_GB2312" w:cs="DengXian-Regular"/>
          <w:sz w:val="32"/>
          <w:szCs w:val="32"/>
        </w:rPr>
        <w:t>9</w:t>
      </w:r>
      <w:r>
        <w:rPr>
          <w:rFonts w:ascii="仿宋_GB2312" w:eastAsia="仿宋_GB2312" w:cs="DengXian-Regular"/>
          <w:sz w:val="32"/>
          <w:szCs w:val="32"/>
        </w:rPr>
        <w:t>5%</w:t>
      </w:r>
      <w:r>
        <w:rPr>
          <w:rFonts w:hint="eastAsia" w:ascii="仿宋_GB2312" w:eastAsia="仿宋_GB2312" w:cs="DengXian-Regular"/>
          <w:sz w:val="32"/>
          <w:szCs w:val="32"/>
        </w:rPr>
        <w:t>。</w:t>
      </w:r>
    </w:p>
    <w:p>
      <w:pPr>
        <w:spacing w:after="0" w:line="360" w:lineRule="auto"/>
        <w:ind w:firstLine="64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ascii="仿宋_GB2312" w:eastAsia="仿宋_GB2312" w:cs="DengXian-Regular"/>
          <w:sz w:val="32"/>
          <w:szCs w:val="32"/>
        </w:rPr>
        <w:t>4</w:t>
      </w:r>
      <w:r>
        <w:rPr>
          <w:rFonts w:hint="eastAsia" w:ascii="仿宋_GB2312" w:eastAsia="仿宋_GB2312" w:cs="DengXian-Regular"/>
          <w:sz w:val="32"/>
          <w:szCs w:val="32"/>
        </w:rPr>
        <w:t>分。</w:t>
      </w:r>
    </w:p>
    <w:p>
      <w:pPr>
        <w:spacing w:after="0" w:line="360" w:lineRule="auto"/>
        <w:ind w:firstLine="640"/>
        <w:jc w:val="both"/>
        <w:textAlignment w:val="baseline"/>
        <w:rPr>
          <w:rFonts w:ascii="仿宋_GB2312" w:eastAsia="仿宋_GB2312" w:cs="DengXian-Regular"/>
          <w:sz w:val="32"/>
          <w:szCs w:val="32"/>
        </w:rPr>
      </w:pPr>
      <w:r>
        <w:rPr>
          <w:rFonts w:hint="eastAsia" w:ascii="仿宋_GB2312" w:eastAsia="仿宋_GB2312" w:cs="DengXian-Regular"/>
          <w:sz w:val="32"/>
          <w:szCs w:val="32"/>
        </w:rPr>
        <w:t>（3）预算支出调整率（2分）</w:t>
      </w:r>
    </w:p>
    <w:p>
      <w:pPr>
        <w:spacing w:after="0" w:line="360" w:lineRule="auto"/>
        <w:ind w:firstLine="64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该指标主要评价预算支出的调整情况，进而衡量预算支出编制的准确性，通过预算支出调整率衡量。</w:t>
      </w:r>
    </w:p>
    <w:p>
      <w:pPr>
        <w:spacing w:after="0" w:line="360" w:lineRule="auto"/>
        <w:ind w:firstLine="640"/>
        <w:jc w:val="both"/>
        <w:textAlignment w:val="baseline"/>
        <w:rPr>
          <w:rFonts w:ascii="仿宋_GB2312" w:eastAsia="仿宋_GB2312" w:cs="DengXian-Regular"/>
          <w:sz w:val="32"/>
          <w:szCs w:val="32"/>
        </w:rPr>
      </w:pPr>
      <w:r>
        <w:rPr>
          <w:rFonts w:hint="eastAsia" w:ascii="仿宋_GB2312" w:eastAsia="仿宋_GB2312" w:cs="DengXian-Regular"/>
          <w:sz w:val="32"/>
          <w:szCs w:val="32"/>
        </w:rPr>
        <w:t>预算支出调整率=（调整预算数-年初预算数）/年初预算数*100%</w:t>
      </w:r>
    </w:p>
    <w:p>
      <w:pPr>
        <w:spacing w:after="0" w:line="360" w:lineRule="auto"/>
        <w:ind w:firstLine="64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根据中国人民政治协商会议保定市徐水区委员会办公室提供的预算指标文件，中国人民政治协商会议保定市徐水区委员会201</w:t>
      </w:r>
      <w:r>
        <w:rPr>
          <w:rFonts w:ascii="仿宋_GB2312" w:eastAsia="仿宋_GB2312" w:cs="DengXian-Regular"/>
          <w:sz w:val="32"/>
          <w:szCs w:val="32"/>
        </w:rPr>
        <w:t>9</w:t>
      </w:r>
      <w:r>
        <w:rPr>
          <w:rFonts w:hint="eastAsia" w:ascii="仿宋_GB2312" w:eastAsia="仿宋_GB2312" w:cs="DengXian-Regular"/>
          <w:sz w:val="32"/>
          <w:szCs w:val="32"/>
        </w:rPr>
        <w:t>年度预算支出的调减数</w:t>
      </w:r>
      <w:r>
        <w:rPr>
          <w:rFonts w:ascii="仿宋_GB2312" w:eastAsia="仿宋_GB2312" w:cs="DengXian-Regular"/>
          <w:sz w:val="32"/>
          <w:szCs w:val="32"/>
        </w:rPr>
        <w:t>为</w:t>
      </w:r>
      <w:r>
        <w:rPr>
          <w:rFonts w:hint="eastAsia" w:ascii="仿宋_GB2312" w:eastAsia="仿宋_GB2312" w:cs="DengXian-Regular"/>
          <w:sz w:val="32"/>
          <w:szCs w:val="32"/>
        </w:rPr>
        <w:t>76.89万元</w:t>
      </w:r>
      <w:r>
        <w:rPr>
          <w:rFonts w:ascii="仿宋_GB2312" w:eastAsia="仿宋_GB2312" w:cs="DengXian-Regular"/>
          <w:sz w:val="32"/>
          <w:szCs w:val="32"/>
        </w:rPr>
        <w:t>，</w:t>
      </w:r>
      <w:r>
        <w:rPr>
          <w:rFonts w:hint="eastAsia" w:ascii="仿宋_GB2312" w:eastAsia="仿宋_GB2312" w:cs="DengXian-Regular"/>
          <w:sz w:val="32"/>
          <w:szCs w:val="32"/>
        </w:rPr>
        <w:t>年初预算数为553.67万元，预算支出</w:t>
      </w:r>
      <w:r>
        <w:rPr>
          <w:rFonts w:ascii="仿宋_GB2312" w:eastAsia="仿宋_GB2312" w:cs="DengXian-Regular"/>
          <w:sz w:val="32"/>
          <w:szCs w:val="32"/>
        </w:rPr>
        <w:t>调减数应为</w:t>
      </w:r>
      <w:r>
        <w:rPr>
          <w:rFonts w:hint="eastAsia" w:ascii="仿宋_GB2312" w:eastAsia="仿宋_GB2312" w:cs="DengXian-Regular"/>
          <w:sz w:val="32"/>
          <w:szCs w:val="32"/>
        </w:rPr>
        <w:t>76.89万元</w:t>
      </w:r>
      <w:r>
        <w:rPr>
          <w:rFonts w:ascii="仿宋_GB2312" w:eastAsia="仿宋_GB2312" w:cs="DengXian-Regular"/>
          <w:sz w:val="32"/>
          <w:szCs w:val="32"/>
        </w:rPr>
        <w:t>，预算数应为</w:t>
      </w:r>
      <w:r>
        <w:rPr>
          <w:rFonts w:hint="eastAsia" w:ascii="仿宋_GB2312" w:eastAsia="仿宋_GB2312" w:cs="DengXian-Regular"/>
          <w:sz w:val="32"/>
          <w:szCs w:val="32"/>
        </w:rPr>
        <w:t>553.67万元,预算支出调减率为76.89</w:t>
      </w:r>
      <w:r>
        <w:rPr>
          <w:rFonts w:ascii="仿宋_GB2312" w:eastAsia="仿宋_GB2312" w:cs="DengXian-Regular"/>
          <w:sz w:val="32"/>
          <w:szCs w:val="32"/>
        </w:rPr>
        <w:t>/</w:t>
      </w:r>
      <w:r>
        <w:rPr>
          <w:rFonts w:hint="eastAsia" w:ascii="仿宋_GB2312" w:eastAsia="仿宋_GB2312" w:cs="DengXian-Regular"/>
          <w:sz w:val="32"/>
          <w:szCs w:val="32"/>
        </w:rPr>
        <w:t>553.67</w:t>
      </w:r>
      <w:r>
        <w:rPr>
          <w:rFonts w:ascii="仿宋_GB2312" w:eastAsia="仿宋_GB2312" w:cs="DengXian-Regular"/>
          <w:sz w:val="32"/>
          <w:szCs w:val="32"/>
        </w:rPr>
        <w:t>*100%=</w:t>
      </w:r>
      <w:r>
        <w:rPr>
          <w:rFonts w:hint="eastAsia" w:ascii="仿宋_GB2312" w:eastAsia="仿宋_GB2312" w:cs="DengXian-Regular"/>
          <w:sz w:val="32"/>
          <w:szCs w:val="32"/>
        </w:rPr>
        <w:t>13.89%。</w:t>
      </w:r>
      <w:r>
        <w:rPr>
          <w:rFonts w:ascii="仿宋_GB2312" w:eastAsia="仿宋_GB2312" w:cs="DengXian-Regular"/>
          <w:sz w:val="32"/>
          <w:szCs w:val="32"/>
        </w:rPr>
        <w:t>预算调减了</w:t>
      </w:r>
      <w:r>
        <w:rPr>
          <w:rFonts w:hint="eastAsia" w:ascii="仿宋_GB2312" w:eastAsia="仿宋_GB2312" w:cs="DengXian-Regular"/>
          <w:sz w:val="32"/>
          <w:szCs w:val="32"/>
        </w:rPr>
        <w:t>13.89个</w:t>
      </w:r>
      <w:r>
        <w:rPr>
          <w:rFonts w:ascii="仿宋_GB2312" w:eastAsia="仿宋_GB2312" w:cs="DengXian-Regular"/>
          <w:sz w:val="32"/>
          <w:szCs w:val="32"/>
        </w:rPr>
        <w:t>百分点，</w:t>
      </w:r>
      <w:r>
        <w:rPr>
          <w:rFonts w:hint="eastAsia" w:ascii="仿宋_GB2312" w:eastAsia="仿宋_GB2312" w:cs="DengXian-Regular"/>
          <w:sz w:val="32"/>
          <w:szCs w:val="32"/>
        </w:rPr>
        <w:t>加13.89*0.1*2</w:t>
      </w:r>
      <w:r>
        <w:rPr>
          <w:rFonts w:ascii="仿宋_GB2312" w:eastAsia="仿宋_GB2312" w:cs="DengXian-Regular"/>
          <w:sz w:val="32"/>
          <w:szCs w:val="32"/>
        </w:rPr>
        <w:t>=0</w:t>
      </w:r>
      <w:r>
        <w:rPr>
          <w:rFonts w:hint="eastAsia" w:ascii="仿宋_GB2312" w:eastAsia="仿宋_GB2312" w:cs="DengXian-Regular"/>
          <w:sz w:val="32"/>
          <w:szCs w:val="32"/>
        </w:rPr>
        <w:t>分</w:t>
      </w:r>
    </w:p>
    <w:p>
      <w:pPr>
        <w:spacing w:after="0" w:line="360" w:lineRule="auto"/>
        <w:ind w:firstLine="64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ascii="仿宋_GB2312" w:eastAsia="仿宋_GB2312" w:cs="DengXian-Regular"/>
          <w:sz w:val="32"/>
          <w:szCs w:val="32"/>
        </w:rPr>
        <w:t>2</w:t>
      </w:r>
      <w:r>
        <w:rPr>
          <w:rFonts w:hint="eastAsia" w:ascii="仿宋_GB2312" w:eastAsia="仿宋_GB2312" w:cs="DengXian-Regular"/>
          <w:sz w:val="32"/>
          <w:szCs w:val="32"/>
        </w:rPr>
        <w:t>分。</w:t>
      </w:r>
    </w:p>
    <w:p>
      <w:pPr>
        <w:spacing w:after="0" w:line="360" w:lineRule="auto"/>
        <w:ind w:firstLine="640"/>
        <w:jc w:val="both"/>
        <w:textAlignment w:val="baseline"/>
        <w:rPr>
          <w:rFonts w:ascii="仿宋_GB2312" w:eastAsia="仿宋_GB2312" w:cs="DengXian-Regular"/>
          <w:sz w:val="32"/>
          <w:szCs w:val="32"/>
        </w:rPr>
      </w:pPr>
      <w:r>
        <w:rPr>
          <w:rFonts w:hint="eastAsia" w:ascii="仿宋_GB2312" w:eastAsia="仿宋_GB2312" w:cs="DengXian-Regular"/>
          <w:sz w:val="32"/>
          <w:szCs w:val="32"/>
        </w:rPr>
        <w:t>（4）财政拨款支出完成率（4分）</w:t>
      </w:r>
    </w:p>
    <w:p>
      <w:pPr>
        <w:spacing w:after="0" w:line="360" w:lineRule="auto"/>
        <w:ind w:firstLine="64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该指标主要评价部门财政拨款的支出进度，通过财政拨款支出完成率来衡量。</w:t>
      </w:r>
    </w:p>
    <w:p>
      <w:pPr>
        <w:spacing w:after="0" w:line="360" w:lineRule="auto"/>
        <w:ind w:firstLine="640"/>
        <w:jc w:val="both"/>
        <w:textAlignment w:val="baseline"/>
        <w:rPr>
          <w:rFonts w:ascii="仿宋_GB2312" w:eastAsia="仿宋_GB2312" w:cs="DengXian-Regular"/>
          <w:sz w:val="32"/>
          <w:szCs w:val="32"/>
        </w:rPr>
      </w:pPr>
      <w:r>
        <w:rPr>
          <w:rFonts w:hint="eastAsia" w:ascii="仿宋_GB2312" w:eastAsia="仿宋_GB2312" w:cs="DengXian-Regular"/>
          <w:sz w:val="32"/>
          <w:szCs w:val="32"/>
        </w:rPr>
        <w:t>财政拨款支出完成率=（部门决算财政拨款支出/部门决算财政拨款收入）*100%。</w:t>
      </w:r>
    </w:p>
    <w:p>
      <w:pPr>
        <w:spacing w:after="0" w:line="360" w:lineRule="auto"/>
        <w:ind w:firstLine="640"/>
        <w:jc w:val="both"/>
        <w:textAlignment w:val="baseline"/>
        <w:rPr>
          <w:rFonts w:ascii="仿宋_GB2312" w:eastAsia="仿宋_GB2312" w:cs="DengXian-Regular"/>
          <w:sz w:val="32"/>
          <w:szCs w:val="32"/>
        </w:rPr>
      </w:pPr>
      <w:r>
        <w:rPr>
          <w:rFonts w:hint="eastAsia" w:ascii="仿宋_GB2312" w:eastAsia="仿宋_GB2312" w:cs="DengXian-Regular"/>
          <w:sz w:val="32"/>
          <w:szCs w:val="32"/>
        </w:rPr>
        <w:t>中国人民政治协商会议保定市徐水区委员会办公室提供的2019年决算文本，部门决算财政拨款支出数480.05万元，财政拨款收入数476.78万元，财政拨款支出率=（480.05/476.78）*100%=</w:t>
      </w:r>
      <w:r>
        <w:rPr>
          <w:rFonts w:ascii="仿宋_GB2312" w:eastAsia="仿宋_GB2312" w:cs="DengXian-Regular"/>
          <w:sz w:val="32"/>
          <w:szCs w:val="32"/>
        </w:rPr>
        <w:t>100.</w:t>
      </w:r>
      <w:r>
        <w:rPr>
          <w:rFonts w:hint="eastAsia" w:ascii="仿宋_GB2312" w:eastAsia="仿宋_GB2312" w:cs="DengXian-Regular"/>
          <w:sz w:val="32"/>
          <w:szCs w:val="32"/>
        </w:rPr>
        <w:t>0</w:t>
      </w:r>
      <w:r>
        <w:rPr>
          <w:rFonts w:ascii="仿宋_GB2312" w:eastAsia="仿宋_GB2312" w:cs="DengXian-Regular"/>
          <w:sz w:val="32"/>
          <w:szCs w:val="32"/>
        </w:rPr>
        <w:t>12</w:t>
      </w:r>
      <w:r>
        <w:rPr>
          <w:rFonts w:hint="eastAsia" w:ascii="仿宋_GB2312" w:eastAsia="仿宋_GB2312" w:cs="DengXian-Regular"/>
          <w:sz w:val="32"/>
          <w:szCs w:val="32"/>
        </w:rPr>
        <w:t>%</w:t>
      </w:r>
      <w:r>
        <w:rPr>
          <w:rFonts w:ascii="Arial" w:hAnsi="Arial" w:eastAsia="仿宋_GB2312" w:cs="Arial"/>
          <w:sz w:val="32"/>
          <w:szCs w:val="32"/>
        </w:rPr>
        <w:t>≥</w:t>
      </w:r>
      <w:r>
        <w:rPr>
          <w:rFonts w:hint="eastAsia" w:ascii="仿宋_GB2312" w:eastAsia="仿宋_GB2312" w:cs="DengXian-Regular"/>
          <w:sz w:val="32"/>
          <w:szCs w:val="32"/>
        </w:rPr>
        <w:t>90%。中国人民政治协商会议保定市徐水区委员会2019年年初结转和结余</w:t>
      </w:r>
      <w:r>
        <w:rPr>
          <w:rFonts w:ascii="仿宋_GB2312" w:eastAsia="仿宋_GB2312" w:cs="DengXian-Regular"/>
          <w:sz w:val="32"/>
          <w:szCs w:val="32"/>
        </w:rPr>
        <w:t>8.36</w:t>
      </w:r>
      <w:r>
        <w:rPr>
          <w:rFonts w:hint="eastAsia" w:ascii="仿宋_GB2312" w:eastAsia="仿宋_GB2312" w:cs="DengXian-Regular"/>
          <w:sz w:val="32"/>
          <w:szCs w:val="32"/>
        </w:rPr>
        <w:t>万元，故支出数大于收入数。</w:t>
      </w:r>
    </w:p>
    <w:p>
      <w:pPr>
        <w:spacing w:after="0" w:line="360" w:lineRule="auto"/>
        <w:ind w:firstLine="64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ascii="仿宋_GB2312" w:eastAsia="仿宋_GB2312" w:cs="DengXian-Regular"/>
          <w:sz w:val="32"/>
          <w:szCs w:val="32"/>
        </w:rPr>
        <w:t>4</w:t>
      </w:r>
      <w:r>
        <w:rPr>
          <w:rFonts w:hint="eastAsia" w:ascii="仿宋_GB2312" w:eastAsia="仿宋_GB2312" w:cs="DengXian-Regular"/>
          <w:sz w:val="32"/>
          <w:szCs w:val="32"/>
        </w:rPr>
        <w:t>分。</w:t>
      </w:r>
    </w:p>
    <w:p>
      <w:pPr>
        <w:spacing w:after="0" w:line="360" w:lineRule="auto"/>
        <w:ind w:firstLine="640"/>
        <w:jc w:val="both"/>
        <w:textAlignment w:val="baseline"/>
        <w:rPr>
          <w:rFonts w:ascii="仿宋_GB2312" w:eastAsia="仿宋_GB2312" w:cs="DengXian-Regular"/>
          <w:sz w:val="32"/>
          <w:szCs w:val="32"/>
        </w:rPr>
      </w:pPr>
      <w:r>
        <w:rPr>
          <w:rFonts w:hint="eastAsia" w:ascii="仿宋_GB2312" w:eastAsia="仿宋_GB2312" w:cs="DengXian-Regular"/>
          <w:sz w:val="32"/>
          <w:szCs w:val="32"/>
        </w:rPr>
        <w:t>（5）“三公”经费控制率（3分）</w:t>
      </w:r>
    </w:p>
    <w:p>
      <w:pPr>
        <w:spacing w:after="0" w:line="360" w:lineRule="auto"/>
        <w:ind w:firstLine="64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该指标主要评价“三公”经费是否得到有效控制，通过“三公”经费控制率来衡量。</w:t>
      </w:r>
    </w:p>
    <w:p>
      <w:pPr>
        <w:spacing w:after="0" w:line="360" w:lineRule="auto"/>
        <w:ind w:firstLine="640"/>
        <w:jc w:val="both"/>
        <w:textAlignment w:val="baseline"/>
        <w:rPr>
          <w:rFonts w:ascii="仿宋_GB2312" w:eastAsia="仿宋_GB2312" w:cs="DengXian-Regular"/>
          <w:sz w:val="32"/>
          <w:szCs w:val="32"/>
        </w:rPr>
      </w:pPr>
      <w:r>
        <w:rPr>
          <w:rFonts w:hint="eastAsia" w:ascii="仿宋_GB2312" w:eastAsia="仿宋_GB2312" w:cs="DengXian-Regular"/>
          <w:sz w:val="32"/>
          <w:szCs w:val="32"/>
        </w:rPr>
        <w:t>“三公”经费控制率=（实际支出数/预算数）*100%。</w:t>
      </w:r>
    </w:p>
    <w:p>
      <w:pPr>
        <w:spacing w:after="0" w:line="360" w:lineRule="auto"/>
        <w:ind w:firstLine="64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根据中国人民政治协商会议保定市徐水区委员会2019年预算文本及决算文本，“三公”经费年初预算数18万元，年末决算数5.57万元，“三公”经费控制率=（5.57/18）*100%=</w:t>
      </w:r>
      <w:r>
        <w:rPr>
          <w:rFonts w:ascii="仿宋_GB2312" w:eastAsia="仿宋_GB2312" w:cs="DengXian-Regular"/>
          <w:sz w:val="32"/>
          <w:szCs w:val="32"/>
        </w:rPr>
        <w:t>30.</w:t>
      </w:r>
      <w:r>
        <w:rPr>
          <w:rFonts w:hint="eastAsia" w:ascii="仿宋_GB2312" w:eastAsia="仿宋_GB2312" w:cs="DengXian-Regular"/>
          <w:sz w:val="32"/>
          <w:szCs w:val="32"/>
        </w:rPr>
        <w:t>94%</w:t>
      </w:r>
      <w:r>
        <w:rPr>
          <w:rFonts w:ascii="Arial" w:hAnsi="Arial" w:eastAsia="仿宋_GB2312" w:cs="Arial"/>
          <w:sz w:val="32"/>
          <w:szCs w:val="32"/>
        </w:rPr>
        <w:t>≤</w:t>
      </w:r>
      <w:r>
        <w:rPr>
          <w:rFonts w:hint="eastAsia" w:ascii="仿宋_GB2312" w:eastAsia="仿宋_GB2312" w:cs="DengXian-Regular"/>
          <w:sz w:val="32"/>
          <w:szCs w:val="32"/>
        </w:rPr>
        <w:t>100%。</w:t>
      </w:r>
    </w:p>
    <w:p>
      <w:pPr>
        <w:spacing w:after="0" w:line="360" w:lineRule="auto"/>
        <w:ind w:firstLine="64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ascii="仿宋_GB2312" w:eastAsia="仿宋_GB2312" w:cs="DengXian-Regular"/>
          <w:sz w:val="32"/>
          <w:szCs w:val="32"/>
        </w:rPr>
        <w:t>3</w:t>
      </w:r>
      <w:r>
        <w:rPr>
          <w:rFonts w:hint="eastAsia" w:ascii="仿宋_GB2312" w:eastAsia="仿宋_GB2312" w:cs="DengXian-Regular"/>
          <w:sz w:val="32"/>
          <w:szCs w:val="32"/>
        </w:rPr>
        <w:t>分。</w:t>
      </w:r>
    </w:p>
    <w:p>
      <w:pPr>
        <w:spacing w:after="0" w:line="360" w:lineRule="auto"/>
        <w:ind w:firstLine="640"/>
        <w:jc w:val="both"/>
        <w:textAlignment w:val="baseline"/>
        <w:rPr>
          <w:rFonts w:ascii="仿宋_GB2312" w:eastAsia="仿宋_GB2312" w:cs="DengXian-Regular"/>
          <w:sz w:val="32"/>
          <w:szCs w:val="32"/>
        </w:rPr>
      </w:pPr>
      <w:r>
        <w:rPr>
          <w:rFonts w:hint="eastAsia" w:ascii="仿宋_GB2312" w:eastAsia="仿宋_GB2312" w:cs="DengXian-Regular"/>
          <w:sz w:val="32"/>
          <w:szCs w:val="32"/>
        </w:rPr>
        <w:t>（6）政府采购执行率（</w:t>
      </w:r>
      <w:r>
        <w:rPr>
          <w:rFonts w:ascii="仿宋_GB2312" w:eastAsia="仿宋_GB2312" w:cs="DengXian-Regular"/>
          <w:sz w:val="32"/>
          <w:szCs w:val="32"/>
        </w:rPr>
        <w:t>0</w:t>
      </w:r>
      <w:r>
        <w:rPr>
          <w:rFonts w:hint="eastAsia" w:ascii="仿宋_GB2312" w:eastAsia="仿宋_GB2312" w:cs="DengXian-Regular"/>
          <w:sz w:val="32"/>
          <w:szCs w:val="32"/>
        </w:rPr>
        <w:t>分）</w:t>
      </w:r>
    </w:p>
    <w:p>
      <w:pPr>
        <w:spacing w:after="0" w:line="360" w:lineRule="auto"/>
        <w:ind w:firstLine="64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该指标主要评价部门是否有效执行政府采购政策，通过政府采购执行率来衡量。</w:t>
      </w:r>
    </w:p>
    <w:p>
      <w:pPr>
        <w:spacing w:after="0" w:line="360" w:lineRule="auto"/>
        <w:ind w:firstLine="640"/>
        <w:jc w:val="both"/>
        <w:textAlignment w:val="baseline"/>
        <w:rPr>
          <w:rFonts w:ascii="仿宋_GB2312" w:eastAsia="仿宋_GB2312" w:cs="DengXian-Regular"/>
          <w:sz w:val="32"/>
          <w:szCs w:val="32"/>
        </w:rPr>
      </w:pPr>
      <w:r>
        <w:rPr>
          <w:rFonts w:hint="eastAsia" w:ascii="仿宋_GB2312" w:eastAsia="仿宋_GB2312" w:cs="DengXian-Regular"/>
          <w:sz w:val="32"/>
          <w:szCs w:val="32"/>
        </w:rPr>
        <w:t>政府采购执行率=（实际政府采购金额/政府采购预算金额）*100%。</w:t>
      </w:r>
    </w:p>
    <w:p>
      <w:pPr>
        <w:spacing w:after="0" w:line="360" w:lineRule="auto"/>
        <w:ind w:firstLine="64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根据中国人民政治协商会议保定市徐水区委员会办公室2019年预算文本及决算文本，政府采购年初预算数0万元，年末决算数</w:t>
      </w:r>
      <w:r>
        <w:rPr>
          <w:rFonts w:ascii="仿宋_GB2312" w:eastAsia="仿宋_GB2312" w:cs="DengXian-Regular"/>
          <w:sz w:val="32"/>
          <w:szCs w:val="32"/>
        </w:rPr>
        <w:t>0</w:t>
      </w:r>
      <w:r>
        <w:rPr>
          <w:rFonts w:hint="eastAsia" w:ascii="仿宋_GB2312" w:eastAsia="仿宋_GB2312" w:cs="DengXian-Regular"/>
          <w:sz w:val="32"/>
          <w:szCs w:val="32"/>
        </w:rPr>
        <w:t>万元，政府采购执行率为</w:t>
      </w:r>
      <w:r>
        <w:rPr>
          <w:rFonts w:ascii="仿宋_GB2312" w:eastAsia="仿宋_GB2312" w:cs="DengXian-Regular"/>
          <w:sz w:val="32"/>
          <w:szCs w:val="32"/>
        </w:rPr>
        <w:t>0</w:t>
      </w:r>
      <w:r>
        <w:rPr>
          <w:rFonts w:hint="eastAsia" w:ascii="仿宋_GB2312" w:eastAsia="仿宋_GB2312" w:cs="DengXian-Regular"/>
          <w:sz w:val="32"/>
          <w:szCs w:val="32"/>
        </w:rPr>
        <w:t>。</w:t>
      </w:r>
    </w:p>
    <w:p>
      <w:pPr>
        <w:spacing w:after="0" w:line="360" w:lineRule="auto"/>
        <w:ind w:firstLine="64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该指标实际得分为</w:t>
      </w:r>
      <w:r>
        <w:rPr>
          <w:rFonts w:ascii="仿宋_GB2312" w:eastAsia="仿宋_GB2312" w:cs="DengXian-Regular"/>
          <w:sz w:val="32"/>
          <w:szCs w:val="32"/>
        </w:rPr>
        <w:t>0</w:t>
      </w:r>
      <w:r>
        <w:rPr>
          <w:rFonts w:hint="eastAsia" w:ascii="仿宋_GB2312" w:eastAsia="仿宋_GB2312" w:cs="DengXian-Regular"/>
          <w:sz w:val="32"/>
          <w:szCs w:val="32"/>
        </w:rPr>
        <w:t>分。</w:t>
      </w:r>
    </w:p>
    <w:p>
      <w:pPr>
        <w:spacing w:after="0" w:line="360" w:lineRule="auto"/>
        <w:ind w:firstLine="640"/>
        <w:jc w:val="both"/>
        <w:textAlignment w:val="baseline"/>
        <w:rPr>
          <w:rFonts w:ascii="仿宋_GB2312" w:eastAsia="仿宋_GB2312" w:cs="DengXian-Regular"/>
          <w:sz w:val="32"/>
          <w:szCs w:val="32"/>
        </w:rPr>
      </w:pPr>
      <w:r>
        <w:rPr>
          <w:rFonts w:hint="eastAsia" w:ascii="仿宋_GB2312" w:eastAsia="仿宋_GB2312" w:cs="DengXian-Regular"/>
          <w:sz w:val="32"/>
          <w:szCs w:val="32"/>
        </w:rPr>
        <w:t>（7）资金使用合规性（3分）</w:t>
      </w:r>
    </w:p>
    <w:p>
      <w:pPr>
        <w:spacing w:after="0" w:line="360" w:lineRule="auto"/>
        <w:ind w:firstLine="64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该指标主要评价资金使用是否按照相关法律法规和资金管理办法规定的用途使用，财务管理是否符合相关会计准则和财务制度。</w:t>
      </w:r>
    </w:p>
    <w:p>
      <w:pPr>
        <w:spacing w:after="0" w:line="360" w:lineRule="auto"/>
        <w:ind w:firstLine="64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中国人民政治协商会议保定市徐水区委员会办公室2019年明细账、会计凭证等相关资料，中国人民政治协商会议保定市徐水区委员会办公室资金使用符合相关会计准则和财务制度，资金拨付有完备的审批程序和手续，资金使用符合部门预算批复的用途，未发现截留、挤占、挪用财政资金的情况。</w:t>
      </w:r>
    </w:p>
    <w:p>
      <w:pPr>
        <w:spacing w:after="0" w:line="360" w:lineRule="auto"/>
        <w:ind w:firstLine="64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ascii="仿宋_GB2312" w:eastAsia="仿宋_GB2312" w:cs="DengXian-Regular"/>
          <w:sz w:val="32"/>
          <w:szCs w:val="32"/>
        </w:rPr>
        <w:t>3</w:t>
      </w:r>
      <w:r>
        <w:rPr>
          <w:rFonts w:hint="eastAsia" w:ascii="仿宋_GB2312" w:eastAsia="仿宋_GB2312" w:cs="DengXian-Regular"/>
          <w:sz w:val="32"/>
          <w:szCs w:val="32"/>
        </w:rPr>
        <w:t>分。</w:t>
      </w:r>
    </w:p>
    <w:p>
      <w:pPr>
        <w:spacing w:after="0" w:line="360" w:lineRule="auto"/>
        <w:ind w:firstLine="640"/>
        <w:jc w:val="both"/>
        <w:textAlignment w:val="baseline"/>
        <w:rPr>
          <w:rFonts w:ascii="仿宋_GB2312" w:eastAsia="仿宋_GB2312" w:cs="DengXian-Regular"/>
          <w:sz w:val="32"/>
          <w:szCs w:val="32"/>
        </w:rPr>
      </w:pPr>
      <w:r>
        <w:rPr>
          <w:rFonts w:hint="eastAsia" w:ascii="仿宋_GB2312" w:eastAsia="仿宋_GB2312" w:cs="DengXian-Regular"/>
          <w:sz w:val="32"/>
          <w:szCs w:val="32"/>
        </w:rPr>
        <w:t>（8）决算真实性（3分）</w:t>
      </w:r>
    </w:p>
    <w:p>
      <w:pPr>
        <w:spacing w:after="0" w:line="360" w:lineRule="auto"/>
        <w:ind w:firstLine="64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该指标主要评价决算编制数据是否与账表一致，即决算报表数据与会计账簿数据是否一致。</w:t>
      </w:r>
    </w:p>
    <w:p>
      <w:pPr>
        <w:spacing w:after="0" w:line="360" w:lineRule="auto"/>
        <w:ind w:firstLine="640"/>
        <w:jc w:val="both"/>
        <w:textAlignment w:val="baseline"/>
        <w:rPr>
          <w:rFonts w:ascii="仿宋_GB2312" w:eastAsia="仿宋_GB2312" w:cs="DengXian-Regular"/>
          <w:sz w:val="32"/>
          <w:szCs w:val="32"/>
        </w:rPr>
      </w:pPr>
      <w:r>
        <w:rPr>
          <w:rFonts w:hint="eastAsia" w:ascii="仿宋_GB2312" w:eastAsia="仿宋_GB2312" w:cs="DengXian-Regular"/>
          <w:sz w:val="32"/>
          <w:szCs w:val="32"/>
        </w:rPr>
        <w:t>经核查中国人民政治协商会议保定市徐水区委员会办公室2019年决算文本、明细账及总账，中共保定市徐水区委组织部决算文本数据均与明细账、总账一致。</w:t>
      </w:r>
    </w:p>
    <w:p>
      <w:pPr>
        <w:spacing w:after="0" w:line="360" w:lineRule="auto"/>
        <w:ind w:firstLine="64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ascii="仿宋_GB2312" w:eastAsia="仿宋_GB2312" w:cs="DengXian-Regular"/>
          <w:sz w:val="32"/>
          <w:szCs w:val="32"/>
        </w:rPr>
        <w:t>3</w:t>
      </w:r>
      <w:r>
        <w:rPr>
          <w:rFonts w:hint="eastAsia" w:ascii="仿宋_GB2312" w:eastAsia="仿宋_GB2312" w:cs="DengXian-Regular"/>
          <w:sz w:val="32"/>
          <w:szCs w:val="32"/>
        </w:rPr>
        <w:t>分。</w:t>
      </w:r>
    </w:p>
    <w:p>
      <w:pPr>
        <w:spacing w:after="0" w:line="360" w:lineRule="auto"/>
        <w:ind w:firstLine="640"/>
        <w:jc w:val="both"/>
        <w:textAlignment w:val="baseline"/>
        <w:rPr>
          <w:rFonts w:ascii="仿宋_GB2312" w:eastAsia="仿宋_GB2312" w:cs="DengXian-Regular"/>
          <w:sz w:val="32"/>
          <w:szCs w:val="32"/>
        </w:rPr>
      </w:pPr>
      <w:r>
        <w:rPr>
          <w:rFonts w:hint="eastAsia" w:ascii="仿宋_GB2312" w:eastAsia="仿宋_GB2312" w:cs="DengXian-Regular"/>
          <w:sz w:val="32"/>
          <w:szCs w:val="32"/>
        </w:rPr>
        <w:t>2.预算管理（16分）</w:t>
      </w:r>
    </w:p>
    <w:p>
      <w:pPr>
        <w:spacing w:after="0" w:line="360" w:lineRule="auto"/>
        <w:ind w:firstLine="640"/>
        <w:jc w:val="both"/>
        <w:textAlignment w:val="baseline"/>
        <w:rPr>
          <w:rFonts w:ascii="仿宋_GB2312" w:eastAsia="仿宋_GB2312" w:cs="DengXian-Regular"/>
          <w:sz w:val="32"/>
          <w:szCs w:val="32"/>
        </w:rPr>
      </w:pPr>
      <w:r>
        <w:rPr>
          <w:rFonts w:hint="eastAsia" w:ascii="仿宋_GB2312" w:eastAsia="仿宋_GB2312" w:cs="DengXian-Regular"/>
          <w:sz w:val="32"/>
          <w:szCs w:val="32"/>
        </w:rPr>
        <w:t>（1）管理制度健全性（4分）</w:t>
      </w:r>
    </w:p>
    <w:p>
      <w:pPr>
        <w:spacing w:after="0" w:line="360" w:lineRule="auto"/>
        <w:ind w:firstLine="64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该指标主要评价部门是否制定资金管理办法、财务管理制度、会计核算制度等相关内部控制制度，制度执行是否得到有效执行。</w:t>
      </w:r>
    </w:p>
    <w:p>
      <w:pPr>
        <w:spacing w:after="0" w:line="360" w:lineRule="auto"/>
        <w:ind w:firstLine="640"/>
        <w:jc w:val="both"/>
        <w:textAlignment w:val="baseline"/>
        <w:rPr>
          <w:rFonts w:ascii="仿宋_GB2312" w:eastAsia="仿宋_GB2312" w:cs="DengXian-Regular"/>
          <w:sz w:val="32"/>
          <w:szCs w:val="32"/>
        </w:rPr>
      </w:pPr>
      <w:r>
        <w:rPr>
          <w:rFonts w:hint="eastAsia" w:ascii="仿宋_GB2312" w:eastAsia="仿宋_GB2312" w:cs="DengXian-Regular"/>
          <w:sz w:val="32"/>
          <w:szCs w:val="32"/>
        </w:rPr>
        <w:t>中国人民政治协商会议保定市徐水区委员会办公室工作制度涵盖了财务制度、网络安全制度、公务用车制度等相关制度，经检查中国人民政治协商会议保定市徐水区委员会办公室付款流程审批单、资产盘点表等资料，中国人民政治协商会议保定市徐水区委员会办公室已按照相关管理制度的规定执行。</w:t>
      </w:r>
    </w:p>
    <w:p>
      <w:pPr>
        <w:spacing w:after="0" w:line="360" w:lineRule="auto"/>
        <w:ind w:firstLine="640"/>
        <w:jc w:val="both"/>
        <w:textAlignment w:val="baseline"/>
        <w:rPr>
          <w:rFonts w:ascii="仿宋_GB2312" w:eastAsia="仿宋_GB2312" w:cs="DengXian-Regular"/>
          <w:sz w:val="32"/>
          <w:szCs w:val="32"/>
        </w:rPr>
      </w:pPr>
      <w:r>
        <w:rPr>
          <w:rFonts w:hint="eastAsia" w:ascii="仿宋_GB2312" w:eastAsia="仿宋_GB2312" w:cs="DengXian-Regular"/>
          <w:sz w:val="32"/>
          <w:szCs w:val="32"/>
        </w:rPr>
        <w:t>该项指标实际得分</w:t>
      </w:r>
      <w:r>
        <w:rPr>
          <w:rFonts w:ascii="仿宋_GB2312" w:eastAsia="仿宋_GB2312" w:cs="DengXian-Regular"/>
          <w:sz w:val="32"/>
          <w:szCs w:val="32"/>
        </w:rPr>
        <w:t>4</w:t>
      </w:r>
      <w:r>
        <w:rPr>
          <w:rFonts w:hint="eastAsia" w:ascii="仿宋_GB2312" w:eastAsia="仿宋_GB2312" w:cs="DengXian-Regular"/>
          <w:sz w:val="32"/>
          <w:szCs w:val="32"/>
        </w:rPr>
        <w:t>分。</w:t>
      </w:r>
    </w:p>
    <w:p>
      <w:pPr>
        <w:spacing w:after="0" w:line="360" w:lineRule="auto"/>
        <w:ind w:firstLine="640"/>
        <w:jc w:val="both"/>
        <w:textAlignment w:val="baseline"/>
        <w:rPr>
          <w:rFonts w:ascii="仿宋_GB2312" w:eastAsia="仿宋_GB2312" w:cs="DengXian-Regular"/>
          <w:sz w:val="32"/>
          <w:szCs w:val="32"/>
        </w:rPr>
      </w:pPr>
      <w:r>
        <w:rPr>
          <w:rFonts w:hint="eastAsia" w:ascii="仿宋_GB2312" w:eastAsia="仿宋_GB2312" w:cs="DengXian-Regular"/>
          <w:sz w:val="32"/>
          <w:szCs w:val="32"/>
        </w:rPr>
        <w:t>（2）预决算信息公开性（4分）</w:t>
      </w:r>
    </w:p>
    <w:p>
      <w:pPr>
        <w:spacing w:after="0" w:line="360" w:lineRule="auto"/>
        <w:ind w:firstLine="64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该指标主要评价部门是否按照政府信息公开的有关要求在相关网站公开部门预算、预算执行情况、年度工作任务等相关信息。</w:t>
      </w:r>
    </w:p>
    <w:p>
      <w:pPr>
        <w:spacing w:after="0" w:line="360" w:lineRule="auto"/>
        <w:ind w:firstLine="640"/>
        <w:jc w:val="both"/>
        <w:textAlignment w:val="baseline"/>
        <w:rPr>
          <w:rFonts w:ascii="仿宋_GB2312" w:eastAsia="仿宋_GB2312" w:cs="DengXian-Regular"/>
          <w:sz w:val="32"/>
          <w:szCs w:val="32"/>
        </w:rPr>
      </w:pPr>
      <w:r>
        <w:rPr>
          <w:rFonts w:hint="eastAsia" w:ascii="仿宋_GB2312" w:eastAsia="仿宋_GB2312" w:cs="DengXian-Regular"/>
          <w:sz w:val="32"/>
          <w:szCs w:val="32"/>
        </w:rPr>
        <w:t>中国人民政治协商会议保定市徐水区委员会办公室2019年按政府信息公开的有关要求在保定市徐水区人民政府网公开了2019年的预决算情况、部门责任清单、行政监督清单等相关信息。</w:t>
      </w:r>
    </w:p>
    <w:p>
      <w:pPr>
        <w:spacing w:after="0" w:line="360" w:lineRule="auto"/>
        <w:ind w:firstLine="64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ascii="仿宋_GB2312" w:eastAsia="仿宋_GB2312" w:cs="DengXian-Regular"/>
          <w:sz w:val="32"/>
          <w:szCs w:val="32"/>
        </w:rPr>
        <w:t>4</w:t>
      </w:r>
      <w:r>
        <w:rPr>
          <w:rFonts w:hint="eastAsia" w:ascii="仿宋_GB2312" w:eastAsia="仿宋_GB2312" w:cs="DengXian-Regular"/>
          <w:sz w:val="32"/>
          <w:szCs w:val="32"/>
        </w:rPr>
        <w:t>分。</w:t>
      </w:r>
    </w:p>
    <w:p>
      <w:pPr>
        <w:spacing w:after="0" w:line="360" w:lineRule="auto"/>
        <w:ind w:firstLine="640"/>
        <w:jc w:val="both"/>
        <w:textAlignment w:val="baseline"/>
        <w:rPr>
          <w:rFonts w:ascii="仿宋_GB2312" w:eastAsia="仿宋_GB2312" w:cs="DengXian-Regular"/>
          <w:sz w:val="32"/>
          <w:szCs w:val="32"/>
        </w:rPr>
      </w:pPr>
      <w:r>
        <w:rPr>
          <w:rFonts w:hint="eastAsia" w:ascii="仿宋_GB2312" w:eastAsia="仿宋_GB2312" w:cs="DengXian-Regular"/>
          <w:sz w:val="32"/>
          <w:szCs w:val="32"/>
        </w:rPr>
        <w:t>（3）基础信息完善性（4分）</w:t>
      </w:r>
    </w:p>
    <w:p>
      <w:pPr>
        <w:spacing w:after="0" w:line="360" w:lineRule="auto"/>
        <w:ind w:firstLine="64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该指标主要评价基础数据信息和财务信息资料是否真实、完整。</w:t>
      </w:r>
    </w:p>
    <w:p>
      <w:pPr>
        <w:spacing w:after="0" w:line="360" w:lineRule="auto"/>
        <w:ind w:firstLine="64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根据中国人民政治协商会议保定市徐水区委员会办公室提供的会计账簿、凭证及其他相关资料，中国人民政治协商会议保定市徐水区委员会办公室会计信息资料真实完整，</w:t>
      </w:r>
    </w:p>
    <w:p>
      <w:pPr>
        <w:spacing w:after="0" w:line="360" w:lineRule="auto"/>
        <w:ind w:firstLine="64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ascii="仿宋_GB2312" w:eastAsia="仿宋_GB2312" w:cs="DengXian-Regular"/>
          <w:sz w:val="32"/>
          <w:szCs w:val="32"/>
        </w:rPr>
        <w:t>4</w:t>
      </w:r>
      <w:r>
        <w:rPr>
          <w:rFonts w:hint="eastAsia" w:ascii="仿宋_GB2312" w:eastAsia="仿宋_GB2312" w:cs="DengXian-Regular"/>
          <w:sz w:val="32"/>
          <w:szCs w:val="32"/>
        </w:rPr>
        <w:t>分。</w:t>
      </w:r>
    </w:p>
    <w:p>
      <w:pPr>
        <w:spacing w:after="0" w:line="360" w:lineRule="auto"/>
        <w:ind w:firstLine="640"/>
        <w:jc w:val="both"/>
        <w:textAlignment w:val="baseline"/>
        <w:rPr>
          <w:rFonts w:ascii="仿宋_GB2312" w:eastAsia="仿宋_GB2312" w:cs="DengXian-Regular"/>
          <w:sz w:val="32"/>
          <w:szCs w:val="32"/>
        </w:rPr>
      </w:pPr>
      <w:r>
        <w:rPr>
          <w:rFonts w:hint="eastAsia" w:ascii="仿宋_GB2312" w:eastAsia="仿宋_GB2312" w:cs="DengXian-Regular"/>
          <w:sz w:val="32"/>
          <w:szCs w:val="32"/>
        </w:rPr>
        <w:t>（4）资产管理规范性（4分）</w:t>
      </w:r>
    </w:p>
    <w:p>
      <w:pPr>
        <w:spacing w:after="0" w:line="360" w:lineRule="auto"/>
        <w:ind w:firstLine="64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该指标主要评价资产管理是否规范，是否建立资产台账，新增资产是否符合规定程序和规定标准，资产的配置是否合规，资产保存是否完整。</w:t>
      </w:r>
    </w:p>
    <w:p>
      <w:pPr>
        <w:spacing w:after="0" w:line="360" w:lineRule="auto"/>
        <w:ind w:firstLine="640"/>
        <w:jc w:val="both"/>
        <w:textAlignment w:val="baseline"/>
        <w:rPr>
          <w:rFonts w:ascii="仿宋_GB2312" w:eastAsia="仿宋_GB2312" w:cs="DengXian-Regular"/>
          <w:sz w:val="32"/>
          <w:szCs w:val="32"/>
        </w:rPr>
      </w:pPr>
      <w:r>
        <w:rPr>
          <w:rFonts w:hint="eastAsia" w:ascii="仿宋_GB2312" w:eastAsia="仿宋_GB2312" w:cs="DengXian-Regular"/>
          <w:sz w:val="32"/>
          <w:szCs w:val="32"/>
        </w:rPr>
        <w:t>中国人民政治协商会议保定市徐水区委员会办公室建立了固定资产台账，资产保存完整，2019年新增资产3.35万元，包含：电脑及计算机设备（0.79万元）、打印机（0.15万元），</w:t>
      </w:r>
      <w:r>
        <w:rPr>
          <w:rFonts w:ascii="仿宋_GB2312" w:eastAsia="仿宋_GB2312" w:cs="DengXian-Regular"/>
          <w:sz w:val="32"/>
          <w:szCs w:val="32"/>
        </w:rPr>
        <w:t>空调（</w:t>
      </w:r>
      <w:r>
        <w:rPr>
          <w:rFonts w:hint="eastAsia" w:ascii="仿宋_GB2312" w:eastAsia="仿宋_GB2312" w:cs="DengXian-Regular"/>
          <w:sz w:val="32"/>
          <w:szCs w:val="32"/>
        </w:rPr>
        <w:t>0.82万元</w:t>
      </w:r>
      <w:r>
        <w:rPr>
          <w:rFonts w:ascii="仿宋_GB2312" w:eastAsia="仿宋_GB2312" w:cs="DengXian-Regular"/>
          <w:sz w:val="32"/>
          <w:szCs w:val="32"/>
        </w:rPr>
        <w:t>），</w:t>
      </w:r>
      <w:r>
        <w:rPr>
          <w:rFonts w:hint="eastAsia" w:ascii="仿宋_GB2312" w:eastAsia="仿宋_GB2312" w:cs="DengXian-Regular"/>
          <w:sz w:val="32"/>
          <w:szCs w:val="32"/>
        </w:rPr>
        <w:t>办公家具（1.59万元</w:t>
      </w:r>
      <w:r>
        <w:rPr>
          <w:rFonts w:ascii="仿宋_GB2312" w:eastAsia="仿宋_GB2312" w:cs="DengXian-Regular"/>
          <w:sz w:val="32"/>
          <w:szCs w:val="32"/>
        </w:rPr>
        <w:t>）</w:t>
      </w:r>
      <w:r>
        <w:rPr>
          <w:rFonts w:hint="eastAsia" w:ascii="仿宋_GB2312" w:eastAsia="仿宋_GB2312" w:cs="DengXian-Regular"/>
          <w:sz w:val="32"/>
          <w:szCs w:val="32"/>
        </w:rPr>
        <w:t>，资产购置手续完备，配置符合要求，资产管理整体较规范。</w:t>
      </w:r>
    </w:p>
    <w:p>
      <w:pPr>
        <w:spacing w:after="0" w:line="360" w:lineRule="auto"/>
        <w:ind w:firstLine="640"/>
        <w:jc w:val="both"/>
        <w:textAlignment w:val="baseline"/>
        <w:rPr>
          <w:rFonts w:ascii="仿宋_GB2312" w:eastAsia="仿宋_GB2312" w:cs="DengXian-Regular"/>
          <w:sz w:val="32"/>
          <w:szCs w:val="32"/>
        </w:rPr>
      </w:pPr>
      <w:r>
        <w:rPr>
          <w:rFonts w:hint="eastAsia" w:ascii="仿宋_GB2312" w:eastAsia="仿宋_GB2312" w:cs="DengXian-Regular"/>
          <w:sz w:val="32"/>
          <w:szCs w:val="32"/>
        </w:rPr>
        <w:t>该项指标实际得分</w:t>
      </w:r>
      <w:r>
        <w:rPr>
          <w:rFonts w:ascii="仿宋_GB2312" w:eastAsia="仿宋_GB2312" w:cs="DengXian-Regular"/>
          <w:sz w:val="32"/>
          <w:szCs w:val="32"/>
        </w:rPr>
        <w:t>4</w:t>
      </w:r>
      <w:r>
        <w:rPr>
          <w:rFonts w:hint="eastAsia" w:ascii="仿宋_GB2312" w:eastAsia="仿宋_GB2312" w:cs="DengXian-Regular"/>
          <w:sz w:val="32"/>
          <w:szCs w:val="32"/>
        </w:rPr>
        <w:t>分。</w:t>
      </w:r>
    </w:p>
    <w:p>
      <w:pPr>
        <w:spacing w:after="0" w:line="360" w:lineRule="auto"/>
        <w:ind w:firstLine="640"/>
        <w:jc w:val="both"/>
        <w:textAlignment w:val="baseline"/>
        <w:rPr>
          <w:rFonts w:ascii="仿宋_GB2312" w:eastAsia="仿宋_GB2312" w:cs="DengXian-Regular"/>
          <w:sz w:val="32"/>
          <w:szCs w:val="32"/>
        </w:rPr>
      </w:pPr>
      <w:r>
        <w:rPr>
          <w:rFonts w:hint="eastAsia" w:ascii="仿宋_GB2312" w:eastAsia="仿宋_GB2312" w:cs="DengXian-Regular"/>
          <w:sz w:val="32"/>
          <w:szCs w:val="32"/>
        </w:rPr>
        <w:t>3.绩效评价（8分）</w:t>
      </w:r>
    </w:p>
    <w:p>
      <w:pPr>
        <w:spacing w:after="0" w:line="360" w:lineRule="auto"/>
        <w:ind w:firstLine="640"/>
        <w:jc w:val="both"/>
        <w:textAlignment w:val="baseline"/>
        <w:rPr>
          <w:rFonts w:ascii="仿宋_GB2312" w:eastAsia="仿宋_GB2312" w:cs="DengXian-Regular"/>
          <w:sz w:val="32"/>
          <w:szCs w:val="32"/>
        </w:rPr>
      </w:pPr>
      <w:r>
        <w:rPr>
          <w:rFonts w:hint="eastAsia" w:ascii="仿宋_GB2312" w:eastAsia="仿宋_GB2312" w:cs="DengXian-Regular"/>
          <w:sz w:val="32"/>
          <w:szCs w:val="32"/>
        </w:rPr>
        <w:t>（1）绩效自评覆盖率（4分）</w:t>
      </w:r>
    </w:p>
    <w:p>
      <w:pPr>
        <w:spacing w:after="0" w:line="360" w:lineRule="auto"/>
        <w:ind w:firstLine="64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该指标主要评价部门是否按相关要求实施绩效自评，通过绩效自评覆盖率来衡量。</w:t>
      </w:r>
    </w:p>
    <w:p>
      <w:pPr>
        <w:spacing w:after="0" w:line="360" w:lineRule="auto"/>
        <w:ind w:firstLine="640"/>
        <w:jc w:val="both"/>
        <w:textAlignment w:val="baseline"/>
        <w:rPr>
          <w:rFonts w:ascii="仿宋_GB2312" w:eastAsia="仿宋_GB2312" w:cs="DengXian-Regular"/>
          <w:sz w:val="32"/>
          <w:szCs w:val="32"/>
        </w:rPr>
      </w:pPr>
      <w:r>
        <w:rPr>
          <w:rFonts w:hint="eastAsia" w:ascii="仿宋_GB2312" w:eastAsia="仿宋_GB2312" w:cs="DengXian-Regular"/>
          <w:sz w:val="32"/>
          <w:szCs w:val="32"/>
        </w:rPr>
        <w:t>绩效自评覆盖率=（报送相关自评材料的数量/应实施项目绩效自评数量）*100%。</w:t>
      </w:r>
    </w:p>
    <w:p>
      <w:pPr>
        <w:spacing w:after="0" w:line="360" w:lineRule="auto"/>
        <w:ind w:firstLine="640"/>
        <w:jc w:val="both"/>
        <w:textAlignment w:val="baseline"/>
        <w:rPr>
          <w:rFonts w:ascii="仿宋_GB2312" w:eastAsia="仿宋_GB2312" w:cs="DengXian-Regular"/>
          <w:sz w:val="32"/>
          <w:szCs w:val="32"/>
        </w:rPr>
      </w:pPr>
      <w:r>
        <w:rPr>
          <w:rFonts w:hint="eastAsia" w:ascii="仿宋_GB2312" w:eastAsia="仿宋_GB2312" w:cs="DengXian-Regular"/>
          <w:sz w:val="32"/>
          <w:szCs w:val="32"/>
        </w:rPr>
        <w:t xml:space="preserve">根据徐水区财政局《关于开展2019年度财政专项资金部门绩效自评价工作的通知》及中国人民政治协商会议保定市徐水区委员会办公室2019年一般项目部门绩效自评表，中国人民政治协商会议保定市徐水区委员会办公室2019年开展绩效自评的项目数为5个，年初预算文本项目数5个，要求自评项目个数5个，自评覆盖率为 </w:t>
      </w:r>
      <w:r>
        <w:rPr>
          <w:rFonts w:ascii="仿宋_GB2312" w:eastAsia="仿宋_GB2312" w:cs="DengXian-Regular"/>
          <w:sz w:val="32"/>
          <w:szCs w:val="32"/>
        </w:rPr>
        <w:t>100</w:t>
      </w:r>
      <w:r>
        <w:rPr>
          <w:rFonts w:hint="eastAsia" w:ascii="仿宋_GB2312" w:eastAsia="仿宋_GB2312" w:cs="DengXian-Regular"/>
          <w:sz w:val="32"/>
          <w:szCs w:val="32"/>
        </w:rPr>
        <w:t>%。</w:t>
      </w:r>
    </w:p>
    <w:p>
      <w:pPr>
        <w:spacing w:after="0" w:line="360" w:lineRule="auto"/>
        <w:ind w:firstLine="64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ascii="仿宋_GB2312" w:eastAsia="仿宋_GB2312" w:cs="DengXian-Regular"/>
          <w:sz w:val="32"/>
          <w:szCs w:val="32"/>
        </w:rPr>
        <w:t>4</w:t>
      </w:r>
      <w:r>
        <w:rPr>
          <w:rFonts w:hint="eastAsia" w:ascii="仿宋_GB2312" w:eastAsia="仿宋_GB2312" w:cs="DengXian-Regular"/>
          <w:sz w:val="32"/>
          <w:szCs w:val="32"/>
        </w:rPr>
        <w:t>分。</w:t>
      </w:r>
    </w:p>
    <w:p>
      <w:pPr>
        <w:spacing w:after="0" w:line="360" w:lineRule="auto"/>
        <w:ind w:firstLine="640"/>
        <w:jc w:val="both"/>
        <w:textAlignment w:val="baseline"/>
        <w:rPr>
          <w:rFonts w:ascii="仿宋_GB2312" w:eastAsia="仿宋_GB2312" w:cs="DengXian-Regular"/>
          <w:sz w:val="32"/>
          <w:szCs w:val="32"/>
        </w:rPr>
      </w:pPr>
      <w:r>
        <w:rPr>
          <w:rFonts w:hint="eastAsia" w:ascii="仿宋_GB2312" w:eastAsia="仿宋_GB2312" w:cs="DengXian-Regular"/>
          <w:sz w:val="32"/>
          <w:szCs w:val="32"/>
        </w:rPr>
        <w:t>（2）绩效评价优等率（4分）</w:t>
      </w:r>
    </w:p>
    <w:p>
      <w:pPr>
        <w:spacing w:after="0" w:line="360" w:lineRule="auto"/>
        <w:ind w:firstLine="64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该指标主要评价部门开展的绩效评价项目的完成质量，通过绩效评价优等率来衡量。</w:t>
      </w:r>
    </w:p>
    <w:p>
      <w:pPr>
        <w:spacing w:after="0" w:line="360" w:lineRule="auto"/>
        <w:ind w:firstLine="640"/>
        <w:jc w:val="both"/>
        <w:textAlignment w:val="baseline"/>
        <w:rPr>
          <w:rFonts w:ascii="仿宋_GB2312" w:eastAsia="仿宋_GB2312" w:cs="DengXian-Regular"/>
          <w:sz w:val="32"/>
          <w:szCs w:val="32"/>
        </w:rPr>
      </w:pPr>
      <w:r>
        <w:rPr>
          <w:rFonts w:hint="eastAsia" w:ascii="仿宋_GB2312" w:eastAsia="仿宋_GB2312" w:cs="DengXian-Regular"/>
          <w:sz w:val="32"/>
          <w:szCs w:val="32"/>
        </w:rPr>
        <w:t>绩效评价优等率=（结果达到优等的数量/参评数量）*100%。</w:t>
      </w:r>
    </w:p>
    <w:p>
      <w:pPr>
        <w:spacing w:after="0" w:line="360" w:lineRule="auto"/>
        <w:ind w:firstLine="640"/>
        <w:jc w:val="both"/>
        <w:textAlignment w:val="baseline"/>
        <w:rPr>
          <w:rFonts w:ascii="仿宋_GB2312" w:eastAsia="仿宋_GB2312" w:cs="DengXian-Regular"/>
          <w:sz w:val="32"/>
          <w:szCs w:val="32"/>
        </w:rPr>
      </w:pPr>
      <w:r>
        <w:rPr>
          <w:rFonts w:hint="eastAsia" w:ascii="仿宋_GB2312" w:eastAsia="仿宋_GB2312" w:cs="DengXian-Regular"/>
          <w:sz w:val="32"/>
          <w:szCs w:val="32"/>
        </w:rPr>
        <w:t>中国人民政治协商会议保定市徐水区委员会办公室2019年参评数量5个，绩效评价结果达到优等的数量5个，绩效评价优等率为</w:t>
      </w:r>
      <w:r>
        <w:rPr>
          <w:rFonts w:ascii="仿宋_GB2312" w:eastAsia="仿宋_GB2312" w:cs="DengXian-Regular"/>
          <w:sz w:val="32"/>
          <w:szCs w:val="32"/>
        </w:rPr>
        <w:t>100</w:t>
      </w:r>
      <w:r>
        <w:rPr>
          <w:rFonts w:hint="eastAsia" w:ascii="仿宋_GB2312" w:eastAsia="仿宋_GB2312" w:cs="DengXian-Regular"/>
          <w:sz w:val="32"/>
          <w:szCs w:val="32"/>
        </w:rPr>
        <w:t>%。</w:t>
      </w:r>
    </w:p>
    <w:p>
      <w:pPr>
        <w:spacing w:after="0" w:line="360" w:lineRule="auto"/>
        <w:ind w:firstLine="64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ascii="仿宋_GB2312" w:eastAsia="仿宋_GB2312" w:cs="DengXian-Regular"/>
          <w:sz w:val="32"/>
          <w:szCs w:val="32"/>
        </w:rPr>
        <w:t>4</w:t>
      </w:r>
      <w:r>
        <w:rPr>
          <w:rFonts w:hint="eastAsia" w:ascii="仿宋_GB2312" w:eastAsia="仿宋_GB2312" w:cs="DengXian-Regular"/>
          <w:sz w:val="32"/>
          <w:szCs w:val="32"/>
        </w:rPr>
        <w:t>分。</w:t>
      </w:r>
      <w:bookmarkEnd w:id="61"/>
      <w:bookmarkEnd w:id="62"/>
    </w:p>
    <w:p>
      <w:pPr>
        <w:pStyle w:val="4"/>
        <w:spacing w:before="0" w:after="0"/>
        <w:ind w:firstLine="643"/>
        <w:jc w:val="both"/>
        <w:rPr>
          <w:rFonts w:ascii="楷体" w:hAnsi="楷体" w:eastAsia="楷体"/>
          <w:sz w:val="32"/>
        </w:rPr>
      </w:pPr>
      <w:bookmarkStart w:id="63" w:name="_Toc57553871"/>
      <w:r>
        <w:rPr>
          <w:rFonts w:hint="eastAsia" w:ascii="楷体" w:hAnsi="楷体" w:eastAsia="楷体"/>
          <w:sz w:val="32"/>
        </w:rPr>
        <w:t>（三）产出（25分）</w:t>
      </w:r>
      <w:bookmarkEnd w:id="63"/>
    </w:p>
    <w:p>
      <w:pPr>
        <w:spacing w:after="0" w:line="360" w:lineRule="auto"/>
        <w:ind w:firstLine="640"/>
        <w:jc w:val="both"/>
        <w:textAlignment w:val="baseline"/>
        <w:rPr>
          <w:rFonts w:ascii="仿宋_GB2312" w:eastAsia="仿宋_GB2312" w:cs="DengXian-Regular"/>
          <w:color w:val="000000"/>
          <w:sz w:val="32"/>
          <w:szCs w:val="32"/>
        </w:rPr>
      </w:pPr>
      <w:r>
        <w:rPr>
          <w:rFonts w:hint="eastAsia" w:ascii="仿宋_GB2312" w:eastAsia="仿宋_GB2312" w:cs="DengXian-Regular"/>
          <w:color w:val="000000"/>
          <w:sz w:val="32"/>
          <w:szCs w:val="32"/>
        </w:rPr>
        <w:t>该一级指标包含责任履行一个二级指标，主要反映结转结余率，项目资金使用率，社区矫正人数，社区服刑人员再次犯罪率，法律援助案件办结率。</w:t>
      </w:r>
    </w:p>
    <w:p>
      <w:pPr>
        <w:spacing w:after="0" w:line="360" w:lineRule="auto"/>
        <w:ind w:firstLine="643"/>
        <w:jc w:val="center"/>
        <w:textAlignment w:val="baseline"/>
        <w:rPr>
          <w:rFonts w:asciiTheme="minorEastAsia" w:hAnsiTheme="minorEastAsia" w:eastAsiaTheme="minorEastAsia" w:cstheme="minorEastAsia"/>
          <w:b/>
          <w:bCs/>
          <w:color w:val="000000"/>
          <w:sz w:val="32"/>
          <w:szCs w:val="32"/>
        </w:rPr>
      </w:pPr>
      <w:r>
        <w:rPr>
          <w:rFonts w:hint="eastAsia" w:asciiTheme="minorEastAsia" w:hAnsiTheme="minorEastAsia" w:eastAsiaTheme="minorEastAsia" w:cstheme="minorEastAsia"/>
          <w:b/>
          <w:bCs/>
          <w:color w:val="000000"/>
          <w:sz w:val="32"/>
          <w:szCs w:val="32"/>
        </w:rPr>
        <w:t>表4  产出指标及得分情况表</w:t>
      </w:r>
    </w:p>
    <w:tbl>
      <w:tblPr>
        <w:tblStyle w:val="9"/>
        <w:tblW w:w="7669" w:type="dxa"/>
        <w:jc w:val="center"/>
        <w:tblLayout w:type="fixed"/>
        <w:tblCellMar>
          <w:top w:w="15" w:type="dxa"/>
          <w:left w:w="15" w:type="dxa"/>
          <w:bottom w:w="15" w:type="dxa"/>
          <w:right w:w="15" w:type="dxa"/>
        </w:tblCellMar>
      </w:tblPr>
      <w:tblGrid>
        <w:gridCol w:w="1097"/>
        <w:gridCol w:w="992"/>
        <w:gridCol w:w="3760"/>
        <w:gridCol w:w="723"/>
        <w:gridCol w:w="1097"/>
      </w:tblGrid>
      <w:tr>
        <w:tblPrEx>
          <w:tblCellMar>
            <w:top w:w="15" w:type="dxa"/>
            <w:left w:w="15" w:type="dxa"/>
            <w:bottom w:w="15" w:type="dxa"/>
            <w:right w:w="15" w:type="dxa"/>
          </w:tblCellMar>
        </w:tblPrEx>
        <w:trPr>
          <w:trHeight w:val="521" w:hRule="exact"/>
          <w:jc w:val="center"/>
        </w:trPr>
        <w:tc>
          <w:tcPr>
            <w:tcW w:w="1097" w:type="dxa"/>
            <w:tcBorders>
              <w:top w:val="single" w:color="000000" w:sz="4" w:space="0"/>
              <w:left w:val="single" w:color="000000" w:sz="4" w:space="0"/>
              <w:bottom w:val="single" w:color="000000" w:sz="4" w:space="0"/>
              <w:right w:val="single" w:color="000000" w:sz="4" w:space="0"/>
            </w:tcBorders>
            <w:vAlign w:val="center"/>
          </w:tcPr>
          <w:p>
            <w:pPr>
              <w:spacing w:after="0"/>
              <w:ind w:firstLine="422"/>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一级指标</w:t>
            </w:r>
          </w:p>
        </w:tc>
        <w:tc>
          <w:tcPr>
            <w:tcW w:w="992" w:type="dxa"/>
            <w:tcBorders>
              <w:top w:val="single" w:color="000000" w:sz="4" w:space="0"/>
              <w:left w:val="single" w:color="000000" w:sz="4" w:space="0"/>
              <w:bottom w:val="single" w:color="000000" w:sz="4" w:space="0"/>
              <w:right w:val="single" w:color="000000" w:sz="4" w:space="0"/>
            </w:tcBorders>
            <w:vAlign w:val="center"/>
          </w:tcPr>
          <w:p>
            <w:pPr>
              <w:spacing w:after="0"/>
              <w:ind w:firstLine="422"/>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二级指标</w:t>
            </w:r>
          </w:p>
        </w:tc>
        <w:tc>
          <w:tcPr>
            <w:tcW w:w="3760" w:type="dxa"/>
            <w:tcBorders>
              <w:top w:val="single" w:color="000000" w:sz="4" w:space="0"/>
              <w:left w:val="single" w:color="000000" w:sz="4" w:space="0"/>
              <w:bottom w:val="single" w:color="000000" w:sz="4" w:space="0"/>
              <w:right w:val="single" w:color="000000" w:sz="4" w:space="0"/>
            </w:tcBorders>
            <w:vAlign w:val="center"/>
          </w:tcPr>
          <w:p>
            <w:pPr>
              <w:spacing w:after="0"/>
              <w:ind w:firstLine="422"/>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三级指标</w:t>
            </w:r>
          </w:p>
        </w:tc>
        <w:tc>
          <w:tcPr>
            <w:tcW w:w="723" w:type="dxa"/>
            <w:tcBorders>
              <w:top w:val="single" w:color="000000" w:sz="4" w:space="0"/>
              <w:left w:val="single" w:color="000000" w:sz="4" w:space="0"/>
              <w:bottom w:val="single" w:color="000000" w:sz="4" w:space="0"/>
              <w:right w:val="single" w:color="000000" w:sz="4" w:space="0"/>
            </w:tcBorders>
            <w:vAlign w:val="center"/>
          </w:tcPr>
          <w:p>
            <w:pPr>
              <w:spacing w:after="0"/>
              <w:ind w:firstLine="422"/>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分数权重</w:t>
            </w:r>
          </w:p>
        </w:tc>
        <w:tc>
          <w:tcPr>
            <w:tcW w:w="1097" w:type="dxa"/>
            <w:tcBorders>
              <w:top w:val="single" w:color="000000" w:sz="4" w:space="0"/>
              <w:left w:val="single" w:color="000000" w:sz="4" w:space="0"/>
              <w:bottom w:val="single" w:color="000000" w:sz="4" w:space="0"/>
              <w:right w:val="single" w:color="000000" w:sz="4" w:space="0"/>
            </w:tcBorders>
            <w:vAlign w:val="center"/>
          </w:tcPr>
          <w:p>
            <w:pPr>
              <w:spacing w:after="0"/>
              <w:ind w:firstLine="422"/>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得分</w:t>
            </w:r>
          </w:p>
        </w:tc>
      </w:tr>
      <w:tr>
        <w:tblPrEx>
          <w:tblCellMar>
            <w:top w:w="15" w:type="dxa"/>
            <w:left w:w="15" w:type="dxa"/>
            <w:bottom w:w="15" w:type="dxa"/>
            <w:right w:w="15" w:type="dxa"/>
          </w:tblCellMar>
        </w:tblPrEx>
        <w:trPr>
          <w:trHeight w:val="521" w:hRule="exact"/>
          <w:jc w:val="center"/>
        </w:trPr>
        <w:tc>
          <w:tcPr>
            <w:tcW w:w="1097" w:type="dxa"/>
            <w:vMerge w:val="restart"/>
            <w:tcBorders>
              <w:top w:val="single" w:color="000000" w:sz="4" w:space="0"/>
              <w:left w:val="single" w:color="000000" w:sz="4" w:space="0"/>
              <w:bottom w:val="single" w:color="000000" w:sz="4" w:space="0"/>
              <w:right w:val="single" w:color="000000" w:sz="4" w:space="0"/>
            </w:tcBorders>
            <w:vAlign w:val="center"/>
          </w:tcPr>
          <w:p>
            <w:pPr>
              <w:spacing w:line="420" w:lineRule="exact"/>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产出</w:t>
            </w:r>
          </w:p>
          <w:p>
            <w:pPr>
              <w:spacing w:line="420" w:lineRule="exact"/>
              <w:ind w:firstLine="420"/>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（25分）</w:t>
            </w:r>
          </w:p>
        </w:tc>
        <w:tc>
          <w:tcPr>
            <w:tcW w:w="992" w:type="dxa"/>
            <w:vMerge w:val="restart"/>
            <w:tcBorders>
              <w:top w:val="single" w:color="000000" w:sz="4" w:space="0"/>
              <w:left w:val="single" w:color="000000" w:sz="4" w:space="0"/>
              <w:right w:val="single" w:color="000000" w:sz="4" w:space="0"/>
            </w:tcBorders>
            <w:vAlign w:val="center"/>
          </w:tcPr>
          <w:p>
            <w:pPr>
              <w:spacing w:line="420" w:lineRule="exact"/>
              <w:ind w:firstLine="420"/>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责任履行（25分）</w:t>
            </w:r>
          </w:p>
        </w:tc>
        <w:tc>
          <w:tcPr>
            <w:tcW w:w="3760" w:type="dxa"/>
            <w:tcBorders>
              <w:top w:val="single" w:color="000000" w:sz="4" w:space="0"/>
              <w:left w:val="single" w:color="000000" w:sz="4" w:space="0"/>
              <w:bottom w:val="single" w:color="000000" w:sz="4" w:space="0"/>
              <w:right w:val="single" w:color="000000" w:sz="4" w:space="0"/>
            </w:tcBorders>
            <w:vAlign w:val="center"/>
          </w:tcPr>
          <w:p>
            <w:pPr>
              <w:spacing w:line="420" w:lineRule="exact"/>
              <w:ind w:firstLine="420"/>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结转结余率</w:t>
            </w:r>
          </w:p>
        </w:tc>
        <w:tc>
          <w:tcPr>
            <w:tcW w:w="723" w:type="dxa"/>
            <w:tcBorders>
              <w:top w:val="single" w:color="000000" w:sz="4" w:space="0"/>
              <w:left w:val="single" w:color="000000" w:sz="4" w:space="0"/>
              <w:bottom w:val="single" w:color="000000" w:sz="4" w:space="0"/>
              <w:right w:val="single" w:color="000000" w:sz="4" w:space="0"/>
            </w:tcBorders>
            <w:vAlign w:val="center"/>
          </w:tcPr>
          <w:p>
            <w:pPr>
              <w:spacing w:line="420" w:lineRule="exact"/>
              <w:ind w:firstLine="420"/>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5</w:t>
            </w:r>
          </w:p>
        </w:tc>
        <w:tc>
          <w:tcPr>
            <w:tcW w:w="1097" w:type="dxa"/>
            <w:tcBorders>
              <w:top w:val="single" w:color="000000" w:sz="4" w:space="0"/>
              <w:left w:val="single" w:color="000000" w:sz="4" w:space="0"/>
              <w:bottom w:val="single" w:color="000000" w:sz="4" w:space="0"/>
              <w:right w:val="single" w:color="000000" w:sz="4" w:space="0"/>
            </w:tcBorders>
            <w:vAlign w:val="center"/>
          </w:tcPr>
          <w:p>
            <w:pPr>
              <w:spacing w:line="420" w:lineRule="exact"/>
              <w:ind w:firstLine="420"/>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5</w:t>
            </w:r>
          </w:p>
        </w:tc>
      </w:tr>
      <w:tr>
        <w:tblPrEx>
          <w:tblCellMar>
            <w:top w:w="15" w:type="dxa"/>
            <w:left w:w="15" w:type="dxa"/>
            <w:bottom w:w="15" w:type="dxa"/>
            <w:right w:w="15" w:type="dxa"/>
          </w:tblCellMar>
        </w:tblPrEx>
        <w:trPr>
          <w:trHeight w:val="521" w:hRule="exact"/>
          <w:jc w:val="center"/>
        </w:trPr>
        <w:tc>
          <w:tcPr>
            <w:vMerge w:val="continue"/>
            <w:tcBorders>
              <w:top w:val="single" w:color="000000" w:sz="4" w:space="0"/>
              <w:left w:val="single" w:color="000000" w:sz="4" w:space="0"/>
              <w:bottom w:val="single" w:color="000000" w:sz="4" w:space="0"/>
              <w:right w:val="single" w:color="000000" w:sz="4" w:space="0"/>
            </w:tcBorders>
          </w:tcPr>
          <w:p/>
        </w:tc>
        <w:tc>
          <w:tcPr>
            <w:vMerge w:val="continue"/>
            <w:tcBorders>
              <w:top w:val="single" w:color="000000" w:sz="4" w:space="0"/>
              <w:left w:val="single" w:color="000000" w:sz="4" w:space="0"/>
              <w:right w:val="single" w:color="000000" w:sz="4" w:space="0"/>
            </w:tcBorders>
          </w:tcPr>
          <w:p/>
        </w:tc>
        <w:tc>
          <w:tcPr>
            <w:tcW w:w="3760" w:type="dxa"/>
            <w:tcBorders>
              <w:top w:val="single" w:color="000000" w:sz="4" w:space="0"/>
              <w:left w:val="single" w:color="000000" w:sz="4" w:space="0"/>
              <w:bottom w:val="single" w:color="000000" w:sz="4" w:space="0"/>
              <w:right w:val="single" w:color="000000" w:sz="4" w:space="0"/>
            </w:tcBorders>
            <w:vAlign w:val="center"/>
          </w:tcPr>
          <w:p>
            <w:pPr>
              <w:spacing w:line="420" w:lineRule="exact"/>
              <w:ind w:firstLine="420"/>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项目资金使用率</w:t>
            </w:r>
          </w:p>
        </w:tc>
        <w:tc>
          <w:tcPr>
            <w:tcW w:w="723" w:type="dxa"/>
            <w:tcBorders>
              <w:top w:val="single" w:color="000000" w:sz="4" w:space="0"/>
              <w:left w:val="single" w:color="000000" w:sz="4" w:space="0"/>
              <w:bottom w:val="single" w:color="000000" w:sz="4" w:space="0"/>
              <w:right w:val="single" w:color="000000" w:sz="4" w:space="0"/>
            </w:tcBorders>
            <w:vAlign w:val="center"/>
          </w:tcPr>
          <w:p>
            <w:pPr>
              <w:spacing w:line="420" w:lineRule="exact"/>
              <w:ind w:firstLine="420"/>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5</w:t>
            </w:r>
          </w:p>
        </w:tc>
        <w:tc>
          <w:tcPr>
            <w:tcW w:w="1097" w:type="dxa"/>
            <w:tcBorders>
              <w:top w:val="single" w:color="000000" w:sz="4" w:space="0"/>
              <w:left w:val="single" w:color="000000" w:sz="4" w:space="0"/>
              <w:bottom w:val="single" w:color="000000" w:sz="4" w:space="0"/>
              <w:right w:val="single" w:color="000000" w:sz="4" w:space="0"/>
            </w:tcBorders>
            <w:vAlign w:val="center"/>
          </w:tcPr>
          <w:p>
            <w:pPr>
              <w:spacing w:line="420" w:lineRule="exact"/>
              <w:ind w:firstLine="420"/>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5</w:t>
            </w:r>
          </w:p>
        </w:tc>
      </w:tr>
      <w:tr>
        <w:tblPrEx>
          <w:tblCellMar>
            <w:top w:w="15" w:type="dxa"/>
            <w:left w:w="15" w:type="dxa"/>
            <w:bottom w:w="15" w:type="dxa"/>
            <w:right w:w="15" w:type="dxa"/>
          </w:tblCellMar>
        </w:tblPrEx>
        <w:trPr>
          <w:trHeight w:val="521" w:hRule="exact"/>
          <w:jc w:val="center"/>
        </w:trPr>
        <w:tc>
          <w:tcPr>
            <w:vMerge w:val="continue"/>
            <w:tcBorders>
              <w:top w:val="single" w:color="000000" w:sz="4" w:space="0"/>
              <w:left w:val="single" w:color="000000" w:sz="4" w:space="0"/>
              <w:bottom w:val="single" w:color="000000" w:sz="4" w:space="0"/>
              <w:right w:val="single" w:color="000000" w:sz="4" w:space="0"/>
            </w:tcBorders>
          </w:tcPr>
          <w:p/>
        </w:tc>
        <w:tc>
          <w:tcPr>
            <w:vMerge w:val="continue"/>
            <w:tcBorders>
              <w:top w:val="single" w:color="000000" w:sz="4" w:space="0"/>
              <w:left w:val="single" w:color="000000" w:sz="4" w:space="0"/>
              <w:right w:val="single" w:color="000000" w:sz="4" w:space="0"/>
            </w:tcBorders>
          </w:tcPr>
          <w:p/>
        </w:tc>
        <w:tc>
          <w:tcPr>
            <w:tcW w:w="3760" w:type="dxa"/>
            <w:tcBorders>
              <w:top w:val="single" w:color="000000" w:sz="4" w:space="0"/>
              <w:left w:val="single" w:color="000000" w:sz="4" w:space="0"/>
              <w:bottom w:val="single" w:color="000000" w:sz="4" w:space="0"/>
              <w:right w:val="single" w:color="000000" w:sz="4" w:space="0"/>
            </w:tcBorders>
            <w:vAlign w:val="center"/>
          </w:tcPr>
          <w:p>
            <w:pPr>
              <w:spacing w:line="420" w:lineRule="exact"/>
              <w:ind w:firstLine="420"/>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政协会议参会率</w:t>
            </w:r>
          </w:p>
        </w:tc>
        <w:tc>
          <w:tcPr>
            <w:tcW w:w="723" w:type="dxa"/>
            <w:tcBorders>
              <w:top w:val="single" w:color="000000" w:sz="4" w:space="0"/>
              <w:left w:val="single" w:color="000000" w:sz="4" w:space="0"/>
              <w:bottom w:val="single" w:color="000000" w:sz="4" w:space="0"/>
              <w:right w:val="single" w:color="000000" w:sz="4" w:space="0"/>
            </w:tcBorders>
            <w:vAlign w:val="center"/>
          </w:tcPr>
          <w:p>
            <w:pPr>
              <w:spacing w:line="420" w:lineRule="exact"/>
              <w:ind w:firstLine="420"/>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5</w:t>
            </w:r>
          </w:p>
        </w:tc>
        <w:tc>
          <w:tcPr>
            <w:tcW w:w="1097" w:type="dxa"/>
            <w:tcBorders>
              <w:top w:val="single" w:color="000000" w:sz="4" w:space="0"/>
              <w:left w:val="single" w:color="000000" w:sz="4" w:space="0"/>
              <w:bottom w:val="single" w:color="000000" w:sz="4" w:space="0"/>
              <w:right w:val="single" w:color="000000" w:sz="4" w:space="0"/>
            </w:tcBorders>
            <w:vAlign w:val="center"/>
          </w:tcPr>
          <w:p>
            <w:pPr>
              <w:spacing w:line="420" w:lineRule="exact"/>
              <w:ind w:firstLine="420"/>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5</w:t>
            </w:r>
          </w:p>
        </w:tc>
      </w:tr>
      <w:tr>
        <w:tblPrEx>
          <w:tblCellMar>
            <w:top w:w="15" w:type="dxa"/>
            <w:left w:w="15" w:type="dxa"/>
            <w:bottom w:w="15" w:type="dxa"/>
            <w:right w:w="15" w:type="dxa"/>
          </w:tblCellMar>
        </w:tblPrEx>
        <w:trPr>
          <w:trHeight w:val="521" w:hRule="exact"/>
          <w:jc w:val="center"/>
        </w:trPr>
        <w:tc>
          <w:tcPr>
            <w:vMerge w:val="continue"/>
            <w:tcBorders>
              <w:top w:val="single" w:color="000000" w:sz="4" w:space="0"/>
              <w:left w:val="single" w:color="000000" w:sz="4" w:space="0"/>
              <w:bottom w:val="single" w:color="000000" w:sz="4" w:space="0"/>
              <w:right w:val="single" w:color="000000" w:sz="4" w:space="0"/>
            </w:tcBorders>
          </w:tcPr>
          <w:p/>
        </w:tc>
        <w:tc>
          <w:tcPr>
            <w:vMerge w:val="continue"/>
            <w:tcBorders>
              <w:top w:val="single" w:color="000000" w:sz="4" w:space="0"/>
              <w:left w:val="single" w:color="000000" w:sz="4" w:space="0"/>
              <w:right w:val="single" w:color="000000" w:sz="4" w:space="0"/>
            </w:tcBorders>
          </w:tcPr>
          <w:p/>
        </w:tc>
        <w:tc>
          <w:tcPr>
            <w:tcW w:w="3760" w:type="dxa"/>
            <w:tcBorders>
              <w:top w:val="single" w:color="000000" w:sz="4" w:space="0"/>
              <w:left w:val="single" w:color="000000" w:sz="4" w:space="0"/>
              <w:bottom w:val="single" w:color="000000" w:sz="4" w:space="0"/>
              <w:right w:val="single" w:color="000000" w:sz="4" w:space="0"/>
            </w:tcBorders>
            <w:vAlign w:val="center"/>
          </w:tcPr>
          <w:p>
            <w:pPr>
              <w:spacing w:line="420" w:lineRule="exact"/>
              <w:ind w:firstLine="420"/>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报刊征订数量</w:t>
            </w:r>
          </w:p>
        </w:tc>
        <w:tc>
          <w:tcPr>
            <w:tcW w:w="723" w:type="dxa"/>
            <w:tcBorders>
              <w:top w:val="single" w:color="000000" w:sz="4" w:space="0"/>
              <w:left w:val="single" w:color="000000" w:sz="4" w:space="0"/>
              <w:bottom w:val="single" w:color="000000" w:sz="4" w:space="0"/>
              <w:right w:val="single" w:color="000000" w:sz="4" w:space="0"/>
            </w:tcBorders>
            <w:vAlign w:val="center"/>
          </w:tcPr>
          <w:p>
            <w:pPr>
              <w:spacing w:line="420" w:lineRule="exact"/>
              <w:ind w:firstLine="420"/>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5</w:t>
            </w:r>
          </w:p>
        </w:tc>
        <w:tc>
          <w:tcPr>
            <w:tcW w:w="1097" w:type="dxa"/>
            <w:tcBorders>
              <w:top w:val="single" w:color="000000" w:sz="4" w:space="0"/>
              <w:left w:val="single" w:color="000000" w:sz="4" w:space="0"/>
              <w:bottom w:val="single" w:color="000000" w:sz="4" w:space="0"/>
              <w:right w:val="single" w:color="000000" w:sz="4" w:space="0"/>
            </w:tcBorders>
            <w:vAlign w:val="center"/>
          </w:tcPr>
          <w:p>
            <w:pPr>
              <w:spacing w:line="420" w:lineRule="exact"/>
              <w:ind w:firstLine="420"/>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5</w:t>
            </w:r>
          </w:p>
        </w:tc>
      </w:tr>
      <w:tr>
        <w:tblPrEx>
          <w:tblCellMar>
            <w:top w:w="15" w:type="dxa"/>
            <w:left w:w="15" w:type="dxa"/>
            <w:bottom w:w="15" w:type="dxa"/>
            <w:right w:w="15" w:type="dxa"/>
          </w:tblCellMar>
        </w:tblPrEx>
        <w:trPr>
          <w:trHeight w:val="521" w:hRule="exact"/>
          <w:jc w:val="center"/>
        </w:trPr>
        <w:tc>
          <w:tcPr>
            <w:vMerge w:val="continue"/>
            <w:tcBorders>
              <w:top w:val="single" w:color="000000" w:sz="4" w:space="0"/>
              <w:left w:val="single" w:color="000000" w:sz="4" w:space="0"/>
              <w:bottom w:val="single" w:color="000000" w:sz="4" w:space="0"/>
              <w:right w:val="single" w:color="000000" w:sz="4" w:space="0"/>
            </w:tcBorders>
          </w:tcPr>
          <w:p/>
        </w:tc>
        <w:tc>
          <w:tcPr>
            <w:vMerge w:val="continue"/>
            <w:tcBorders>
              <w:top w:val="single" w:color="000000" w:sz="4" w:space="0"/>
              <w:left w:val="single" w:color="000000" w:sz="4" w:space="0"/>
              <w:right w:val="single" w:color="000000" w:sz="4" w:space="0"/>
            </w:tcBorders>
          </w:tcPr>
          <w:p/>
        </w:tc>
        <w:tc>
          <w:tcPr>
            <w:tcW w:w="3760" w:type="dxa"/>
            <w:tcBorders>
              <w:top w:val="single" w:color="000000" w:sz="4" w:space="0"/>
              <w:left w:val="single" w:color="000000" w:sz="4" w:space="0"/>
              <w:bottom w:val="single" w:color="000000" w:sz="4" w:space="0"/>
              <w:right w:val="single" w:color="000000" w:sz="4" w:space="0"/>
            </w:tcBorders>
            <w:vAlign w:val="center"/>
          </w:tcPr>
          <w:p>
            <w:pPr>
              <w:spacing w:line="420" w:lineRule="exact"/>
              <w:ind w:firstLine="420"/>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视察调研次数</w:t>
            </w:r>
          </w:p>
        </w:tc>
        <w:tc>
          <w:tcPr>
            <w:tcW w:w="723" w:type="dxa"/>
            <w:tcBorders>
              <w:top w:val="single" w:color="000000" w:sz="4" w:space="0"/>
              <w:left w:val="single" w:color="000000" w:sz="4" w:space="0"/>
              <w:bottom w:val="single" w:color="000000" w:sz="4" w:space="0"/>
              <w:right w:val="single" w:color="000000" w:sz="4" w:space="0"/>
            </w:tcBorders>
            <w:vAlign w:val="center"/>
          </w:tcPr>
          <w:p>
            <w:pPr>
              <w:spacing w:line="420" w:lineRule="exact"/>
              <w:ind w:firstLine="420"/>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5</w:t>
            </w:r>
          </w:p>
        </w:tc>
        <w:tc>
          <w:tcPr>
            <w:tcW w:w="1097" w:type="dxa"/>
            <w:tcBorders>
              <w:top w:val="single" w:color="000000" w:sz="4" w:space="0"/>
              <w:left w:val="single" w:color="000000" w:sz="4" w:space="0"/>
              <w:bottom w:val="single" w:color="000000" w:sz="4" w:space="0"/>
              <w:right w:val="single" w:color="000000" w:sz="4" w:space="0"/>
            </w:tcBorders>
            <w:vAlign w:val="center"/>
          </w:tcPr>
          <w:p>
            <w:pPr>
              <w:spacing w:line="420" w:lineRule="exact"/>
              <w:ind w:firstLine="420"/>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5</w:t>
            </w:r>
          </w:p>
        </w:tc>
      </w:tr>
      <w:tr>
        <w:tblPrEx>
          <w:tblCellMar>
            <w:top w:w="15" w:type="dxa"/>
            <w:left w:w="15" w:type="dxa"/>
            <w:bottom w:w="15" w:type="dxa"/>
            <w:right w:w="15" w:type="dxa"/>
          </w:tblCellMar>
        </w:tblPrEx>
        <w:trPr>
          <w:trHeight w:val="521" w:hRule="exact"/>
          <w:jc w:val="center"/>
        </w:trPr>
        <w:tc>
          <w:tcPr>
            <w:tcW w:w="2089" w:type="dxa"/>
            <w:gridSpan w:val="2"/>
            <w:tcBorders>
              <w:top w:val="single" w:color="000000" w:sz="4" w:space="0"/>
              <w:left w:val="single" w:color="000000" w:sz="4" w:space="0"/>
              <w:bottom w:val="single" w:color="000000" w:sz="4" w:space="0"/>
              <w:right w:val="single" w:color="000000" w:sz="4" w:space="0"/>
            </w:tcBorders>
            <w:vAlign w:val="center"/>
          </w:tcPr>
          <w:p>
            <w:pPr>
              <w:spacing w:line="420" w:lineRule="exact"/>
              <w:ind w:firstLine="420"/>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合计</w:t>
            </w:r>
          </w:p>
        </w:tc>
        <w:tc>
          <w:tcPr>
            <w:tcW w:w="3760" w:type="dxa"/>
            <w:tcBorders>
              <w:top w:val="single" w:color="000000" w:sz="4" w:space="0"/>
              <w:left w:val="single" w:color="000000" w:sz="4" w:space="0"/>
              <w:bottom w:val="single" w:color="000000" w:sz="4" w:space="0"/>
              <w:right w:val="single" w:color="000000" w:sz="4" w:space="0"/>
            </w:tcBorders>
            <w:vAlign w:val="center"/>
          </w:tcPr>
          <w:p>
            <w:pPr>
              <w:spacing w:line="420" w:lineRule="exact"/>
              <w:ind w:firstLine="420"/>
              <w:jc w:val="center"/>
              <w:rPr>
                <w:rFonts w:cs="宋体" w:asciiTheme="minorEastAsia" w:hAnsiTheme="minorEastAsia" w:eastAsiaTheme="minorEastAsia"/>
                <w:color w:val="000000"/>
                <w:sz w:val="21"/>
                <w:szCs w:val="21"/>
              </w:rPr>
            </w:pPr>
          </w:p>
        </w:tc>
        <w:tc>
          <w:tcPr>
            <w:tcW w:w="723" w:type="dxa"/>
            <w:tcBorders>
              <w:top w:val="single" w:color="000000" w:sz="4" w:space="0"/>
              <w:left w:val="single" w:color="000000" w:sz="4" w:space="0"/>
              <w:bottom w:val="single" w:color="000000" w:sz="4" w:space="0"/>
              <w:right w:val="single" w:color="000000" w:sz="4" w:space="0"/>
            </w:tcBorders>
            <w:vAlign w:val="center"/>
          </w:tcPr>
          <w:p>
            <w:pPr>
              <w:spacing w:line="420" w:lineRule="exact"/>
              <w:ind w:firstLine="420"/>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25</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20" w:lineRule="exact"/>
              <w:ind w:firstLine="420"/>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25</w:t>
            </w:r>
          </w:p>
        </w:tc>
      </w:tr>
    </w:tbl>
    <w:p>
      <w:pPr>
        <w:spacing w:after="0" w:line="360" w:lineRule="auto"/>
        <w:ind w:firstLine="640"/>
        <w:jc w:val="both"/>
        <w:textAlignment w:val="baseline"/>
        <w:rPr>
          <w:rFonts w:ascii="仿宋_GB2312" w:eastAsia="仿宋_GB2312" w:cs="DengXian-Regular"/>
          <w:color w:val="000000"/>
          <w:sz w:val="32"/>
          <w:szCs w:val="32"/>
        </w:rPr>
      </w:pPr>
      <w:bookmarkStart w:id="64" w:name="_Toc465149515"/>
      <w:bookmarkStart w:id="65" w:name="_Toc464638518"/>
      <w:r>
        <w:rPr>
          <w:rFonts w:hint="eastAsia" w:ascii="仿宋_GB2312" w:eastAsia="仿宋_GB2312" w:cs="DengXian-Regular"/>
          <w:color w:val="000000"/>
          <w:sz w:val="32"/>
          <w:szCs w:val="32"/>
        </w:rPr>
        <w:t>1.结转结余率（5分）</w:t>
      </w:r>
    </w:p>
    <w:p>
      <w:pPr>
        <w:spacing w:after="0" w:line="360" w:lineRule="auto"/>
        <w:ind w:firstLine="640"/>
        <w:jc w:val="both"/>
        <w:textAlignment w:val="baseline"/>
        <w:rPr>
          <w:rFonts w:ascii="仿宋_GB2312" w:eastAsia="仿宋_GB2312" w:cs="DengXian-Regular"/>
          <w:color w:val="000000"/>
          <w:sz w:val="32"/>
          <w:szCs w:val="32"/>
        </w:rPr>
      </w:pPr>
      <w:r>
        <w:rPr>
          <w:rFonts w:hint="eastAsia" w:ascii="仿宋_GB2312" w:eastAsia="仿宋_GB2312" w:cs="DengXian-Regular"/>
          <w:color w:val="000000"/>
          <w:sz w:val="32"/>
          <w:szCs w:val="32"/>
        </w:rPr>
        <w:t>该指标主要评价部门的结转结余情况，通过结转结余率衡量。</w:t>
      </w:r>
    </w:p>
    <w:p>
      <w:pPr>
        <w:spacing w:after="0" w:line="360" w:lineRule="auto"/>
        <w:ind w:firstLine="640"/>
        <w:jc w:val="both"/>
        <w:textAlignment w:val="baseline"/>
        <w:rPr>
          <w:rFonts w:ascii="仿宋_GB2312" w:eastAsia="仿宋_GB2312" w:cs="DengXian-Regular"/>
          <w:color w:val="000000"/>
          <w:sz w:val="32"/>
          <w:szCs w:val="32"/>
        </w:rPr>
      </w:pPr>
      <w:r>
        <w:rPr>
          <w:rFonts w:hint="eastAsia" w:ascii="仿宋_GB2312" w:eastAsia="仿宋_GB2312" w:cs="DengXian-Regular"/>
          <w:color w:val="000000"/>
          <w:sz w:val="32"/>
          <w:szCs w:val="32"/>
        </w:rPr>
        <w:t>结转结余率=（本年结转结余数/决算收入数）*100%。</w:t>
      </w:r>
    </w:p>
    <w:p>
      <w:pPr>
        <w:spacing w:after="0" w:line="360" w:lineRule="auto"/>
        <w:ind w:firstLine="640"/>
        <w:jc w:val="both"/>
        <w:textAlignment w:val="baseline"/>
        <w:rPr>
          <w:rFonts w:ascii="仿宋_GB2312" w:eastAsia="仿宋_GB2312" w:cs="DengXian-Regular"/>
          <w:color w:val="000000"/>
          <w:sz w:val="32"/>
          <w:szCs w:val="32"/>
        </w:rPr>
      </w:pPr>
      <w:r>
        <w:rPr>
          <w:rFonts w:hint="eastAsia" w:ascii="仿宋_GB2312" w:eastAsia="仿宋_GB2312" w:cs="DengXian-Regular"/>
          <w:color w:val="000000"/>
          <w:sz w:val="32"/>
          <w:szCs w:val="32"/>
        </w:rPr>
        <w:t>根据中国人民政治协商会议保定市徐水区委员会办公室2019年决算文本及相关资料，中国人民政治协商会议保定市徐水区委员会办公室2019年结转结余资金3.55万元，决算收入476.80万元，结转结余率</w:t>
      </w:r>
      <w:r>
        <w:rPr>
          <w:rFonts w:ascii="仿宋_GB2312" w:eastAsia="仿宋_GB2312" w:cs="DengXian-Regular"/>
          <w:color w:val="000000"/>
          <w:sz w:val="32"/>
          <w:szCs w:val="32"/>
        </w:rPr>
        <w:t>0.</w:t>
      </w:r>
      <w:r>
        <w:rPr>
          <w:rFonts w:hint="eastAsia" w:ascii="仿宋_GB2312" w:eastAsia="仿宋_GB2312" w:cs="DengXian-Regular"/>
          <w:color w:val="000000"/>
          <w:sz w:val="32"/>
          <w:szCs w:val="32"/>
        </w:rPr>
        <w:t>74%，小于5%。</w:t>
      </w:r>
    </w:p>
    <w:p>
      <w:pPr>
        <w:spacing w:after="0" w:line="360" w:lineRule="auto"/>
        <w:ind w:firstLine="640"/>
        <w:jc w:val="both"/>
        <w:textAlignment w:val="baseline"/>
        <w:rPr>
          <w:rFonts w:ascii="仿宋_GB2312" w:eastAsia="仿宋_GB2312" w:cs="DengXian-Regular"/>
          <w:color w:val="000000"/>
          <w:sz w:val="32"/>
          <w:szCs w:val="32"/>
        </w:rPr>
      </w:pPr>
      <w:r>
        <w:rPr>
          <w:rFonts w:hint="eastAsia" w:ascii="仿宋_GB2312" w:eastAsia="仿宋_GB2312" w:cs="DengXian-Regular"/>
          <w:color w:val="000000"/>
          <w:sz w:val="32"/>
          <w:szCs w:val="32"/>
        </w:rPr>
        <w:t>该项指标实际得分</w:t>
      </w:r>
      <w:r>
        <w:rPr>
          <w:rFonts w:ascii="仿宋_GB2312" w:eastAsia="仿宋_GB2312" w:cs="DengXian-Regular"/>
          <w:color w:val="000000"/>
          <w:sz w:val="32"/>
          <w:szCs w:val="32"/>
        </w:rPr>
        <w:t>5</w:t>
      </w:r>
      <w:r>
        <w:rPr>
          <w:rFonts w:hint="eastAsia" w:ascii="仿宋_GB2312" w:eastAsia="仿宋_GB2312" w:cs="DengXian-Regular"/>
          <w:color w:val="000000"/>
          <w:sz w:val="32"/>
          <w:szCs w:val="32"/>
        </w:rPr>
        <w:t>分。</w:t>
      </w:r>
    </w:p>
    <w:p>
      <w:pPr>
        <w:spacing w:after="0" w:line="360" w:lineRule="auto"/>
        <w:ind w:firstLine="640"/>
        <w:jc w:val="both"/>
        <w:textAlignment w:val="baseline"/>
        <w:rPr>
          <w:rFonts w:ascii="仿宋_GB2312" w:eastAsia="仿宋_GB2312" w:cs="DengXian-Regular"/>
          <w:color w:val="000000"/>
          <w:sz w:val="32"/>
          <w:szCs w:val="32"/>
        </w:rPr>
      </w:pPr>
      <w:r>
        <w:rPr>
          <w:rFonts w:hint="eastAsia" w:ascii="仿宋_GB2312" w:eastAsia="仿宋_GB2312" w:cs="DengXian-Regular"/>
          <w:color w:val="000000"/>
          <w:sz w:val="32"/>
          <w:szCs w:val="32"/>
        </w:rPr>
        <w:t>2.项目资金使用率（5分）</w:t>
      </w:r>
    </w:p>
    <w:p>
      <w:pPr>
        <w:spacing w:after="0" w:line="360" w:lineRule="auto"/>
        <w:ind w:firstLine="64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该指标主要评价项目资金的使用效率，通过项目资金使用率来衡量。</w:t>
      </w:r>
    </w:p>
    <w:p>
      <w:pPr>
        <w:spacing w:after="0" w:line="360" w:lineRule="auto"/>
        <w:ind w:firstLine="640"/>
        <w:jc w:val="both"/>
        <w:textAlignment w:val="baseline"/>
        <w:rPr>
          <w:rFonts w:ascii="仿宋_GB2312" w:eastAsia="仿宋_GB2312" w:cs="DengXian-Regular"/>
          <w:sz w:val="32"/>
          <w:szCs w:val="32"/>
        </w:rPr>
      </w:pPr>
      <w:r>
        <w:rPr>
          <w:rFonts w:hint="eastAsia" w:ascii="仿宋_GB2312" w:eastAsia="仿宋_GB2312" w:cs="DengXian-Regular"/>
          <w:sz w:val="32"/>
          <w:szCs w:val="32"/>
        </w:rPr>
        <w:t>项目资金使用率=（实际支出项目资金总额/计划完整项目资金总数）*100%。</w:t>
      </w:r>
    </w:p>
    <w:p>
      <w:pPr>
        <w:spacing w:after="0" w:line="360" w:lineRule="auto"/>
        <w:ind w:firstLine="640"/>
        <w:jc w:val="both"/>
        <w:textAlignment w:val="baseline"/>
        <w:rPr>
          <w:rFonts w:ascii="仿宋_GB2312" w:eastAsia="仿宋_GB2312" w:cs="DengXian-Regular"/>
          <w:sz w:val="32"/>
          <w:szCs w:val="32"/>
        </w:rPr>
      </w:pPr>
      <w:r>
        <w:rPr>
          <w:rFonts w:hint="eastAsia" w:ascii="仿宋_GB2312" w:eastAsia="仿宋_GB2312" w:cs="DengXian-Regular"/>
          <w:sz w:val="32"/>
          <w:szCs w:val="32"/>
        </w:rPr>
        <w:t>中国人民政治协商会议保定市徐水区委员会办公室2019年实际支出项目资金总额55.47万元，年初预算共5个项目，预算数63.52万元，项目资金使用率为(55.47/63.52）*100</w:t>
      </w:r>
      <w:r>
        <w:rPr>
          <w:rFonts w:ascii="仿宋_GB2312" w:eastAsia="仿宋_GB2312" w:cs="DengXian-Regular"/>
          <w:sz w:val="32"/>
          <w:szCs w:val="32"/>
        </w:rPr>
        <w:t>%=</w:t>
      </w:r>
      <w:r>
        <w:rPr>
          <w:rFonts w:hint="eastAsia" w:ascii="仿宋_GB2312" w:eastAsia="仿宋_GB2312" w:cs="DengXian-Regular"/>
          <w:sz w:val="32"/>
          <w:szCs w:val="32"/>
        </w:rPr>
        <w:t>87.33%。</w:t>
      </w:r>
    </w:p>
    <w:p>
      <w:pPr>
        <w:spacing w:after="0" w:line="360" w:lineRule="auto"/>
        <w:ind w:firstLine="64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ascii="仿宋_GB2312" w:eastAsia="仿宋_GB2312" w:cs="DengXian-Regular"/>
          <w:sz w:val="32"/>
          <w:szCs w:val="32"/>
        </w:rPr>
        <w:t>5</w:t>
      </w:r>
      <w:r>
        <w:rPr>
          <w:rFonts w:hint="eastAsia" w:ascii="仿宋_GB2312" w:eastAsia="仿宋_GB2312" w:cs="DengXian-Regular"/>
          <w:sz w:val="32"/>
          <w:szCs w:val="32"/>
        </w:rPr>
        <w:t>分。</w:t>
      </w:r>
    </w:p>
    <w:p>
      <w:pPr>
        <w:spacing w:after="0" w:line="360" w:lineRule="auto"/>
        <w:ind w:firstLine="640"/>
        <w:jc w:val="both"/>
        <w:textAlignment w:val="baseline"/>
        <w:rPr>
          <w:rFonts w:ascii="仿宋_GB2312" w:eastAsia="仿宋_GB2312" w:cs="DengXian-Regular"/>
          <w:sz w:val="32"/>
          <w:szCs w:val="32"/>
        </w:rPr>
      </w:pPr>
      <w:r>
        <w:rPr>
          <w:rFonts w:hint="eastAsia" w:ascii="仿宋_GB2312" w:eastAsia="仿宋_GB2312" w:cs="DengXian-Regular"/>
          <w:sz w:val="32"/>
          <w:szCs w:val="32"/>
        </w:rPr>
        <w:t>3.政协委员参会率人数（</w:t>
      </w:r>
      <w:r>
        <w:rPr>
          <w:rFonts w:ascii="仿宋_GB2312" w:eastAsia="仿宋_GB2312" w:cs="DengXian-Regular"/>
          <w:sz w:val="32"/>
          <w:szCs w:val="32"/>
        </w:rPr>
        <w:t>5</w:t>
      </w:r>
      <w:r>
        <w:rPr>
          <w:rFonts w:hint="eastAsia" w:ascii="仿宋_GB2312" w:eastAsia="仿宋_GB2312" w:cs="DengXian-Regular"/>
          <w:sz w:val="32"/>
          <w:szCs w:val="32"/>
        </w:rPr>
        <w:t>分）</w:t>
      </w:r>
    </w:p>
    <w:p>
      <w:pPr>
        <w:spacing w:after="0" w:line="360" w:lineRule="auto"/>
        <w:ind w:firstLine="64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该指标主要评价政协会议职责活动产出情况，通过政协会议参会</w:t>
      </w:r>
      <w:r>
        <w:rPr>
          <w:rFonts w:ascii="仿宋_GB2312" w:eastAsia="仿宋_GB2312" w:cs="DengXian-Regular"/>
          <w:sz w:val="32"/>
          <w:szCs w:val="32"/>
        </w:rPr>
        <w:t>人数</w:t>
      </w:r>
      <w:r>
        <w:rPr>
          <w:rFonts w:hint="eastAsia" w:ascii="仿宋_GB2312" w:eastAsia="仿宋_GB2312" w:cs="DengXian-Regular"/>
          <w:sz w:val="32"/>
          <w:szCs w:val="32"/>
        </w:rPr>
        <w:t>衡量。</w:t>
      </w:r>
    </w:p>
    <w:p>
      <w:pPr>
        <w:spacing w:after="0" w:line="360" w:lineRule="auto"/>
        <w:ind w:firstLine="640"/>
        <w:jc w:val="both"/>
        <w:textAlignment w:val="baseline"/>
        <w:rPr>
          <w:rFonts w:ascii="仿宋_GB2312" w:eastAsia="仿宋_GB2312" w:cs="DengXian-Regular"/>
          <w:sz w:val="32"/>
          <w:szCs w:val="32"/>
        </w:rPr>
      </w:pPr>
      <w:r>
        <w:rPr>
          <w:rFonts w:hint="eastAsia" w:ascii="仿宋_GB2312" w:eastAsia="仿宋_GB2312" w:cs="DengXian-Regular"/>
          <w:sz w:val="32"/>
          <w:szCs w:val="32"/>
        </w:rPr>
        <w:t>中国人民政治协商会议保定市徐水区委员会2019年政协委员人数243人</w:t>
      </w:r>
      <w:r>
        <w:rPr>
          <w:rFonts w:ascii="仿宋_GB2312" w:eastAsia="仿宋_GB2312" w:cs="DengXian-Regular"/>
          <w:sz w:val="32"/>
          <w:szCs w:val="32"/>
        </w:rPr>
        <w:t>，</w:t>
      </w:r>
      <w:r>
        <w:rPr>
          <w:rFonts w:hint="eastAsia" w:ascii="仿宋_GB2312" w:eastAsia="仿宋_GB2312" w:cs="DengXian-Regular"/>
          <w:sz w:val="32"/>
          <w:szCs w:val="32"/>
        </w:rPr>
        <w:t>参会人数大于230人，</w:t>
      </w:r>
      <w:r>
        <w:rPr>
          <w:rFonts w:ascii="仿宋_GB2312" w:eastAsia="仿宋_GB2312" w:cs="DengXian-Regular"/>
          <w:sz w:val="32"/>
          <w:szCs w:val="32"/>
        </w:rPr>
        <w:t>评价等级为</w:t>
      </w:r>
      <w:r>
        <w:rPr>
          <w:rFonts w:hint="eastAsia" w:ascii="仿宋_GB2312" w:eastAsia="仿宋_GB2312" w:cs="DengXian-Regular"/>
          <w:sz w:val="32"/>
          <w:szCs w:val="32"/>
        </w:rPr>
        <w:t>“优”。</w:t>
      </w:r>
    </w:p>
    <w:p>
      <w:pPr>
        <w:spacing w:after="0" w:line="360" w:lineRule="auto"/>
        <w:ind w:firstLine="64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ascii="仿宋_GB2312" w:eastAsia="仿宋_GB2312" w:cs="DengXian-Regular"/>
          <w:sz w:val="32"/>
          <w:szCs w:val="32"/>
        </w:rPr>
        <w:t>5</w:t>
      </w:r>
      <w:r>
        <w:rPr>
          <w:rFonts w:hint="eastAsia" w:ascii="仿宋_GB2312" w:eastAsia="仿宋_GB2312" w:cs="DengXian-Regular"/>
          <w:sz w:val="32"/>
          <w:szCs w:val="32"/>
        </w:rPr>
        <w:t>分。</w:t>
      </w:r>
    </w:p>
    <w:p>
      <w:pPr>
        <w:jc w:val="both"/>
        <w:rPr>
          <w:rFonts w:ascii="宋体" w:hAnsi="宋体" w:eastAsia="宋体" w:cs="宋体"/>
          <w:sz w:val="16"/>
          <w:szCs w:val="16"/>
        </w:rPr>
      </w:pPr>
      <w:r>
        <w:rPr>
          <w:rFonts w:hint="eastAsia" w:ascii="仿宋_GB2312" w:eastAsia="仿宋_GB2312" w:cs="DengXian-Regular"/>
          <w:sz w:val="32"/>
          <w:szCs w:val="32"/>
        </w:rPr>
        <w:t>4.</w:t>
      </w:r>
      <w:r>
        <w:rPr>
          <w:rFonts w:hint="eastAsia" w:ascii="仿宋" w:hAnsi="仿宋" w:eastAsia="仿宋" w:cs="宋体"/>
          <w:sz w:val="32"/>
          <w:szCs w:val="32"/>
        </w:rPr>
        <w:t>政协委员报刊征订数量</w:t>
      </w:r>
      <w:r>
        <w:rPr>
          <w:rFonts w:hint="eastAsia" w:ascii="仿宋_GB2312" w:eastAsia="仿宋_GB2312" w:cs="DengXian-Regular"/>
          <w:sz w:val="32"/>
          <w:szCs w:val="32"/>
        </w:rPr>
        <w:t>(5分）</w:t>
      </w:r>
    </w:p>
    <w:p>
      <w:pPr>
        <w:spacing w:after="0" w:line="360" w:lineRule="auto"/>
        <w:ind w:firstLine="64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该指标主要评价综合事务管理职责活动的产出结果，通过政协委员报刊征订数量衡量。</w:t>
      </w:r>
    </w:p>
    <w:p>
      <w:pPr>
        <w:spacing w:after="0" w:line="360" w:lineRule="auto"/>
        <w:ind w:firstLine="640"/>
        <w:jc w:val="both"/>
        <w:textAlignment w:val="baseline"/>
        <w:rPr>
          <w:rFonts w:ascii="仿宋_GB2312" w:eastAsia="仿宋_GB2312" w:cs="DengXian-Regular"/>
          <w:sz w:val="32"/>
          <w:szCs w:val="32"/>
        </w:rPr>
      </w:pPr>
      <w:r>
        <w:rPr>
          <w:rFonts w:hint="eastAsia" w:ascii="仿宋_GB2312" w:eastAsia="仿宋_GB2312" w:cs="DengXian-Regular"/>
          <w:sz w:val="32"/>
          <w:szCs w:val="32"/>
        </w:rPr>
        <w:t>政协委员报刊征订数量</w:t>
      </w:r>
      <w:r>
        <w:rPr>
          <w:rFonts w:ascii="仿宋_GB2312" w:eastAsia="仿宋_GB2312" w:cs="DengXian-Regular"/>
          <w:sz w:val="32"/>
          <w:szCs w:val="32"/>
        </w:rPr>
        <w:t>=</w:t>
      </w:r>
      <w:r>
        <w:rPr>
          <w:rFonts w:hint="eastAsia" w:ascii="仿宋_GB2312" w:eastAsia="仿宋_GB2312" w:cs="DengXian-Regular"/>
          <w:sz w:val="32"/>
          <w:szCs w:val="32"/>
        </w:rPr>
        <w:t>政协委员报刊征订数量/征订数量</w:t>
      </w:r>
      <w:r>
        <w:rPr>
          <w:rFonts w:ascii="仿宋_GB2312" w:eastAsia="仿宋_GB2312" w:cs="DengXian-Regular"/>
          <w:sz w:val="32"/>
          <w:szCs w:val="32"/>
        </w:rPr>
        <w:t>人数</w:t>
      </w:r>
      <w:r>
        <w:rPr>
          <w:rFonts w:hint="eastAsia" w:ascii="仿宋_GB2312" w:eastAsia="仿宋_GB2312" w:cs="DengXian-Regular"/>
          <w:sz w:val="32"/>
          <w:szCs w:val="32"/>
        </w:rPr>
        <w:t>*100</w:t>
      </w:r>
      <w:r>
        <w:rPr>
          <w:rFonts w:ascii="仿宋_GB2312" w:eastAsia="仿宋_GB2312" w:cs="DengXian-Regular"/>
          <w:sz w:val="32"/>
          <w:szCs w:val="32"/>
        </w:rPr>
        <w:t>%</w:t>
      </w:r>
    </w:p>
    <w:p>
      <w:pPr>
        <w:spacing w:after="0" w:line="360" w:lineRule="auto"/>
        <w:ind w:firstLine="640"/>
        <w:jc w:val="both"/>
        <w:textAlignment w:val="baseline"/>
        <w:rPr>
          <w:rFonts w:ascii="仿宋_GB2312" w:eastAsia="仿宋_GB2312" w:cs="DengXian-Regular"/>
          <w:sz w:val="32"/>
          <w:szCs w:val="32"/>
        </w:rPr>
      </w:pPr>
      <w:r>
        <w:rPr>
          <w:rFonts w:hint="eastAsia" w:ascii="仿宋_GB2312" w:eastAsia="仿宋_GB2312" w:cs="DengXian-Regular"/>
          <w:sz w:val="32"/>
          <w:szCs w:val="32"/>
        </w:rPr>
        <w:t>区政协201</w:t>
      </w:r>
      <w:r>
        <w:rPr>
          <w:rFonts w:ascii="仿宋_GB2312" w:eastAsia="仿宋_GB2312" w:cs="DengXian-Regular"/>
          <w:sz w:val="32"/>
          <w:szCs w:val="32"/>
        </w:rPr>
        <w:t>9</w:t>
      </w:r>
      <w:r>
        <w:rPr>
          <w:rFonts w:hint="eastAsia" w:ascii="仿宋_GB2312" w:eastAsia="仿宋_GB2312" w:cs="DengXian-Regular"/>
          <w:sz w:val="32"/>
          <w:szCs w:val="32"/>
        </w:rPr>
        <w:t>年度政协委员报刊征订数量</w:t>
      </w:r>
      <w:r>
        <w:rPr>
          <w:rFonts w:ascii="仿宋_GB2312" w:eastAsia="仿宋_GB2312" w:cs="DengXian-Regular"/>
          <w:sz w:val="32"/>
          <w:szCs w:val="32"/>
        </w:rPr>
        <w:t>为</w:t>
      </w:r>
      <w:r>
        <w:rPr>
          <w:rFonts w:hint="eastAsia" w:ascii="仿宋_GB2312" w:eastAsia="仿宋_GB2312" w:cs="DengXian-Regular"/>
          <w:sz w:val="32"/>
          <w:szCs w:val="32"/>
        </w:rPr>
        <w:t>43</w:t>
      </w:r>
      <w:r>
        <w:rPr>
          <w:rFonts w:ascii="仿宋_GB2312" w:eastAsia="仿宋_GB2312" w:cs="DengXian-Regular"/>
          <w:sz w:val="32"/>
          <w:szCs w:val="32"/>
        </w:rPr>
        <w:t>，符合条件人数为</w:t>
      </w:r>
      <w:r>
        <w:rPr>
          <w:rFonts w:hint="eastAsia" w:ascii="仿宋_GB2312" w:eastAsia="仿宋_GB2312" w:cs="DengXian-Regular"/>
          <w:sz w:val="32"/>
          <w:szCs w:val="32"/>
        </w:rPr>
        <w:t>43人</w:t>
      </w:r>
      <w:r>
        <w:rPr>
          <w:rFonts w:ascii="仿宋_GB2312" w:eastAsia="仿宋_GB2312" w:cs="DengXian-Regular"/>
          <w:sz w:val="32"/>
          <w:szCs w:val="32"/>
        </w:rPr>
        <w:t>，</w:t>
      </w:r>
      <w:r>
        <w:rPr>
          <w:rFonts w:hint="eastAsia" w:ascii="仿宋_GB2312" w:eastAsia="仿宋_GB2312" w:cs="DengXian-Regular"/>
          <w:sz w:val="32"/>
          <w:szCs w:val="32"/>
        </w:rPr>
        <w:t>征订数100</w:t>
      </w:r>
      <w:r>
        <w:rPr>
          <w:rFonts w:ascii="仿宋_GB2312" w:eastAsia="仿宋_GB2312" w:cs="DengXian-Regular"/>
          <w:sz w:val="32"/>
          <w:szCs w:val="32"/>
        </w:rPr>
        <w:t>%，大于</w:t>
      </w:r>
      <w:r>
        <w:rPr>
          <w:rFonts w:hint="eastAsia" w:ascii="仿宋_GB2312" w:eastAsia="仿宋_GB2312" w:cs="DengXian-Regular"/>
          <w:sz w:val="32"/>
          <w:szCs w:val="32"/>
        </w:rPr>
        <w:t>95</w:t>
      </w:r>
      <w:r>
        <w:rPr>
          <w:rFonts w:ascii="仿宋_GB2312" w:eastAsia="仿宋_GB2312" w:cs="DengXian-Regular"/>
          <w:sz w:val="32"/>
          <w:szCs w:val="32"/>
        </w:rPr>
        <w:t>%</w:t>
      </w:r>
      <w:r>
        <w:rPr>
          <w:rFonts w:hint="eastAsia" w:ascii="仿宋_GB2312" w:eastAsia="仿宋_GB2312" w:cs="DengXian-Regular"/>
          <w:sz w:val="32"/>
          <w:szCs w:val="32"/>
        </w:rPr>
        <w:t>，评价等级为“优”。</w:t>
      </w:r>
    </w:p>
    <w:p>
      <w:pPr>
        <w:spacing w:after="0" w:line="360" w:lineRule="auto"/>
        <w:ind w:firstLine="64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该指标实际得分5分。</w:t>
      </w:r>
    </w:p>
    <w:p>
      <w:pPr>
        <w:spacing w:after="0" w:line="360" w:lineRule="auto"/>
        <w:ind w:firstLine="640"/>
        <w:jc w:val="both"/>
        <w:textAlignment w:val="baseline"/>
        <w:rPr>
          <w:rFonts w:ascii="仿宋_GB2312" w:eastAsia="仿宋_GB2312" w:cs="DengXian-Regular"/>
          <w:sz w:val="32"/>
          <w:szCs w:val="32"/>
        </w:rPr>
      </w:pPr>
      <w:r>
        <w:rPr>
          <w:rFonts w:hint="eastAsia" w:ascii="仿宋_GB2312" w:eastAsia="仿宋_GB2312" w:cs="DengXian-Regular"/>
          <w:sz w:val="32"/>
          <w:szCs w:val="32"/>
        </w:rPr>
        <w:t>5.选取政协委员提案展开视察调研（</w:t>
      </w:r>
      <w:r>
        <w:rPr>
          <w:rFonts w:ascii="仿宋_GB2312" w:eastAsia="仿宋_GB2312" w:cs="DengXian-Regular"/>
          <w:sz w:val="32"/>
          <w:szCs w:val="32"/>
        </w:rPr>
        <w:t>5</w:t>
      </w:r>
      <w:r>
        <w:rPr>
          <w:rFonts w:hint="eastAsia" w:ascii="仿宋_GB2312" w:eastAsia="仿宋_GB2312" w:cs="DengXian-Regular"/>
          <w:sz w:val="32"/>
          <w:szCs w:val="32"/>
        </w:rPr>
        <w:t>分）</w:t>
      </w:r>
    </w:p>
    <w:p>
      <w:pPr>
        <w:spacing w:after="0" w:line="360" w:lineRule="auto"/>
        <w:ind w:firstLine="64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该指标主要评价专题调研活动职责活动产出结果，通过对选取政协委员提案展开视察调研</w:t>
      </w:r>
      <w:r>
        <w:rPr>
          <w:rFonts w:ascii="仿宋_GB2312" w:eastAsia="仿宋_GB2312" w:cs="DengXian-Regular"/>
          <w:sz w:val="32"/>
          <w:szCs w:val="32"/>
        </w:rPr>
        <w:t>来</w:t>
      </w:r>
      <w:r>
        <w:rPr>
          <w:rFonts w:hint="eastAsia" w:ascii="仿宋_GB2312" w:eastAsia="仿宋_GB2312" w:cs="DengXian-Regular"/>
          <w:sz w:val="32"/>
          <w:szCs w:val="32"/>
        </w:rPr>
        <w:t>衡量。</w:t>
      </w:r>
    </w:p>
    <w:p>
      <w:pPr>
        <w:spacing w:after="0" w:line="360" w:lineRule="auto"/>
        <w:ind w:firstLine="640"/>
        <w:jc w:val="both"/>
        <w:textAlignment w:val="baseline"/>
        <w:rPr>
          <w:rFonts w:ascii="仿宋_GB2312" w:eastAsia="仿宋_GB2312" w:cs="DengXian-Regular"/>
          <w:sz w:val="32"/>
          <w:szCs w:val="32"/>
        </w:rPr>
      </w:pPr>
      <w:r>
        <w:rPr>
          <w:rFonts w:hint="eastAsia" w:ascii="仿宋_GB2312" w:eastAsia="仿宋_GB2312" w:cs="DengXian-Regular"/>
          <w:sz w:val="32"/>
          <w:szCs w:val="32"/>
        </w:rPr>
        <w:t>区政协2019年组织调研4次，大于等于4次，评价等级为“优”,3次</w:t>
      </w:r>
      <w:r>
        <w:rPr>
          <w:rFonts w:ascii="仿宋_GB2312" w:eastAsia="仿宋_GB2312" w:cs="DengXian-Regular"/>
          <w:sz w:val="32"/>
          <w:szCs w:val="32"/>
        </w:rPr>
        <w:t>为</w:t>
      </w:r>
      <w:r>
        <w:rPr>
          <w:rFonts w:hint="eastAsia" w:ascii="仿宋_GB2312" w:eastAsia="仿宋_GB2312" w:cs="DengXian-Regular"/>
          <w:sz w:val="32"/>
          <w:szCs w:val="32"/>
        </w:rPr>
        <w:t>“良”。</w:t>
      </w:r>
    </w:p>
    <w:p>
      <w:pPr>
        <w:spacing w:after="0" w:line="360" w:lineRule="auto"/>
        <w:ind w:firstLine="64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ascii="仿宋_GB2312" w:eastAsia="仿宋_GB2312" w:cs="DengXian-Regular"/>
          <w:sz w:val="32"/>
          <w:szCs w:val="32"/>
        </w:rPr>
        <w:t>5</w:t>
      </w:r>
      <w:r>
        <w:rPr>
          <w:rFonts w:hint="eastAsia" w:ascii="仿宋_GB2312" w:eastAsia="仿宋_GB2312" w:cs="DengXian-Regular"/>
          <w:sz w:val="32"/>
          <w:szCs w:val="32"/>
        </w:rPr>
        <w:t>分。</w:t>
      </w:r>
    </w:p>
    <w:p>
      <w:pPr>
        <w:pStyle w:val="4"/>
        <w:spacing w:before="0" w:after="0"/>
        <w:ind w:firstLine="643"/>
        <w:jc w:val="both"/>
        <w:rPr>
          <w:rFonts w:ascii="楷体" w:hAnsi="楷体" w:eastAsia="楷体"/>
          <w:sz w:val="32"/>
        </w:rPr>
      </w:pPr>
      <w:bookmarkStart w:id="66" w:name="_Toc57553872"/>
      <w:r>
        <w:rPr>
          <w:rFonts w:hint="eastAsia" w:ascii="楷体" w:hAnsi="楷体" w:eastAsia="楷体"/>
          <w:sz w:val="32"/>
        </w:rPr>
        <w:t>（四）效果</w:t>
      </w:r>
      <w:bookmarkEnd w:id="64"/>
      <w:bookmarkEnd w:id="65"/>
      <w:r>
        <w:rPr>
          <w:rFonts w:hint="eastAsia" w:ascii="楷体" w:hAnsi="楷体" w:eastAsia="楷体"/>
          <w:sz w:val="32"/>
        </w:rPr>
        <w:t>（15分）</w:t>
      </w:r>
      <w:bookmarkEnd w:id="66"/>
    </w:p>
    <w:p>
      <w:pPr>
        <w:spacing w:after="0" w:line="360" w:lineRule="auto"/>
        <w:ind w:firstLine="640"/>
        <w:jc w:val="both"/>
        <w:textAlignment w:val="baseline"/>
        <w:rPr>
          <w:rFonts w:ascii="仿宋_GB2312" w:eastAsia="仿宋_GB2312" w:cs="DengXian-Regular"/>
          <w:sz w:val="32"/>
          <w:szCs w:val="32"/>
        </w:rPr>
      </w:pPr>
      <w:bookmarkStart w:id="67" w:name="_Toc464638520"/>
      <w:r>
        <w:rPr>
          <w:rFonts w:hint="eastAsia" w:ascii="仿宋_GB2312" w:eastAsia="仿宋_GB2312" w:cs="DengXian-Regular"/>
          <w:sz w:val="32"/>
          <w:szCs w:val="32"/>
        </w:rPr>
        <w:t>该一级指标包含履职效益一个二级指标。主要反映部门履行职责对社会发展所带来的直接或间接效益及社会公众或部门的服务对象对部门履职效果的满意程度。</w:t>
      </w:r>
    </w:p>
    <w:p>
      <w:pPr>
        <w:spacing w:after="0" w:line="360" w:lineRule="auto"/>
        <w:ind w:firstLine="643"/>
        <w:jc w:val="center"/>
        <w:textAlignment w:val="baseline"/>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表5  效果指标及得分情况表</w:t>
      </w:r>
    </w:p>
    <w:tbl>
      <w:tblPr>
        <w:tblStyle w:val="9"/>
        <w:tblW w:w="6998" w:type="dxa"/>
        <w:jc w:val="center"/>
        <w:tblLayout w:type="fixed"/>
        <w:tblCellMar>
          <w:top w:w="15" w:type="dxa"/>
          <w:left w:w="15" w:type="dxa"/>
          <w:bottom w:w="15" w:type="dxa"/>
          <w:right w:w="15" w:type="dxa"/>
        </w:tblCellMar>
      </w:tblPr>
      <w:tblGrid>
        <w:gridCol w:w="1468"/>
        <w:gridCol w:w="1419"/>
        <w:gridCol w:w="1866"/>
        <w:gridCol w:w="1200"/>
        <w:gridCol w:w="1045"/>
      </w:tblGrid>
      <w:tr>
        <w:tblPrEx>
          <w:tblCellMar>
            <w:top w:w="15" w:type="dxa"/>
            <w:left w:w="15" w:type="dxa"/>
            <w:bottom w:w="15" w:type="dxa"/>
            <w:right w:w="15" w:type="dxa"/>
          </w:tblCellMar>
        </w:tblPrEx>
        <w:trPr>
          <w:trHeight w:val="397" w:hRule="exact"/>
          <w:jc w:val="center"/>
        </w:trPr>
        <w:tc>
          <w:tcPr>
            <w:tcW w:w="1468" w:type="dxa"/>
            <w:tcBorders>
              <w:top w:val="single" w:color="000000" w:sz="4" w:space="0"/>
              <w:left w:val="single" w:color="000000" w:sz="4" w:space="0"/>
              <w:bottom w:val="single" w:color="000000" w:sz="4" w:space="0"/>
              <w:right w:val="single" w:color="000000" w:sz="4" w:space="0"/>
            </w:tcBorders>
            <w:vAlign w:val="center"/>
          </w:tcPr>
          <w:p>
            <w:pPr>
              <w:spacing w:after="0"/>
              <w:ind w:firstLine="422"/>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一级指标</w:t>
            </w:r>
          </w:p>
        </w:tc>
        <w:tc>
          <w:tcPr>
            <w:tcW w:w="1419" w:type="dxa"/>
            <w:tcBorders>
              <w:top w:val="single" w:color="000000" w:sz="4" w:space="0"/>
              <w:left w:val="single" w:color="000000" w:sz="4" w:space="0"/>
              <w:bottom w:val="single" w:color="000000" w:sz="4" w:space="0"/>
              <w:right w:val="single" w:color="000000" w:sz="4" w:space="0"/>
            </w:tcBorders>
            <w:vAlign w:val="center"/>
          </w:tcPr>
          <w:p>
            <w:pPr>
              <w:spacing w:after="0"/>
              <w:ind w:firstLine="422"/>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二级指标</w:t>
            </w:r>
          </w:p>
        </w:tc>
        <w:tc>
          <w:tcPr>
            <w:tcW w:w="1866" w:type="dxa"/>
            <w:tcBorders>
              <w:top w:val="single" w:color="000000" w:sz="4" w:space="0"/>
              <w:left w:val="single" w:color="000000" w:sz="4" w:space="0"/>
              <w:bottom w:val="single" w:color="000000" w:sz="4" w:space="0"/>
              <w:right w:val="single" w:color="000000" w:sz="4" w:space="0"/>
            </w:tcBorders>
            <w:vAlign w:val="center"/>
          </w:tcPr>
          <w:p>
            <w:pPr>
              <w:spacing w:after="0"/>
              <w:ind w:firstLine="422"/>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三级指标</w:t>
            </w:r>
          </w:p>
        </w:tc>
        <w:tc>
          <w:tcPr>
            <w:tcW w:w="1200" w:type="dxa"/>
            <w:tcBorders>
              <w:top w:val="single" w:color="000000" w:sz="4" w:space="0"/>
              <w:left w:val="single" w:color="000000" w:sz="4" w:space="0"/>
              <w:bottom w:val="single" w:color="000000" w:sz="4" w:space="0"/>
              <w:right w:val="single" w:color="000000" w:sz="4" w:space="0"/>
            </w:tcBorders>
            <w:vAlign w:val="center"/>
          </w:tcPr>
          <w:p>
            <w:pPr>
              <w:spacing w:after="0"/>
              <w:ind w:firstLine="422"/>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分数权重</w:t>
            </w:r>
          </w:p>
        </w:tc>
        <w:tc>
          <w:tcPr>
            <w:tcW w:w="1045" w:type="dxa"/>
            <w:tcBorders>
              <w:top w:val="single" w:color="000000" w:sz="4" w:space="0"/>
              <w:left w:val="single" w:color="000000" w:sz="4" w:space="0"/>
              <w:bottom w:val="single" w:color="000000" w:sz="4" w:space="0"/>
              <w:right w:val="single" w:color="000000" w:sz="4" w:space="0"/>
            </w:tcBorders>
            <w:vAlign w:val="center"/>
          </w:tcPr>
          <w:p>
            <w:pPr>
              <w:spacing w:after="0"/>
              <w:ind w:firstLine="422"/>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得分</w:t>
            </w:r>
          </w:p>
        </w:tc>
      </w:tr>
      <w:tr>
        <w:tblPrEx>
          <w:tblCellMar>
            <w:top w:w="15" w:type="dxa"/>
            <w:left w:w="15" w:type="dxa"/>
            <w:bottom w:w="15" w:type="dxa"/>
            <w:right w:w="15" w:type="dxa"/>
          </w:tblCellMar>
        </w:tblPrEx>
        <w:trPr>
          <w:trHeight w:val="397" w:hRule="exact"/>
          <w:jc w:val="center"/>
        </w:trPr>
        <w:tc>
          <w:tcPr>
            <w:tcW w:w="1468" w:type="dxa"/>
            <w:vMerge w:val="restart"/>
            <w:tcBorders>
              <w:top w:val="single" w:color="000000" w:sz="4" w:space="0"/>
              <w:left w:val="single" w:color="000000" w:sz="4" w:space="0"/>
              <w:bottom w:val="single" w:color="000000" w:sz="4" w:space="0"/>
              <w:right w:val="single" w:color="000000" w:sz="4" w:space="0"/>
            </w:tcBorders>
            <w:vAlign w:val="center"/>
          </w:tcPr>
          <w:p>
            <w:pPr>
              <w:spacing w:after="0" w:line="420" w:lineRule="exact"/>
              <w:ind w:firstLine="42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项目效果</w:t>
            </w:r>
          </w:p>
          <w:p>
            <w:pPr>
              <w:spacing w:after="0" w:line="420" w:lineRule="exact"/>
              <w:ind w:firstLine="42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（15分）</w:t>
            </w:r>
          </w:p>
        </w:tc>
        <w:tc>
          <w:tcPr>
            <w:tcW w:w="1419" w:type="dxa"/>
            <w:vMerge w:val="restart"/>
            <w:tcBorders>
              <w:top w:val="single" w:color="000000" w:sz="4" w:space="0"/>
              <w:left w:val="single" w:color="000000" w:sz="4" w:space="0"/>
              <w:bottom w:val="single" w:color="000000" w:sz="4" w:space="0"/>
              <w:right w:val="single" w:color="000000" w:sz="4" w:space="0"/>
            </w:tcBorders>
            <w:vAlign w:val="center"/>
          </w:tcPr>
          <w:p>
            <w:pPr>
              <w:spacing w:after="0" w:line="420" w:lineRule="exact"/>
              <w:ind w:firstLine="42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履职效益</w:t>
            </w:r>
          </w:p>
          <w:p>
            <w:pPr>
              <w:spacing w:after="0" w:line="420" w:lineRule="exact"/>
              <w:ind w:firstLine="42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（15分）</w:t>
            </w:r>
          </w:p>
        </w:tc>
        <w:tc>
          <w:tcPr>
            <w:tcW w:w="1866" w:type="dxa"/>
            <w:tcBorders>
              <w:top w:val="single" w:color="000000" w:sz="4" w:space="0"/>
              <w:left w:val="single" w:color="000000" w:sz="4" w:space="0"/>
              <w:bottom w:val="single" w:color="000000" w:sz="4" w:space="0"/>
              <w:right w:val="single" w:color="000000" w:sz="4" w:space="0"/>
            </w:tcBorders>
            <w:vAlign w:val="center"/>
          </w:tcPr>
          <w:p>
            <w:pPr>
              <w:spacing w:line="420" w:lineRule="exact"/>
              <w:ind w:firstLine="42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部门整体效益</w:t>
            </w:r>
          </w:p>
        </w:tc>
        <w:tc>
          <w:tcPr>
            <w:tcW w:w="1200" w:type="dxa"/>
            <w:tcBorders>
              <w:top w:val="single" w:color="000000" w:sz="4" w:space="0"/>
              <w:left w:val="single" w:color="000000" w:sz="4" w:space="0"/>
              <w:bottom w:val="single" w:color="000000" w:sz="4" w:space="0"/>
              <w:right w:val="single" w:color="000000" w:sz="4" w:space="0"/>
            </w:tcBorders>
            <w:vAlign w:val="center"/>
          </w:tcPr>
          <w:p>
            <w:pPr>
              <w:spacing w:line="420" w:lineRule="exact"/>
              <w:ind w:firstLine="42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10</w:t>
            </w:r>
          </w:p>
        </w:tc>
        <w:tc>
          <w:tcPr>
            <w:tcW w:w="1045" w:type="dxa"/>
            <w:tcBorders>
              <w:top w:val="single" w:color="000000" w:sz="4" w:space="0"/>
              <w:left w:val="single" w:color="000000" w:sz="4" w:space="0"/>
              <w:bottom w:val="single" w:color="000000" w:sz="4" w:space="0"/>
              <w:right w:val="single" w:color="000000" w:sz="4" w:space="0"/>
            </w:tcBorders>
            <w:vAlign w:val="center"/>
          </w:tcPr>
          <w:p>
            <w:pPr>
              <w:spacing w:line="420" w:lineRule="exact"/>
              <w:ind w:firstLine="42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10</w:t>
            </w:r>
          </w:p>
        </w:tc>
      </w:tr>
      <w:tr>
        <w:tblPrEx>
          <w:tblCellMar>
            <w:top w:w="15" w:type="dxa"/>
            <w:left w:w="15" w:type="dxa"/>
            <w:bottom w:w="15" w:type="dxa"/>
            <w:right w:w="15" w:type="dxa"/>
          </w:tblCellMar>
        </w:tblPrEx>
        <w:trPr>
          <w:trHeight w:val="397" w:hRule="exact"/>
          <w:jc w:val="center"/>
        </w:trPr>
        <w:tc>
          <w:tcPr>
            <w:vMerge w:val="continue"/>
            <w:tcBorders>
              <w:top w:val="single" w:color="000000" w:sz="4" w:space="0"/>
              <w:left w:val="single" w:color="000000" w:sz="4" w:space="0"/>
              <w:bottom w:val="single" w:color="000000" w:sz="4" w:space="0"/>
              <w:right w:val="single" w:color="000000" w:sz="4" w:space="0"/>
            </w:tcBorders>
          </w:tcPr>
          <w:p/>
        </w:tc>
        <w:tc>
          <w:tcPr>
            <w:vMerge w:val="continue"/>
            <w:tcBorders>
              <w:top w:val="single" w:color="000000" w:sz="4" w:space="0"/>
              <w:left w:val="single" w:color="000000" w:sz="4" w:space="0"/>
              <w:bottom w:val="single" w:color="000000" w:sz="4" w:space="0"/>
              <w:right w:val="single" w:color="000000" w:sz="4" w:space="0"/>
            </w:tcBorders>
          </w:tcPr>
          <w:p/>
        </w:tc>
        <w:tc>
          <w:tcPr>
            <w:tcW w:w="1866" w:type="dxa"/>
            <w:tcBorders>
              <w:top w:val="single" w:color="000000" w:sz="4" w:space="0"/>
              <w:left w:val="single" w:color="000000" w:sz="4" w:space="0"/>
              <w:bottom w:val="single" w:color="000000" w:sz="4" w:space="0"/>
              <w:right w:val="single" w:color="000000" w:sz="4" w:space="0"/>
            </w:tcBorders>
            <w:vAlign w:val="center"/>
          </w:tcPr>
          <w:p>
            <w:pPr>
              <w:spacing w:line="420" w:lineRule="exact"/>
              <w:ind w:firstLine="42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考评满意度</w:t>
            </w:r>
          </w:p>
        </w:tc>
        <w:tc>
          <w:tcPr>
            <w:tcW w:w="1200" w:type="dxa"/>
            <w:tcBorders>
              <w:top w:val="single" w:color="000000" w:sz="4" w:space="0"/>
              <w:left w:val="single" w:color="000000" w:sz="4" w:space="0"/>
              <w:bottom w:val="single" w:color="000000" w:sz="4" w:space="0"/>
              <w:right w:val="single" w:color="000000" w:sz="4" w:space="0"/>
            </w:tcBorders>
            <w:vAlign w:val="center"/>
          </w:tcPr>
          <w:p>
            <w:pPr>
              <w:spacing w:line="420" w:lineRule="exact"/>
              <w:ind w:firstLine="42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w:t>
            </w:r>
          </w:p>
        </w:tc>
        <w:tc>
          <w:tcPr>
            <w:tcW w:w="1045" w:type="dxa"/>
            <w:tcBorders>
              <w:top w:val="single" w:color="000000" w:sz="4" w:space="0"/>
              <w:left w:val="single" w:color="000000" w:sz="4" w:space="0"/>
              <w:bottom w:val="single" w:color="000000" w:sz="4" w:space="0"/>
              <w:right w:val="single" w:color="000000" w:sz="4" w:space="0"/>
            </w:tcBorders>
            <w:vAlign w:val="center"/>
          </w:tcPr>
          <w:p>
            <w:pPr>
              <w:spacing w:line="420" w:lineRule="exact"/>
              <w:ind w:firstLine="42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w:t>
            </w:r>
          </w:p>
        </w:tc>
      </w:tr>
      <w:tr>
        <w:tblPrEx>
          <w:tblCellMar>
            <w:top w:w="15" w:type="dxa"/>
            <w:left w:w="15" w:type="dxa"/>
            <w:bottom w:w="15" w:type="dxa"/>
            <w:right w:w="15" w:type="dxa"/>
          </w:tblCellMar>
        </w:tblPrEx>
        <w:trPr>
          <w:trHeight w:val="397" w:hRule="exact"/>
          <w:jc w:val="center"/>
        </w:trPr>
        <w:tc>
          <w:tcPr>
            <w:tcW w:w="2887" w:type="dxa"/>
            <w:gridSpan w:val="2"/>
            <w:tcBorders>
              <w:top w:val="single" w:color="000000" w:sz="4" w:space="0"/>
              <w:left w:val="single" w:color="000000" w:sz="4" w:space="0"/>
              <w:bottom w:val="single" w:color="000000" w:sz="4" w:space="0"/>
              <w:right w:val="single" w:color="000000" w:sz="4" w:space="0"/>
            </w:tcBorders>
            <w:vAlign w:val="center"/>
          </w:tcPr>
          <w:p>
            <w:pPr>
              <w:spacing w:line="420" w:lineRule="exact"/>
              <w:ind w:firstLine="42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合计</w:t>
            </w:r>
          </w:p>
        </w:tc>
        <w:tc>
          <w:tcPr>
            <w:tcW w:w="1866" w:type="dxa"/>
            <w:tcBorders>
              <w:top w:val="single" w:color="000000" w:sz="4" w:space="0"/>
              <w:left w:val="single" w:color="000000" w:sz="4" w:space="0"/>
              <w:bottom w:val="single" w:color="000000" w:sz="4" w:space="0"/>
              <w:right w:val="single" w:color="000000" w:sz="4" w:space="0"/>
            </w:tcBorders>
            <w:vAlign w:val="center"/>
          </w:tcPr>
          <w:p>
            <w:pPr>
              <w:spacing w:line="420" w:lineRule="exact"/>
              <w:ind w:firstLine="420"/>
              <w:rPr>
                <w:rFonts w:cs="宋体" w:asciiTheme="minorEastAsia" w:hAnsiTheme="minorEastAsia" w:eastAsiaTheme="minorEastAsia"/>
                <w:sz w:val="21"/>
                <w:szCs w:val="21"/>
              </w:rPr>
            </w:pPr>
          </w:p>
        </w:tc>
        <w:tc>
          <w:tcPr>
            <w:tcW w:w="1200" w:type="dxa"/>
            <w:tcBorders>
              <w:top w:val="single" w:color="000000" w:sz="4" w:space="0"/>
              <w:left w:val="single" w:color="000000" w:sz="4" w:space="0"/>
              <w:bottom w:val="single" w:color="000000" w:sz="4" w:space="0"/>
              <w:right w:val="single" w:color="000000" w:sz="4" w:space="0"/>
            </w:tcBorders>
            <w:vAlign w:val="center"/>
          </w:tcPr>
          <w:p>
            <w:pPr>
              <w:spacing w:line="420" w:lineRule="exact"/>
              <w:ind w:firstLine="42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15</w:t>
            </w:r>
          </w:p>
        </w:tc>
        <w:tc>
          <w:tcPr>
            <w:tcW w:w="1045" w:type="dxa"/>
            <w:tcBorders>
              <w:top w:val="single" w:color="000000" w:sz="4" w:space="0"/>
              <w:left w:val="single" w:color="000000" w:sz="4" w:space="0"/>
              <w:bottom w:val="single" w:color="000000" w:sz="4" w:space="0"/>
              <w:right w:val="single" w:color="000000" w:sz="4" w:space="0"/>
            </w:tcBorders>
            <w:vAlign w:val="center"/>
          </w:tcPr>
          <w:p>
            <w:pPr>
              <w:spacing w:line="420" w:lineRule="exact"/>
              <w:ind w:firstLine="42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15</w:t>
            </w:r>
          </w:p>
        </w:tc>
      </w:tr>
      <w:bookmarkEnd w:id="67"/>
    </w:tbl>
    <w:p>
      <w:pPr>
        <w:spacing w:after="0" w:line="360" w:lineRule="auto"/>
        <w:ind w:firstLine="640"/>
        <w:jc w:val="both"/>
        <w:textAlignment w:val="baseline"/>
        <w:rPr>
          <w:rFonts w:ascii="仿宋_GB2312" w:eastAsia="仿宋_GB2312" w:cs="DengXian-Regular"/>
          <w:sz w:val="32"/>
          <w:szCs w:val="32"/>
        </w:rPr>
      </w:pPr>
      <w:bookmarkStart w:id="68" w:name="_Toc464638561"/>
      <w:bookmarkStart w:id="69" w:name="_Toc492652784"/>
      <w:bookmarkStart w:id="70" w:name="_Toc465149516"/>
    </w:p>
    <w:p>
      <w:pPr>
        <w:spacing w:after="0" w:line="360" w:lineRule="auto"/>
        <w:ind w:firstLine="640"/>
        <w:jc w:val="both"/>
        <w:textAlignment w:val="baseline"/>
        <w:rPr>
          <w:rFonts w:ascii="仿宋_GB2312" w:eastAsia="仿宋_GB2312" w:cs="DengXian-Regular"/>
          <w:sz w:val="32"/>
          <w:szCs w:val="32"/>
        </w:rPr>
      </w:pPr>
      <w:r>
        <w:rPr>
          <w:rFonts w:hint="eastAsia" w:ascii="仿宋_GB2312" w:eastAsia="仿宋_GB2312" w:cs="DengXian-Regular"/>
          <w:sz w:val="32"/>
          <w:szCs w:val="32"/>
        </w:rPr>
        <w:t>1.部门整体效益（10分）</w:t>
      </w:r>
    </w:p>
    <w:p>
      <w:pPr>
        <w:spacing w:after="0" w:line="360" w:lineRule="auto"/>
        <w:ind w:firstLine="64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该指标主要评价部门履行职责对社会发展所带来的直接或间接效益。</w:t>
      </w:r>
    </w:p>
    <w:p>
      <w:pPr>
        <w:spacing w:after="0" w:line="360" w:lineRule="auto"/>
        <w:ind w:firstLine="640"/>
        <w:jc w:val="both"/>
        <w:textAlignment w:val="baseline"/>
        <w:rPr>
          <w:rFonts w:ascii="仿宋_GB2312" w:eastAsia="仿宋_GB2312" w:cs="DengXian-Regular"/>
          <w:sz w:val="32"/>
          <w:szCs w:val="32"/>
        </w:rPr>
      </w:pPr>
      <w:r>
        <w:rPr>
          <w:rFonts w:hint="eastAsia" w:ascii="仿宋_GB2312" w:eastAsia="仿宋_GB2312" w:cs="DengXian-Regular"/>
          <w:sz w:val="32"/>
          <w:szCs w:val="32"/>
        </w:rPr>
        <w:t>经查看中国人民政治协商会议保定市徐水区委员会提供的相关资料，中国人民政治协商会议保定市徐水区委员会履行职责对社会发展所带来的社会效益较显著，有效的提高了社会公众的政治意识，减少了社会不安定因素。</w:t>
      </w:r>
    </w:p>
    <w:p>
      <w:pPr>
        <w:spacing w:after="0" w:line="360" w:lineRule="auto"/>
        <w:ind w:firstLine="640"/>
        <w:jc w:val="both"/>
        <w:textAlignment w:val="baseline"/>
        <w:rPr>
          <w:rFonts w:ascii="仿宋_GB2312" w:eastAsia="仿宋_GB2312" w:cs="DengXian-Regular"/>
          <w:sz w:val="32"/>
          <w:szCs w:val="32"/>
        </w:rPr>
      </w:pPr>
      <w:r>
        <w:rPr>
          <w:rFonts w:hint="eastAsia" w:ascii="仿宋_GB2312" w:eastAsia="仿宋_GB2312" w:cs="DengXian-Regular"/>
          <w:sz w:val="32"/>
          <w:szCs w:val="32"/>
        </w:rPr>
        <w:t>该项指标实际得分</w:t>
      </w:r>
      <w:r>
        <w:rPr>
          <w:rFonts w:ascii="仿宋_GB2312" w:eastAsia="仿宋_GB2312" w:cs="DengXian-Regular"/>
          <w:sz w:val="32"/>
          <w:szCs w:val="32"/>
        </w:rPr>
        <w:t>10</w:t>
      </w:r>
      <w:r>
        <w:rPr>
          <w:rFonts w:hint="eastAsia" w:ascii="仿宋_GB2312" w:eastAsia="仿宋_GB2312" w:cs="DengXian-Regular"/>
          <w:sz w:val="32"/>
          <w:szCs w:val="32"/>
        </w:rPr>
        <w:t>分。</w:t>
      </w:r>
    </w:p>
    <w:p>
      <w:pPr>
        <w:spacing w:after="0" w:line="360" w:lineRule="auto"/>
        <w:ind w:firstLine="640"/>
        <w:jc w:val="both"/>
        <w:textAlignment w:val="baseline"/>
        <w:rPr>
          <w:rFonts w:ascii="仿宋_GB2312" w:eastAsia="仿宋_GB2312" w:cs="DengXian-Regular"/>
          <w:sz w:val="32"/>
          <w:szCs w:val="32"/>
        </w:rPr>
      </w:pPr>
      <w:r>
        <w:rPr>
          <w:rFonts w:hint="eastAsia" w:ascii="仿宋_GB2312" w:eastAsia="仿宋_GB2312" w:cs="DengXian-Regular"/>
          <w:sz w:val="32"/>
          <w:szCs w:val="32"/>
        </w:rPr>
        <w:t>2.考评满意度（5分）</w:t>
      </w:r>
    </w:p>
    <w:p>
      <w:pPr>
        <w:spacing w:after="0" w:line="360" w:lineRule="auto"/>
        <w:ind w:firstLine="64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该指标主要评价社会公众或部门的服务对象对部门履职效果的满意程度。</w:t>
      </w:r>
    </w:p>
    <w:p>
      <w:pPr>
        <w:spacing w:after="0" w:line="360" w:lineRule="auto"/>
        <w:ind w:firstLine="64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针对该指标，我们随机选取了50个调查对象进行了问卷调查，具体调查情况如下：</w:t>
      </w:r>
    </w:p>
    <w:p>
      <w:pPr>
        <w:spacing w:after="0" w:line="360" w:lineRule="auto"/>
        <w:ind w:firstLine="643"/>
        <w:jc w:val="center"/>
        <w:textAlignment w:val="baseline"/>
        <w:rPr>
          <w:rFonts w:asciiTheme="minorEastAsia" w:hAnsiTheme="minorEastAsia" w:eastAsiaTheme="minorEastAsia" w:cstheme="minorEastAsia"/>
          <w:b/>
          <w:bCs/>
          <w:sz w:val="32"/>
          <w:szCs w:val="32"/>
          <w:u w:color="000000"/>
        </w:rPr>
      </w:pPr>
      <w:r>
        <w:rPr>
          <w:rFonts w:hint="eastAsia" w:asciiTheme="minorEastAsia" w:hAnsiTheme="minorEastAsia" w:eastAsiaTheme="minorEastAsia" w:cstheme="minorEastAsia"/>
          <w:b/>
          <w:bCs/>
          <w:sz w:val="32"/>
          <w:szCs w:val="32"/>
          <w:u w:color="000000"/>
        </w:rPr>
        <w:t>表6  服务对象满意度调查问卷汇总表</w:t>
      </w:r>
    </w:p>
    <w:p>
      <w:pPr>
        <w:spacing w:after="0" w:line="540" w:lineRule="exact"/>
        <w:ind w:firstLine="6930"/>
        <w:jc w:val="both"/>
        <w:textAlignment w:val="baseline"/>
        <w:rPr>
          <w:rFonts w:ascii="仿宋_GB2312" w:eastAsia="仿宋_GB2312" w:cs="Times New Roman" w:hAnsiTheme="minorEastAsia"/>
          <w:sz w:val="32"/>
          <w:szCs w:val="32"/>
          <w:u w:color="000000"/>
        </w:rPr>
      </w:pPr>
      <w:r>
        <w:rPr>
          <w:rFonts w:hint="eastAsia" w:asciiTheme="minorEastAsia" w:hAnsiTheme="minorEastAsia" w:eastAsiaTheme="minorEastAsia" w:cstheme="minorEastAsia"/>
          <w:sz w:val="21"/>
          <w:szCs w:val="21"/>
          <w:u w:color="000000"/>
        </w:rPr>
        <w:t>单位：人次</w:t>
      </w:r>
    </w:p>
    <w:tbl>
      <w:tblPr>
        <w:tblStyle w:val="9"/>
        <w:tblW w:w="8520" w:type="dxa"/>
        <w:tblInd w:w="0" w:type="dxa"/>
        <w:tblLayout w:type="fixed"/>
        <w:tblCellMar>
          <w:top w:w="15" w:type="dxa"/>
          <w:left w:w="15" w:type="dxa"/>
          <w:bottom w:w="15" w:type="dxa"/>
          <w:right w:w="15" w:type="dxa"/>
        </w:tblCellMar>
      </w:tblPr>
      <w:tblGrid>
        <w:gridCol w:w="3559"/>
        <w:gridCol w:w="992"/>
        <w:gridCol w:w="851"/>
        <w:gridCol w:w="898"/>
        <w:gridCol w:w="803"/>
        <w:gridCol w:w="1417"/>
      </w:tblGrid>
      <w:tr>
        <w:tblPrEx>
          <w:tblCellMar>
            <w:top w:w="15" w:type="dxa"/>
            <w:left w:w="15" w:type="dxa"/>
            <w:bottom w:w="15" w:type="dxa"/>
            <w:right w:w="15" w:type="dxa"/>
          </w:tblCellMar>
        </w:tblPrEx>
        <w:trPr>
          <w:trHeight w:val="525" w:hRule="atLeast"/>
        </w:trPr>
        <w:tc>
          <w:tcPr>
            <w:tcW w:w="3559" w:type="dxa"/>
            <w:tcBorders>
              <w:top w:val="single" w:color="auto" w:sz="4" w:space="0"/>
              <w:left w:val="single" w:color="auto" w:sz="4" w:space="0"/>
              <w:bottom w:val="single" w:color="auto" w:sz="4" w:space="0"/>
              <w:right w:val="single" w:color="auto" w:sz="4" w:space="0"/>
            </w:tcBorders>
            <w:vAlign w:val="center"/>
          </w:tcPr>
          <w:p>
            <w:pPr>
              <w:spacing w:after="0" w:line="540" w:lineRule="exact"/>
              <w:ind w:firstLine="422"/>
              <w:jc w:val="center"/>
              <w:textAlignment w:val="baseline"/>
              <w:rPr>
                <w:rFonts w:cs="Times New Roman" w:asciiTheme="minorEastAsia" w:hAnsiTheme="minorEastAsia" w:eastAsiaTheme="minorEastAsia"/>
                <w:b/>
                <w:bCs/>
                <w:sz w:val="21"/>
                <w:szCs w:val="21"/>
                <w:u w:color="000000"/>
              </w:rPr>
            </w:pPr>
            <w:r>
              <w:rPr>
                <w:rFonts w:hint="eastAsia" w:cs="Times New Roman" w:asciiTheme="minorEastAsia" w:hAnsiTheme="minorEastAsia" w:eastAsiaTheme="minorEastAsia"/>
                <w:b/>
                <w:bCs/>
                <w:sz w:val="21"/>
                <w:szCs w:val="21"/>
                <w:u w:color="000000"/>
              </w:rPr>
              <w:t>调查项目</w:t>
            </w:r>
          </w:p>
        </w:tc>
        <w:tc>
          <w:tcPr>
            <w:tcW w:w="992" w:type="dxa"/>
            <w:tcBorders>
              <w:top w:val="single" w:color="auto" w:sz="4" w:space="0"/>
              <w:left w:val="single" w:color="auto" w:sz="4" w:space="0"/>
              <w:bottom w:val="single" w:color="auto" w:sz="4" w:space="0"/>
              <w:right w:val="single" w:color="auto" w:sz="4" w:space="0"/>
            </w:tcBorders>
            <w:vAlign w:val="center"/>
          </w:tcPr>
          <w:p>
            <w:pPr>
              <w:spacing w:after="0" w:line="540" w:lineRule="exact"/>
              <w:ind w:firstLine="422"/>
              <w:jc w:val="center"/>
              <w:textAlignment w:val="baseline"/>
              <w:rPr>
                <w:rFonts w:cs="Times New Roman" w:asciiTheme="minorEastAsia" w:hAnsiTheme="minorEastAsia" w:eastAsiaTheme="minorEastAsia"/>
                <w:b/>
                <w:bCs/>
                <w:sz w:val="21"/>
                <w:szCs w:val="21"/>
                <w:u w:color="000000"/>
              </w:rPr>
            </w:pPr>
            <w:r>
              <w:rPr>
                <w:rFonts w:hint="eastAsia" w:cs="Times New Roman" w:asciiTheme="minorEastAsia" w:hAnsiTheme="minorEastAsia" w:eastAsiaTheme="minorEastAsia"/>
                <w:b/>
                <w:bCs/>
                <w:sz w:val="21"/>
                <w:szCs w:val="21"/>
                <w:u w:color="000000"/>
              </w:rPr>
              <w:t>满意</w:t>
            </w:r>
          </w:p>
        </w:tc>
        <w:tc>
          <w:tcPr>
            <w:tcW w:w="851" w:type="dxa"/>
            <w:tcBorders>
              <w:top w:val="single" w:color="auto" w:sz="4" w:space="0"/>
              <w:left w:val="single" w:color="auto" w:sz="4" w:space="0"/>
              <w:bottom w:val="single" w:color="auto" w:sz="4" w:space="0"/>
              <w:right w:val="single" w:color="auto" w:sz="4" w:space="0"/>
            </w:tcBorders>
            <w:vAlign w:val="center"/>
          </w:tcPr>
          <w:p>
            <w:pPr>
              <w:spacing w:after="0" w:line="540" w:lineRule="exact"/>
              <w:ind w:firstLine="422"/>
              <w:jc w:val="center"/>
              <w:textAlignment w:val="baseline"/>
              <w:rPr>
                <w:rFonts w:cs="Times New Roman" w:asciiTheme="minorEastAsia" w:hAnsiTheme="minorEastAsia" w:eastAsiaTheme="minorEastAsia"/>
                <w:b/>
                <w:bCs/>
                <w:sz w:val="21"/>
                <w:szCs w:val="21"/>
                <w:u w:color="000000"/>
              </w:rPr>
            </w:pPr>
            <w:r>
              <w:rPr>
                <w:rFonts w:hint="eastAsia" w:cs="Times New Roman" w:asciiTheme="minorEastAsia" w:hAnsiTheme="minorEastAsia" w:eastAsiaTheme="minorEastAsia"/>
                <w:b/>
                <w:bCs/>
                <w:sz w:val="21"/>
                <w:szCs w:val="21"/>
                <w:u w:color="000000"/>
              </w:rPr>
              <w:t>一般</w:t>
            </w:r>
          </w:p>
        </w:tc>
        <w:tc>
          <w:tcPr>
            <w:tcW w:w="898" w:type="dxa"/>
            <w:tcBorders>
              <w:top w:val="single" w:color="auto" w:sz="4" w:space="0"/>
              <w:left w:val="single" w:color="auto" w:sz="4" w:space="0"/>
              <w:bottom w:val="single" w:color="auto" w:sz="4" w:space="0"/>
              <w:right w:val="single" w:color="auto" w:sz="4" w:space="0"/>
            </w:tcBorders>
            <w:vAlign w:val="center"/>
          </w:tcPr>
          <w:p>
            <w:pPr>
              <w:spacing w:after="0" w:line="540" w:lineRule="exact"/>
              <w:ind w:firstLine="422"/>
              <w:jc w:val="center"/>
              <w:textAlignment w:val="baseline"/>
              <w:rPr>
                <w:rFonts w:cs="Times New Roman" w:asciiTheme="minorEastAsia" w:hAnsiTheme="minorEastAsia" w:eastAsiaTheme="minorEastAsia"/>
                <w:b/>
                <w:bCs/>
                <w:sz w:val="21"/>
                <w:szCs w:val="21"/>
                <w:u w:color="000000"/>
              </w:rPr>
            </w:pPr>
            <w:r>
              <w:rPr>
                <w:rFonts w:hint="eastAsia" w:cs="Times New Roman" w:asciiTheme="minorEastAsia" w:hAnsiTheme="minorEastAsia" w:eastAsiaTheme="minorEastAsia"/>
                <w:b/>
                <w:bCs/>
                <w:sz w:val="21"/>
                <w:szCs w:val="21"/>
                <w:u w:color="000000"/>
              </w:rPr>
              <w:t>不满意</w:t>
            </w:r>
          </w:p>
        </w:tc>
        <w:tc>
          <w:tcPr>
            <w:tcW w:w="803" w:type="dxa"/>
            <w:tcBorders>
              <w:top w:val="single" w:color="auto" w:sz="4" w:space="0"/>
              <w:left w:val="single" w:color="auto" w:sz="4" w:space="0"/>
              <w:bottom w:val="single" w:color="auto" w:sz="4" w:space="0"/>
              <w:right w:val="single" w:color="auto" w:sz="4" w:space="0"/>
            </w:tcBorders>
            <w:vAlign w:val="center"/>
          </w:tcPr>
          <w:p>
            <w:pPr>
              <w:spacing w:after="0" w:line="540" w:lineRule="exact"/>
              <w:textAlignment w:val="baseline"/>
              <w:rPr>
                <w:rFonts w:cs="Times New Roman" w:asciiTheme="minorEastAsia" w:hAnsiTheme="minorEastAsia" w:eastAsiaTheme="minorEastAsia"/>
                <w:b/>
                <w:bCs/>
                <w:sz w:val="21"/>
                <w:szCs w:val="21"/>
                <w:u w:color="000000"/>
              </w:rPr>
            </w:pPr>
            <w:r>
              <w:rPr>
                <w:rFonts w:hint="eastAsia" w:cs="Times New Roman" w:asciiTheme="minorEastAsia" w:hAnsiTheme="minorEastAsia" w:eastAsiaTheme="minorEastAsia"/>
                <w:b/>
                <w:bCs/>
                <w:sz w:val="21"/>
                <w:szCs w:val="21"/>
                <w:u w:color="000000"/>
              </w:rPr>
              <w:t>合计</w:t>
            </w:r>
          </w:p>
        </w:tc>
        <w:tc>
          <w:tcPr>
            <w:tcW w:w="1417" w:type="dxa"/>
            <w:tcBorders>
              <w:top w:val="single" w:color="auto" w:sz="4" w:space="0"/>
              <w:left w:val="single" w:color="auto" w:sz="4" w:space="0"/>
              <w:bottom w:val="single" w:color="auto" w:sz="4" w:space="0"/>
              <w:right w:val="single" w:color="auto" w:sz="4" w:space="0"/>
            </w:tcBorders>
            <w:vAlign w:val="center"/>
          </w:tcPr>
          <w:p>
            <w:pPr>
              <w:spacing w:after="0" w:line="540" w:lineRule="exact"/>
              <w:textAlignment w:val="baseline"/>
              <w:rPr>
                <w:rFonts w:cs="Times New Roman" w:asciiTheme="minorEastAsia" w:hAnsiTheme="minorEastAsia" w:eastAsiaTheme="minorEastAsia"/>
                <w:b/>
                <w:bCs/>
                <w:sz w:val="21"/>
                <w:szCs w:val="21"/>
                <w:u w:color="000000"/>
              </w:rPr>
            </w:pPr>
            <w:r>
              <w:rPr>
                <w:rFonts w:hint="eastAsia" w:cs="Times New Roman" w:asciiTheme="minorEastAsia" w:hAnsiTheme="minorEastAsia" w:eastAsiaTheme="minorEastAsia"/>
                <w:b/>
                <w:bCs/>
                <w:sz w:val="21"/>
                <w:szCs w:val="21"/>
                <w:u w:color="000000"/>
              </w:rPr>
              <w:t>单项得分</w:t>
            </w:r>
          </w:p>
        </w:tc>
      </w:tr>
      <w:tr>
        <w:tblPrEx>
          <w:tblCellMar>
            <w:top w:w="15" w:type="dxa"/>
            <w:left w:w="15" w:type="dxa"/>
            <w:bottom w:w="15" w:type="dxa"/>
            <w:right w:w="15" w:type="dxa"/>
          </w:tblCellMar>
        </w:tblPrEx>
        <w:trPr>
          <w:trHeight w:val="590" w:hRule="atLeast"/>
        </w:trPr>
        <w:tc>
          <w:tcPr>
            <w:tcW w:w="3559"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ind w:firstLine="420"/>
              <w:jc w:val="both"/>
              <w:textAlignment w:val="baseline"/>
              <w:rPr>
                <w:rFonts w:cs="Times New Roman" w:asciiTheme="minorEastAsia" w:hAnsiTheme="minorEastAsia" w:eastAsiaTheme="minorEastAsia"/>
                <w:sz w:val="21"/>
                <w:szCs w:val="21"/>
                <w:u w:color="000000"/>
              </w:rPr>
            </w:pPr>
            <w:r>
              <w:rPr>
                <w:rFonts w:hint="eastAsia" w:cs="Times New Roman" w:asciiTheme="minorEastAsia" w:hAnsiTheme="minorEastAsia" w:eastAsiaTheme="minorEastAsia"/>
                <w:sz w:val="21"/>
                <w:szCs w:val="21"/>
                <w:u w:color="000000"/>
              </w:rPr>
              <w:t>您对徐水区政协的</w:t>
            </w:r>
            <w:r>
              <w:rPr>
                <w:rFonts w:cs="Times New Roman" w:asciiTheme="minorEastAsia" w:hAnsiTheme="minorEastAsia" w:eastAsiaTheme="minorEastAsia"/>
                <w:sz w:val="21"/>
                <w:szCs w:val="21"/>
                <w:u w:color="000000"/>
              </w:rPr>
              <w:t>党建工作</w:t>
            </w:r>
            <w:r>
              <w:rPr>
                <w:rFonts w:hint="eastAsia" w:cs="Times New Roman" w:asciiTheme="minorEastAsia" w:hAnsiTheme="minorEastAsia" w:eastAsiaTheme="minorEastAsia"/>
                <w:sz w:val="21"/>
                <w:szCs w:val="21"/>
                <w:u w:color="000000"/>
              </w:rPr>
              <w:t>是否满意</w:t>
            </w:r>
          </w:p>
        </w:tc>
        <w:tc>
          <w:tcPr>
            <w:tcW w:w="992"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ind w:firstLine="420"/>
              <w:jc w:val="center"/>
              <w:textAlignment w:val="baseline"/>
              <w:rPr>
                <w:rFonts w:cs="Times New Roman" w:asciiTheme="minorEastAsia" w:hAnsiTheme="minorEastAsia" w:eastAsiaTheme="minorEastAsia"/>
                <w:sz w:val="21"/>
                <w:szCs w:val="21"/>
                <w:u w:color="000000"/>
              </w:rPr>
            </w:pPr>
            <w:r>
              <w:rPr>
                <w:rFonts w:cs="Times New Roman" w:asciiTheme="minorEastAsia" w:hAnsiTheme="minorEastAsia" w:eastAsiaTheme="minorEastAsia"/>
                <w:sz w:val="21"/>
                <w:szCs w:val="21"/>
                <w:u w:color="000000"/>
              </w:rPr>
              <w:t>50</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ind w:firstLine="420"/>
              <w:jc w:val="center"/>
              <w:textAlignment w:val="baseline"/>
              <w:rPr>
                <w:rFonts w:cs="Times New Roman" w:asciiTheme="minorEastAsia" w:hAnsiTheme="minorEastAsia" w:eastAsiaTheme="minorEastAsia"/>
                <w:sz w:val="21"/>
                <w:szCs w:val="21"/>
                <w:u w:color="000000"/>
              </w:rPr>
            </w:pPr>
            <w:r>
              <w:rPr>
                <w:rFonts w:cs="Times New Roman" w:asciiTheme="minorEastAsia" w:hAnsiTheme="minorEastAsia" w:eastAsiaTheme="minorEastAsia"/>
                <w:sz w:val="21"/>
                <w:szCs w:val="21"/>
                <w:u w:color="000000"/>
              </w:rPr>
              <w:t>0</w:t>
            </w:r>
          </w:p>
        </w:tc>
        <w:tc>
          <w:tcPr>
            <w:tcW w:w="898"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ind w:firstLine="420"/>
              <w:jc w:val="center"/>
              <w:textAlignment w:val="baseline"/>
              <w:rPr>
                <w:rFonts w:cs="Times New Roman" w:asciiTheme="minorEastAsia" w:hAnsiTheme="minorEastAsia" w:eastAsiaTheme="minorEastAsia"/>
                <w:sz w:val="21"/>
                <w:szCs w:val="21"/>
                <w:u w:color="000000"/>
              </w:rPr>
            </w:pPr>
            <w:r>
              <w:rPr>
                <w:rFonts w:cs="Times New Roman" w:asciiTheme="minorEastAsia" w:hAnsiTheme="minorEastAsia" w:eastAsiaTheme="minorEastAsia"/>
                <w:sz w:val="21"/>
                <w:szCs w:val="21"/>
                <w:u w:color="000000"/>
              </w:rPr>
              <w:t>0</w:t>
            </w:r>
          </w:p>
        </w:tc>
        <w:tc>
          <w:tcPr>
            <w:tcW w:w="803"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ind w:firstLine="420"/>
              <w:jc w:val="center"/>
              <w:textAlignment w:val="baseline"/>
              <w:rPr>
                <w:rFonts w:cs="Times New Roman" w:asciiTheme="minorEastAsia" w:hAnsiTheme="minorEastAsia" w:eastAsiaTheme="minorEastAsia"/>
                <w:sz w:val="21"/>
                <w:szCs w:val="21"/>
                <w:u w:color="000000"/>
              </w:rPr>
            </w:pPr>
            <w:r>
              <w:rPr>
                <w:rFonts w:cs="Times New Roman" w:asciiTheme="minorEastAsia" w:hAnsiTheme="minorEastAsia" w:eastAsiaTheme="minorEastAsia"/>
                <w:sz w:val="21"/>
                <w:szCs w:val="21"/>
                <w:u w:color="000000"/>
              </w:rPr>
              <w:t>50</w:t>
            </w:r>
          </w:p>
        </w:tc>
        <w:tc>
          <w:tcPr>
            <w:tcW w:w="1417"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ind w:firstLine="420"/>
              <w:jc w:val="center"/>
              <w:textAlignment w:val="baseline"/>
              <w:rPr>
                <w:rFonts w:cs="Times New Roman" w:asciiTheme="minorEastAsia" w:hAnsiTheme="minorEastAsia" w:eastAsiaTheme="minorEastAsia"/>
                <w:sz w:val="21"/>
                <w:szCs w:val="21"/>
                <w:u w:color="000000"/>
              </w:rPr>
            </w:pPr>
            <w:r>
              <w:rPr>
                <w:rFonts w:cs="Times New Roman" w:asciiTheme="minorEastAsia" w:hAnsiTheme="minorEastAsia" w:eastAsiaTheme="minorEastAsia"/>
                <w:sz w:val="21"/>
                <w:szCs w:val="21"/>
                <w:u w:color="000000"/>
              </w:rPr>
              <w:t>100</w:t>
            </w:r>
          </w:p>
        </w:tc>
      </w:tr>
      <w:tr>
        <w:tblPrEx>
          <w:tblCellMar>
            <w:top w:w="15" w:type="dxa"/>
            <w:left w:w="15" w:type="dxa"/>
            <w:bottom w:w="15" w:type="dxa"/>
            <w:right w:w="15" w:type="dxa"/>
          </w:tblCellMar>
        </w:tblPrEx>
        <w:trPr>
          <w:trHeight w:val="510" w:hRule="atLeast"/>
        </w:trPr>
        <w:tc>
          <w:tcPr>
            <w:tcW w:w="3559"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ind w:firstLine="420"/>
              <w:jc w:val="both"/>
              <w:textAlignment w:val="baseline"/>
              <w:rPr>
                <w:rFonts w:cs="Times New Roman" w:asciiTheme="minorEastAsia" w:hAnsiTheme="minorEastAsia" w:eastAsiaTheme="minorEastAsia"/>
                <w:sz w:val="21"/>
                <w:szCs w:val="21"/>
                <w:u w:color="000000"/>
              </w:rPr>
            </w:pPr>
            <w:r>
              <w:rPr>
                <w:rFonts w:hint="eastAsia" w:cs="Times New Roman" w:asciiTheme="minorEastAsia" w:hAnsiTheme="minorEastAsia" w:eastAsiaTheme="minorEastAsia"/>
                <w:sz w:val="21"/>
                <w:szCs w:val="21"/>
                <w:u w:color="000000"/>
              </w:rPr>
              <w:t>您对徐水区政协回复</w:t>
            </w:r>
            <w:r>
              <w:rPr>
                <w:rFonts w:cs="Times New Roman" w:asciiTheme="minorEastAsia" w:hAnsiTheme="minorEastAsia" w:eastAsiaTheme="minorEastAsia"/>
                <w:sz w:val="21"/>
                <w:szCs w:val="21"/>
                <w:u w:color="000000"/>
              </w:rPr>
              <w:t>的消息</w:t>
            </w:r>
            <w:r>
              <w:rPr>
                <w:rFonts w:hint="eastAsia" w:cs="Times New Roman" w:asciiTheme="minorEastAsia" w:hAnsiTheme="minorEastAsia" w:eastAsiaTheme="minorEastAsia"/>
                <w:sz w:val="21"/>
                <w:szCs w:val="21"/>
                <w:u w:color="000000"/>
              </w:rPr>
              <w:t>是否满意</w:t>
            </w:r>
          </w:p>
        </w:tc>
        <w:tc>
          <w:tcPr>
            <w:tcW w:w="992"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ind w:firstLine="420"/>
              <w:jc w:val="center"/>
              <w:textAlignment w:val="baseline"/>
              <w:rPr>
                <w:rFonts w:cs="Times New Roman" w:asciiTheme="minorEastAsia" w:hAnsiTheme="minorEastAsia" w:eastAsiaTheme="minorEastAsia"/>
                <w:sz w:val="21"/>
                <w:szCs w:val="21"/>
                <w:u w:color="000000"/>
              </w:rPr>
            </w:pPr>
            <w:r>
              <w:rPr>
                <w:rFonts w:cs="Times New Roman" w:asciiTheme="minorEastAsia" w:hAnsiTheme="minorEastAsia" w:eastAsiaTheme="minorEastAsia"/>
                <w:sz w:val="21"/>
                <w:szCs w:val="21"/>
                <w:u w:color="000000"/>
              </w:rPr>
              <w:t>50</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ind w:firstLine="420"/>
              <w:jc w:val="center"/>
              <w:textAlignment w:val="baseline"/>
              <w:rPr>
                <w:rFonts w:cs="Times New Roman" w:asciiTheme="minorEastAsia" w:hAnsiTheme="minorEastAsia" w:eastAsiaTheme="minorEastAsia"/>
                <w:sz w:val="21"/>
                <w:szCs w:val="21"/>
                <w:u w:color="000000"/>
              </w:rPr>
            </w:pPr>
            <w:r>
              <w:rPr>
                <w:rFonts w:cs="Times New Roman" w:asciiTheme="minorEastAsia" w:hAnsiTheme="minorEastAsia" w:eastAsiaTheme="minorEastAsia"/>
                <w:sz w:val="21"/>
                <w:szCs w:val="21"/>
                <w:u w:color="000000"/>
              </w:rPr>
              <w:t>0</w:t>
            </w:r>
          </w:p>
        </w:tc>
        <w:tc>
          <w:tcPr>
            <w:tcW w:w="898"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ind w:firstLine="420"/>
              <w:jc w:val="center"/>
              <w:textAlignment w:val="baseline"/>
              <w:rPr>
                <w:rFonts w:cs="Times New Roman" w:asciiTheme="minorEastAsia" w:hAnsiTheme="minorEastAsia" w:eastAsiaTheme="minorEastAsia"/>
                <w:sz w:val="21"/>
                <w:szCs w:val="21"/>
                <w:u w:color="000000"/>
              </w:rPr>
            </w:pPr>
            <w:r>
              <w:rPr>
                <w:rFonts w:cs="Times New Roman" w:asciiTheme="minorEastAsia" w:hAnsiTheme="minorEastAsia" w:eastAsiaTheme="minorEastAsia"/>
                <w:sz w:val="21"/>
                <w:szCs w:val="21"/>
                <w:u w:color="000000"/>
              </w:rPr>
              <w:t>0</w:t>
            </w:r>
          </w:p>
        </w:tc>
        <w:tc>
          <w:tcPr>
            <w:tcW w:w="803"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ind w:firstLine="420"/>
              <w:jc w:val="center"/>
              <w:textAlignment w:val="baseline"/>
              <w:rPr>
                <w:rFonts w:cs="Times New Roman" w:asciiTheme="minorEastAsia" w:hAnsiTheme="minorEastAsia" w:eastAsiaTheme="minorEastAsia"/>
                <w:sz w:val="21"/>
                <w:szCs w:val="21"/>
                <w:u w:color="000000"/>
              </w:rPr>
            </w:pPr>
            <w:r>
              <w:rPr>
                <w:rFonts w:cs="Times New Roman" w:asciiTheme="minorEastAsia" w:hAnsiTheme="minorEastAsia" w:eastAsiaTheme="minorEastAsia"/>
                <w:sz w:val="21"/>
                <w:szCs w:val="21"/>
                <w:u w:color="000000"/>
              </w:rPr>
              <w:t>50</w:t>
            </w:r>
          </w:p>
        </w:tc>
        <w:tc>
          <w:tcPr>
            <w:tcW w:w="1417"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ind w:firstLine="420"/>
              <w:jc w:val="center"/>
              <w:textAlignment w:val="baseline"/>
              <w:rPr>
                <w:rFonts w:cs="Times New Roman" w:asciiTheme="minorEastAsia" w:hAnsiTheme="minorEastAsia" w:eastAsiaTheme="minorEastAsia"/>
                <w:sz w:val="21"/>
                <w:szCs w:val="21"/>
                <w:u w:color="000000"/>
              </w:rPr>
            </w:pPr>
            <w:r>
              <w:rPr>
                <w:rFonts w:cs="Times New Roman" w:asciiTheme="minorEastAsia" w:hAnsiTheme="minorEastAsia" w:eastAsiaTheme="minorEastAsia"/>
                <w:sz w:val="21"/>
                <w:szCs w:val="21"/>
                <w:u w:color="000000"/>
              </w:rPr>
              <w:t>100</w:t>
            </w:r>
          </w:p>
        </w:tc>
      </w:tr>
      <w:tr>
        <w:tblPrEx>
          <w:tblCellMar>
            <w:top w:w="15" w:type="dxa"/>
            <w:left w:w="15" w:type="dxa"/>
            <w:bottom w:w="15" w:type="dxa"/>
            <w:right w:w="15" w:type="dxa"/>
          </w:tblCellMar>
        </w:tblPrEx>
        <w:trPr>
          <w:trHeight w:val="585" w:hRule="atLeast"/>
        </w:trPr>
        <w:tc>
          <w:tcPr>
            <w:tcW w:w="3559"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ind w:firstLine="420"/>
              <w:jc w:val="both"/>
              <w:textAlignment w:val="baseline"/>
              <w:rPr>
                <w:rFonts w:cs="Times New Roman" w:asciiTheme="minorEastAsia" w:hAnsiTheme="minorEastAsia" w:eastAsiaTheme="minorEastAsia"/>
                <w:sz w:val="21"/>
                <w:szCs w:val="21"/>
                <w:u w:color="000000"/>
              </w:rPr>
            </w:pPr>
            <w:r>
              <w:rPr>
                <w:rFonts w:hint="eastAsia" w:cs="Times New Roman" w:asciiTheme="minorEastAsia" w:hAnsiTheme="minorEastAsia" w:eastAsiaTheme="minorEastAsia"/>
                <w:sz w:val="21"/>
                <w:szCs w:val="21"/>
                <w:u w:color="000000"/>
              </w:rPr>
              <w:t>您对政协的</w:t>
            </w:r>
            <w:r>
              <w:rPr>
                <w:rFonts w:cs="Times New Roman" w:asciiTheme="minorEastAsia" w:hAnsiTheme="minorEastAsia" w:eastAsiaTheme="minorEastAsia"/>
                <w:sz w:val="21"/>
                <w:szCs w:val="21"/>
                <w:u w:color="000000"/>
              </w:rPr>
              <w:t>工作了解多少</w:t>
            </w:r>
          </w:p>
        </w:tc>
        <w:tc>
          <w:tcPr>
            <w:tcW w:w="992"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ind w:firstLine="420"/>
              <w:jc w:val="center"/>
              <w:textAlignment w:val="baseline"/>
              <w:rPr>
                <w:rFonts w:cs="Times New Roman" w:asciiTheme="minorEastAsia" w:hAnsiTheme="minorEastAsia" w:eastAsiaTheme="minorEastAsia"/>
                <w:sz w:val="21"/>
                <w:szCs w:val="21"/>
                <w:u w:color="000000"/>
              </w:rPr>
            </w:pPr>
            <w:r>
              <w:rPr>
                <w:rFonts w:cs="Times New Roman" w:asciiTheme="minorEastAsia" w:hAnsiTheme="minorEastAsia" w:eastAsiaTheme="minorEastAsia"/>
                <w:sz w:val="21"/>
                <w:szCs w:val="21"/>
                <w:u w:color="000000"/>
              </w:rPr>
              <w:t>35</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ind w:firstLine="420"/>
              <w:jc w:val="center"/>
              <w:textAlignment w:val="baseline"/>
              <w:rPr>
                <w:rFonts w:cs="Times New Roman" w:asciiTheme="minorEastAsia" w:hAnsiTheme="minorEastAsia" w:eastAsiaTheme="minorEastAsia"/>
                <w:sz w:val="21"/>
                <w:szCs w:val="21"/>
                <w:u w:color="000000"/>
              </w:rPr>
            </w:pPr>
            <w:r>
              <w:rPr>
                <w:rFonts w:cs="Times New Roman" w:asciiTheme="minorEastAsia" w:hAnsiTheme="minorEastAsia" w:eastAsiaTheme="minorEastAsia"/>
                <w:sz w:val="21"/>
                <w:szCs w:val="21"/>
                <w:u w:color="000000"/>
              </w:rPr>
              <w:t>13</w:t>
            </w:r>
          </w:p>
        </w:tc>
        <w:tc>
          <w:tcPr>
            <w:tcW w:w="898"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ind w:firstLine="420"/>
              <w:jc w:val="center"/>
              <w:textAlignment w:val="baseline"/>
              <w:rPr>
                <w:rFonts w:cs="Times New Roman" w:asciiTheme="minorEastAsia" w:hAnsiTheme="minorEastAsia" w:eastAsiaTheme="minorEastAsia"/>
                <w:sz w:val="21"/>
                <w:szCs w:val="21"/>
                <w:u w:color="000000"/>
              </w:rPr>
            </w:pPr>
            <w:r>
              <w:rPr>
                <w:rFonts w:cs="Times New Roman" w:asciiTheme="minorEastAsia" w:hAnsiTheme="minorEastAsia" w:eastAsiaTheme="minorEastAsia"/>
                <w:sz w:val="21"/>
                <w:szCs w:val="21"/>
                <w:u w:color="000000"/>
              </w:rPr>
              <w:t>2</w:t>
            </w:r>
          </w:p>
        </w:tc>
        <w:tc>
          <w:tcPr>
            <w:tcW w:w="803"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ind w:firstLine="420"/>
              <w:jc w:val="center"/>
              <w:textAlignment w:val="baseline"/>
              <w:rPr>
                <w:rFonts w:cs="Times New Roman" w:asciiTheme="minorEastAsia" w:hAnsiTheme="minorEastAsia" w:eastAsiaTheme="minorEastAsia"/>
                <w:sz w:val="21"/>
                <w:szCs w:val="21"/>
                <w:u w:color="000000"/>
              </w:rPr>
            </w:pPr>
            <w:r>
              <w:rPr>
                <w:rFonts w:cs="Times New Roman" w:asciiTheme="minorEastAsia" w:hAnsiTheme="minorEastAsia" w:eastAsiaTheme="minorEastAsia"/>
                <w:sz w:val="21"/>
                <w:szCs w:val="21"/>
                <w:u w:color="000000"/>
              </w:rPr>
              <w:t>50</w:t>
            </w:r>
          </w:p>
        </w:tc>
        <w:tc>
          <w:tcPr>
            <w:tcW w:w="1417"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ind w:firstLine="420"/>
              <w:jc w:val="center"/>
              <w:textAlignment w:val="baseline"/>
              <w:rPr>
                <w:rFonts w:cs="Times New Roman" w:asciiTheme="minorEastAsia" w:hAnsiTheme="minorEastAsia" w:eastAsiaTheme="minorEastAsia"/>
                <w:sz w:val="21"/>
                <w:szCs w:val="21"/>
                <w:u w:color="000000"/>
              </w:rPr>
            </w:pPr>
            <w:r>
              <w:rPr>
                <w:rFonts w:cs="Times New Roman" w:asciiTheme="minorEastAsia" w:hAnsiTheme="minorEastAsia" w:eastAsiaTheme="minorEastAsia"/>
                <w:sz w:val="21"/>
                <w:szCs w:val="21"/>
                <w:u w:color="000000"/>
              </w:rPr>
              <w:t>83</w:t>
            </w:r>
          </w:p>
        </w:tc>
      </w:tr>
      <w:tr>
        <w:tblPrEx>
          <w:tblCellMar>
            <w:top w:w="15" w:type="dxa"/>
            <w:left w:w="15" w:type="dxa"/>
            <w:bottom w:w="15" w:type="dxa"/>
            <w:right w:w="15" w:type="dxa"/>
          </w:tblCellMar>
        </w:tblPrEx>
        <w:trPr>
          <w:trHeight w:val="585" w:hRule="atLeast"/>
        </w:trPr>
        <w:tc>
          <w:tcPr>
            <w:tcW w:w="3559"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ind w:firstLine="420"/>
              <w:jc w:val="both"/>
              <w:textAlignment w:val="baseline"/>
              <w:rPr>
                <w:rFonts w:cs="Times New Roman" w:asciiTheme="minorEastAsia" w:hAnsiTheme="minorEastAsia" w:eastAsiaTheme="minorEastAsia"/>
                <w:sz w:val="21"/>
                <w:szCs w:val="21"/>
                <w:u w:color="000000"/>
              </w:rPr>
            </w:pPr>
            <w:r>
              <w:rPr>
                <w:rFonts w:hint="eastAsia" w:cs="Times New Roman" w:asciiTheme="minorEastAsia" w:hAnsiTheme="minorEastAsia" w:eastAsiaTheme="minorEastAsia"/>
                <w:sz w:val="21"/>
                <w:szCs w:val="21"/>
                <w:u w:color="000000"/>
              </w:rPr>
              <w:t>您对政协</w:t>
            </w:r>
            <w:r>
              <w:rPr>
                <w:rFonts w:cs="Times New Roman" w:asciiTheme="minorEastAsia" w:hAnsiTheme="minorEastAsia" w:eastAsiaTheme="minorEastAsia"/>
                <w:sz w:val="21"/>
                <w:szCs w:val="21"/>
                <w:u w:color="000000"/>
              </w:rPr>
              <w:t>的</w:t>
            </w:r>
            <w:r>
              <w:rPr>
                <w:rFonts w:hint="eastAsia" w:cs="Times New Roman" w:asciiTheme="minorEastAsia" w:hAnsiTheme="minorEastAsia" w:eastAsiaTheme="minorEastAsia"/>
                <w:sz w:val="21"/>
                <w:szCs w:val="21"/>
                <w:u w:color="000000"/>
              </w:rPr>
              <w:t>信息</w:t>
            </w:r>
            <w:r>
              <w:rPr>
                <w:rFonts w:cs="Times New Roman" w:asciiTheme="minorEastAsia" w:hAnsiTheme="minorEastAsia" w:eastAsiaTheme="minorEastAsia"/>
                <w:sz w:val="21"/>
                <w:szCs w:val="21"/>
                <w:u w:color="000000"/>
              </w:rPr>
              <w:t>动态感兴趣吗</w:t>
            </w:r>
          </w:p>
        </w:tc>
        <w:tc>
          <w:tcPr>
            <w:tcW w:w="992"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ind w:firstLine="420"/>
              <w:jc w:val="center"/>
              <w:textAlignment w:val="baseline"/>
              <w:rPr>
                <w:rFonts w:cs="Times New Roman" w:asciiTheme="minorEastAsia" w:hAnsiTheme="minorEastAsia" w:eastAsiaTheme="minorEastAsia"/>
                <w:sz w:val="21"/>
                <w:szCs w:val="21"/>
                <w:u w:color="000000"/>
              </w:rPr>
            </w:pPr>
            <w:r>
              <w:rPr>
                <w:rFonts w:cs="Times New Roman" w:asciiTheme="minorEastAsia" w:hAnsiTheme="minorEastAsia" w:eastAsiaTheme="minorEastAsia"/>
                <w:sz w:val="21"/>
                <w:szCs w:val="21"/>
                <w:u w:color="000000"/>
              </w:rPr>
              <w:t>40</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ind w:firstLine="420"/>
              <w:jc w:val="center"/>
              <w:textAlignment w:val="baseline"/>
              <w:rPr>
                <w:rFonts w:cs="Times New Roman" w:asciiTheme="minorEastAsia" w:hAnsiTheme="minorEastAsia" w:eastAsiaTheme="minorEastAsia"/>
                <w:sz w:val="21"/>
                <w:szCs w:val="21"/>
                <w:u w:color="000000"/>
              </w:rPr>
            </w:pPr>
            <w:r>
              <w:rPr>
                <w:rFonts w:hint="eastAsia" w:cs="Times New Roman" w:asciiTheme="minorEastAsia" w:hAnsiTheme="minorEastAsia" w:eastAsiaTheme="minorEastAsia"/>
                <w:sz w:val="21"/>
                <w:szCs w:val="21"/>
                <w:u w:color="000000"/>
              </w:rPr>
              <w:t>1</w:t>
            </w:r>
            <w:r>
              <w:rPr>
                <w:rFonts w:cs="Times New Roman" w:asciiTheme="minorEastAsia" w:hAnsiTheme="minorEastAsia" w:eastAsiaTheme="minorEastAsia"/>
                <w:sz w:val="21"/>
                <w:szCs w:val="21"/>
                <w:u w:color="000000"/>
              </w:rPr>
              <w:t>0</w:t>
            </w:r>
          </w:p>
        </w:tc>
        <w:tc>
          <w:tcPr>
            <w:tcW w:w="898"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ind w:firstLine="420"/>
              <w:jc w:val="center"/>
              <w:textAlignment w:val="baseline"/>
              <w:rPr>
                <w:rFonts w:cs="Times New Roman" w:asciiTheme="minorEastAsia" w:hAnsiTheme="minorEastAsia" w:eastAsiaTheme="minorEastAsia"/>
                <w:sz w:val="21"/>
                <w:szCs w:val="21"/>
                <w:u w:color="000000"/>
              </w:rPr>
            </w:pPr>
            <w:r>
              <w:rPr>
                <w:rFonts w:cs="Times New Roman" w:asciiTheme="minorEastAsia" w:hAnsiTheme="minorEastAsia" w:eastAsiaTheme="minorEastAsia"/>
                <w:sz w:val="21"/>
                <w:szCs w:val="21"/>
                <w:u w:color="000000"/>
              </w:rPr>
              <w:t>0</w:t>
            </w:r>
          </w:p>
        </w:tc>
        <w:tc>
          <w:tcPr>
            <w:tcW w:w="803"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ind w:firstLine="420"/>
              <w:jc w:val="center"/>
              <w:textAlignment w:val="baseline"/>
              <w:rPr>
                <w:rFonts w:cs="Times New Roman" w:asciiTheme="minorEastAsia" w:hAnsiTheme="minorEastAsia" w:eastAsiaTheme="minorEastAsia"/>
                <w:sz w:val="21"/>
                <w:szCs w:val="21"/>
                <w:u w:color="000000"/>
              </w:rPr>
            </w:pPr>
            <w:r>
              <w:rPr>
                <w:rFonts w:hint="eastAsia" w:cs="Times New Roman" w:asciiTheme="minorEastAsia" w:hAnsiTheme="minorEastAsia" w:eastAsiaTheme="minorEastAsia"/>
                <w:sz w:val="21"/>
                <w:szCs w:val="21"/>
                <w:u w:color="000000"/>
              </w:rPr>
              <w:t>50</w:t>
            </w:r>
          </w:p>
        </w:tc>
        <w:tc>
          <w:tcPr>
            <w:tcW w:w="1417"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ind w:firstLine="420"/>
              <w:jc w:val="center"/>
              <w:textAlignment w:val="baseline"/>
              <w:rPr>
                <w:rFonts w:cs="Times New Roman" w:asciiTheme="minorEastAsia" w:hAnsiTheme="minorEastAsia" w:eastAsiaTheme="minorEastAsia"/>
                <w:sz w:val="21"/>
                <w:szCs w:val="21"/>
                <w:u w:color="000000"/>
              </w:rPr>
            </w:pPr>
            <w:r>
              <w:rPr>
                <w:rFonts w:cs="Times New Roman" w:asciiTheme="minorEastAsia" w:hAnsiTheme="minorEastAsia" w:eastAsiaTheme="minorEastAsia"/>
                <w:sz w:val="21"/>
                <w:szCs w:val="21"/>
                <w:u w:color="000000"/>
              </w:rPr>
              <w:t>90</w:t>
            </w:r>
          </w:p>
        </w:tc>
      </w:tr>
      <w:tr>
        <w:tblPrEx>
          <w:tblCellMar>
            <w:top w:w="15" w:type="dxa"/>
            <w:left w:w="15" w:type="dxa"/>
            <w:bottom w:w="15" w:type="dxa"/>
            <w:right w:w="15" w:type="dxa"/>
          </w:tblCellMar>
        </w:tblPrEx>
        <w:trPr>
          <w:trHeight w:val="585" w:hRule="atLeast"/>
        </w:trPr>
        <w:tc>
          <w:tcPr>
            <w:tcW w:w="3559"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ind w:firstLine="420"/>
              <w:jc w:val="both"/>
              <w:textAlignment w:val="baseline"/>
              <w:rPr>
                <w:rFonts w:cs="Times New Roman" w:asciiTheme="minorEastAsia" w:hAnsiTheme="minorEastAsia" w:eastAsiaTheme="minorEastAsia"/>
                <w:sz w:val="21"/>
                <w:szCs w:val="21"/>
                <w:u w:color="000000"/>
              </w:rPr>
            </w:pPr>
            <w:r>
              <w:rPr>
                <w:rFonts w:hint="eastAsia" w:cs="Times New Roman" w:asciiTheme="minorEastAsia" w:hAnsiTheme="minorEastAsia" w:eastAsiaTheme="minorEastAsia"/>
                <w:sz w:val="21"/>
                <w:szCs w:val="21"/>
                <w:u w:color="000000"/>
              </w:rPr>
              <w:t>您对本区政协的工作还有哪些意见和建议</w:t>
            </w:r>
          </w:p>
        </w:tc>
        <w:tc>
          <w:tcPr>
            <w:tcW w:w="992"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ind w:firstLine="420"/>
              <w:jc w:val="center"/>
              <w:textAlignment w:val="baseline"/>
              <w:rPr>
                <w:rFonts w:cs="Times New Roman" w:asciiTheme="minorEastAsia" w:hAnsiTheme="minorEastAsia" w:eastAsiaTheme="minorEastAsia"/>
                <w:sz w:val="21"/>
                <w:szCs w:val="21"/>
                <w:u w:color="000000"/>
              </w:rPr>
            </w:pPr>
            <w:r>
              <w:rPr>
                <w:rFonts w:hint="eastAsia" w:cs="Times New Roman" w:asciiTheme="minorEastAsia" w:hAnsiTheme="minorEastAsia" w:eastAsiaTheme="minorEastAsia"/>
                <w:sz w:val="21"/>
                <w:szCs w:val="21"/>
                <w:u w:color="000000"/>
              </w:rPr>
              <w:t>50</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ind w:firstLine="420"/>
              <w:jc w:val="center"/>
              <w:textAlignment w:val="baseline"/>
              <w:rPr>
                <w:rFonts w:cs="Times New Roman" w:asciiTheme="minorEastAsia" w:hAnsiTheme="minorEastAsia" w:eastAsiaTheme="minorEastAsia"/>
                <w:sz w:val="21"/>
                <w:szCs w:val="21"/>
                <w:u w:color="000000"/>
              </w:rPr>
            </w:pPr>
            <w:r>
              <w:rPr>
                <w:rFonts w:hint="eastAsia" w:cs="Times New Roman" w:asciiTheme="minorEastAsia" w:hAnsiTheme="minorEastAsia" w:eastAsiaTheme="minorEastAsia"/>
                <w:sz w:val="21"/>
                <w:szCs w:val="21"/>
                <w:u w:color="000000"/>
              </w:rPr>
              <w:t>0</w:t>
            </w:r>
          </w:p>
        </w:tc>
        <w:tc>
          <w:tcPr>
            <w:tcW w:w="898"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ind w:firstLine="420"/>
              <w:jc w:val="center"/>
              <w:textAlignment w:val="baseline"/>
              <w:rPr>
                <w:rFonts w:cs="Times New Roman" w:asciiTheme="minorEastAsia" w:hAnsiTheme="minorEastAsia" w:eastAsiaTheme="minorEastAsia"/>
                <w:sz w:val="21"/>
                <w:szCs w:val="21"/>
                <w:u w:color="000000"/>
              </w:rPr>
            </w:pPr>
            <w:r>
              <w:rPr>
                <w:rFonts w:hint="eastAsia" w:cs="Times New Roman" w:asciiTheme="minorEastAsia" w:hAnsiTheme="minorEastAsia" w:eastAsiaTheme="minorEastAsia"/>
                <w:sz w:val="21"/>
                <w:szCs w:val="21"/>
                <w:u w:color="000000"/>
              </w:rPr>
              <w:t>0</w:t>
            </w:r>
          </w:p>
        </w:tc>
        <w:tc>
          <w:tcPr>
            <w:tcW w:w="803"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ind w:firstLine="420"/>
              <w:jc w:val="center"/>
              <w:textAlignment w:val="baseline"/>
              <w:rPr>
                <w:rFonts w:cs="Times New Roman" w:asciiTheme="minorEastAsia" w:hAnsiTheme="minorEastAsia" w:eastAsiaTheme="minorEastAsia"/>
                <w:sz w:val="21"/>
                <w:szCs w:val="21"/>
                <w:u w:color="000000"/>
              </w:rPr>
            </w:pPr>
            <w:r>
              <w:rPr>
                <w:rFonts w:hint="eastAsia" w:cs="Times New Roman" w:asciiTheme="minorEastAsia" w:hAnsiTheme="minorEastAsia" w:eastAsiaTheme="minorEastAsia"/>
                <w:sz w:val="21"/>
                <w:szCs w:val="21"/>
                <w:u w:color="000000"/>
              </w:rPr>
              <w:t>0</w:t>
            </w:r>
          </w:p>
        </w:tc>
        <w:tc>
          <w:tcPr>
            <w:tcW w:w="1417"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ind w:firstLine="420"/>
              <w:jc w:val="center"/>
              <w:textAlignment w:val="baseline"/>
              <w:rPr>
                <w:rFonts w:cs="Times New Roman" w:asciiTheme="minorEastAsia" w:hAnsiTheme="minorEastAsia" w:eastAsiaTheme="minorEastAsia"/>
                <w:sz w:val="21"/>
                <w:szCs w:val="21"/>
                <w:u w:color="000000"/>
              </w:rPr>
            </w:pPr>
            <w:r>
              <w:rPr>
                <w:rFonts w:hint="eastAsia" w:cs="Times New Roman" w:asciiTheme="minorEastAsia" w:hAnsiTheme="minorEastAsia" w:eastAsiaTheme="minorEastAsia"/>
                <w:sz w:val="21"/>
                <w:szCs w:val="21"/>
                <w:u w:color="000000"/>
              </w:rPr>
              <w:t>100</w:t>
            </w:r>
          </w:p>
        </w:tc>
      </w:tr>
    </w:tbl>
    <w:p>
      <w:pPr>
        <w:spacing w:after="0" w:line="360" w:lineRule="auto"/>
        <w:ind w:firstLine="64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调查问卷共分为3个单项，每个单项满分为100分。其中：每一单项满分为100分：满意为100分，一般为50分，不满意为0分。</w:t>
      </w:r>
    </w:p>
    <w:p>
      <w:pPr>
        <w:spacing w:after="0" w:line="360" w:lineRule="auto"/>
        <w:ind w:firstLine="64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单项满意度得分=总分数/总人数</w:t>
      </w:r>
    </w:p>
    <w:p>
      <w:pPr>
        <w:spacing w:after="0" w:line="360" w:lineRule="auto"/>
        <w:ind w:firstLine="64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总体满意度得分=∑1/</w:t>
      </w:r>
      <w:r>
        <w:rPr>
          <w:rFonts w:ascii="仿宋_GB2312" w:eastAsia="仿宋_GB2312" w:cs="Times New Roman" w:hAnsiTheme="minorEastAsia"/>
          <w:sz w:val="32"/>
          <w:szCs w:val="32"/>
          <w:u w:color="000000"/>
        </w:rPr>
        <w:t>5</w:t>
      </w:r>
      <w:r>
        <w:rPr>
          <w:rFonts w:hint="eastAsia" w:ascii="仿宋_GB2312" w:eastAsia="仿宋_GB2312" w:cs="Times New Roman" w:hAnsiTheme="minorEastAsia"/>
          <w:sz w:val="32"/>
          <w:szCs w:val="32"/>
          <w:u w:color="000000"/>
        </w:rPr>
        <w:t>各单项满意度得分</w:t>
      </w:r>
    </w:p>
    <w:p>
      <w:pPr>
        <w:spacing w:after="0" w:line="360" w:lineRule="auto"/>
        <w:ind w:firstLine="64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经计算，总体得分为</w:t>
      </w:r>
      <w:r>
        <w:rPr>
          <w:rFonts w:ascii="仿宋_GB2312" w:eastAsia="仿宋_GB2312" w:cs="Times New Roman" w:hAnsiTheme="minorEastAsia"/>
          <w:sz w:val="32"/>
          <w:szCs w:val="32"/>
          <w:u w:color="000000"/>
        </w:rPr>
        <w:t>94.6</w:t>
      </w:r>
      <w:r>
        <w:rPr>
          <w:rFonts w:hint="eastAsia" w:ascii="仿宋_GB2312" w:eastAsia="仿宋_GB2312" w:cs="Times New Roman" w:hAnsiTheme="minorEastAsia"/>
          <w:sz w:val="32"/>
          <w:szCs w:val="32"/>
          <w:u w:color="000000"/>
        </w:rPr>
        <w:t>分，大于90分，评价等级为“优”。</w:t>
      </w:r>
    </w:p>
    <w:p>
      <w:pPr>
        <w:spacing w:after="0" w:line="360" w:lineRule="auto"/>
        <w:ind w:firstLine="640"/>
        <w:jc w:val="both"/>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该指标实际得分</w:t>
      </w:r>
      <w:r>
        <w:rPr>
          <w:rFonts w:ascii="仿宋_GB2312" w:eastAsia="仿宋_GB2312" w:cs="Times New Roman" w:hAnsiTheme="minorEastAsia"/>
          <w:sz w:val="32"/>
          <w:szCs w:val="32"/>
          <w:u w:color="000000"/>
        </w:rPr>
        <w:t>5</w:t>
      </w:r>
      <w:r>
        <w:rPr>
          <w:rFonts w:hint="eastAsia" w:ascii="仿宋_GB2312" w:eastAsia="仿宋_GB2312" w:cs="Times New Roman" w:hAnsiTheme="minorEastAsia"/>
          <w:sz w:val="32"/>
          <w:szCs w:val="32"/>
          <w:u w:color="000000"/>
        </w:rPr>
        <w:t>分。</w:t>
      </w:r>
    </w:p>
    <w:p>
      <w:pPr>
        <w:pStyle w:val="3"/>
        <w:keepNext w:val="0"/>
        <w:keepLines w:val="0"/>
        <w:suppressLineNumbers/>
        <w:spacing w:before="0" w:after="0" w:line="360" w:lineRule="auto"/>
        <w:ind w:firstLine="643"/>
        <w:rPr>
          <w:rFonts w:ascii="黑体"/>
        </w:rPr>
      </w:pPr>
      <w:bookmarkStart w:id="71" w:name="_Toc57553873"/>
      <w:r>
        <w:rPr>
          <w:rFonts w:hint="eastAsia" w:ascii="黑体"/>
        </w:rPr>
        <w:t>五、绩效评价发现的问题</w:t>
      </w:r>
      <w:bookmarkEnd w:id="68"/>
      <w:bookmarkEnd w:id="69"/>
      <w:bookmarkEnd w:id="70"/>
      <w:bookmarkEnd w:id="71"/>
      <w:bookmarkStart w:id="72" w:name="_Toc492652789"/>
    </w:p>
    <w:p>
      <w:pPr>
        <w:spacing w:after="0" w:line="360" w:lineRule="auto"/>
        <w:ind w:firstLine="64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通过对各指标得分及扣分原因的分析，</w:t>
      </w:r>
      <w:r>
        <w:rPr>
          <w:rFonts w:hint="eastAsia" w:ascii="仿宋_GB2312" w:eastAsia="仿宋_GB2312" w:cs="DengXian-Regular"/>
          <w:sz w:val="32"/>
          <w:szCs w:val="32"/>
        </w:rPr>
        <w:t>中国人民政治协商会议保定市徐水区委员会</w:t>
      </w:r>
      <w:r>
        <w:rPr>
          <w:rFonts w:hint="eastAsia" w:ascii="仿宋_GB2312" w:eastAsia="仿宋_GB2312" w:cs="Times New Roman" w:hAnsiTheme="minorEastAsia"/>
          <w:sz w:val="32"/>
          <w:szCs w:val="32"/>
          <w:u w:color="000000"/>
        </w:rPr>
        <w:t>2019年部门整体支出基本按相关要求执行预算、决算，完成了绩效目标，资金使用效益良好。通过评价，也发现一些不足之处，具体情况如下：</w:t>
      </w:r>
    </w:p>
    <w:p>
      <w:pPr>
        <w:spacing w:after="0" w:line="360" w:lineRule="auto"/>
        <w:ind w:firstLine="64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1.部分绩效指标方面</w:t>
      </w:r>
    </w:p>
    <w:p>
      <w:pPr>
        <w:spacing w:after="0" w:line="360" w:lineRule="auto"/>
        <w:ind w:firstLine="64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预算文本—部门职责工作活动绩效目标表中参政议政职责活动未设置可评价、可衡量的绩效指标，部门绩效目标未划分为具体的工作任务，不利于对绩效目标实际完成情况进行考核。</w:t>
      </w:r>
    </w:p>
    <w:p>
      <w:pPr>
        <w:spacing w:after="0" w:line="360" w:lineRule="auto"/>
        <w:ind w:firstLine="64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2、预算决算比较</w:t>
      </w:r>
    </w:p>
    <w:p>
      <w:pPr>
        <w:spacing w:after="0" w:line="360" w:lineRule="auto"/>
        <w:ind w:firstLine="64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预算决算差额较大</w:t>
      </w:r>
    </w:p>
    <w:p>
      <w:pPr>
        <w:spacing w:after="0" w:line="360" w:lineRule="auto"/>
        <w:ind w:firstLine="640"/>
        <w:jc w:val="both"/>
        <w:textAlignment w:val="baseline"/>
        <w:rPr>
          <w:rFonts w:ascii="仿宋_GB2312" w:eastAsia="仿宋_GB2312" w:cs="Times New Roman" w:hAnsiTheme="minorEastAsia"/>
          <w:bCs/>
          <w:sz w:val="32"/>
          <w:szCs w:val="32"/>
          <w:u w:color="000000"/>
        </w:rPr>
      </w:pPr>
      <w:r>
        <w:rPr>
          <w:rFonts w:hint="eastAsia" w:ascii="仿宋_GB2312" w:eastAsia="仿宋_GB2312" w:cs="DengXian-Regular"/>
          <w:sz w:val="32"/>
          <w:szCs w:val="32"/>
        </w:rPr>
        <w:t>中国人民政治协商会议保定市徐水区委员会</w:t>
      </w:r>
      <w:r>
        <w:rPr>
          <w:rFonts w:hint="eastAsia" w:ascii="仿宋_GB2312" w:eastAsia="仿宋_GB2312" w:cs="Times New Roman" w:hAnsiTheme="minorEastAsia"/>
          <w:sz w:val="32"/>
          <w:szCs w:val="32"/>
          <w:u w:color="000000"/>
        </w:rPr>
        <w:t>预算收入、支出年初预算数均为553.67万元，决算收入476.78万元，较预算减少76.89万元，减少比例13.89%；决算支出480.05万元，较预算减少73.62万元，减少比例13.30%。决算数较预算数减少的主要原因为认真贯彻落实中央八项规定精神和厉行节约要求，从严控制“三公”经费开支，全年实际支出比预算有所节约。致使决算数据较预算数据较少。</w:t>
      </w:r>
    </w:p>
    <w:p>
      <w:pPr>
        <w:spacing w:after="0" w:line="360" w:lineRule="auto"/>
        <w:ind w:firstLine="64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3、预算追加方面</w:t>
      </w:r>
    </w:p>
    <w:p>
      <w:pPr>
        <w:spacing w:after="0" w:line="360" w:lineRule="auto"/>
        <w:ind w:firstLine="640"/>
        <w:jc w:val="both"/>
        <w:textAlignment w:val="baseline"/>
        <w:rPr>
          <w:rFonts w:ascii="仿宋_GB2312" w:eastAsia="仿宋_GB2312" w:cs="Times New Roman" w:hAnsiTheme="minorEastAsia"/>
          <w:sz w:val="32"/>
          <w:szCs w:val="32"/>
          <w:u w:color="000000"/>
        </w:rPr>
      </w:pPr>
      <w:r>
        <w:rPr>
          <w:rFonts w:hint="eastAsia" w:ascii="仿宋_GB2312" w:eastAsia="仿宋_GB2312" w:cs="DengXian-Regular"/>
          <w:sz w:val="32"/>
          <w:szCs w:val="32"/>
        </w:rPr>
        <w:t>中国人民政治协商会议保定市徐水区委员会</w:t>
      </w:r>
      <w:r>
        <w:rPr>
          <w:rFonts w:hint="eastAsia" w:ascii="仿宋_GB2312" w:eastAsia="仿宋_GB2312" w:cs="Times New Roman" w:hAnsiTheme="minorEastAsia"/>
          <w:sz w:val="32"/>
          <w:szCs w:val="32"/>
          <w:u w:color="000000"/>
        </w:rPr>
        <w:t>2019年预算无预算调整。</w:t>
      </w:r>
    </w:p>
    <w:p>
      <w:pPr>
        <w:spacing w:after="0" w:line="360" w:lineRule="auto"/>
        <w:ind w:firstLine="64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4、</w:t>
      </w:r>
      <w:r>
        <w:rPr>
          <w:rFonts w:hint="eastAsia" w:ascii="仿宋_GB2312" w:eastAsia="仿宋_GB2312" w:cs="Times New Roman" w:hAnsiTheme="minorEastAsia"/>
          <w:sz w:val="32"/>
          <w:szCs w:val="32"/>
          <w:u w:color="000000"/>
        </w:rPr>
        <w:tab/>
      </w:r>
      <w:r>
        <w:rPr>
          <w:rFonts w:hint="eastAsia" w:ascii="仿宋_GB2312" w:eastAsia="仿宋_GB2312" w:cs="Times New Roman" w:hAnsiTheme="minorEastAsia"/>
          <w:sz w:val="32"/>
          <w:szCs w:val="32"/>
          <w:u w:color="000000"/>
        </w:rPr>
        <w:t>政府采购方面</w:t>
      </w:r>
    </w:p>
    <w:p>
      <w:pPr>
        <w:spacing w:after="0" w:line="360" w:lineRule="auto"/>
        <w:ind w:firstLine="64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未执行政府采购</w:t>
      </w:r>
    </w:p>
    <w:p>
      <w:pPr>
        <w:spacing w:after="0" w:line="360" w:lineRule="auto"/>
        <w:ind w:firstLine="640"/>
        <w:jc w:val="both"/>
        <w:textAlignment w:val="baseline"/>
        <w:rPr>
          <w:rFonts w:ascii="仿宋_GB2312" w:eastAsia="仿宋_GB2312" w:cs="Times New Roman" w:hAnsiTheme="minorEastAsia"/>
          <w:sz w:val="32"/>
          <w:szCs w:val="32"/>
          <w:u w:color="000000"/>
        </w:rPr>
      </w:pPr>
      <w:r>
        <w:rPr>
          <w:rFonts w:hint="eastAsia" w:ascii="仿宋_GB2312" w:eastAsia="仿宋_GB2312" w:cs="DengXian-Regular"/>
          <w:sz w:val="32"/>
          <w:szCs w:val="32"/>
        </w:rPr>
        <w:t>中国人民政治协商会议保定市徐水区委员会</w:t>
      </w:r>
      <w:r>
        <w:rPr>
          <w:rFonts w:hint="eastAsia" w:ascii="仿宋_GB2312" w:eastAsia="仿宋_GB2312" w:cs="Times New Roman" w:hAnsiTheme="minorEastAsia"/>
          <w:sz w:val="32"/>
          <w:szCs w:val="32"/>
          <w:u w:color="000000"/>
        </w:rPr>
        <w:t>年初预算政府采购金额0万元，决算金额0万元，本年未执行政府采购</w:t>
      </w:r>
    </w:p>
    <w:p>
      <w:pPr>
        <w:spacing w:after="0" w:line="360" w:lineRule="auto"/>
        <w:ind w:firstLine="64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5、项目资金使用率方面</w:t>
      </w:r>
    </w:p>
    <w:p>
      <w:pPr>
        <w:spacing w:after="0" w:line="360" w:lineRule="auto"/>
        <w:ind w:firstLine="64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项目资金使用率较低</w:t>
      </w:r>
    </w:p>
    <w:p>
      <w:pPr>
        <w:spacing w:after="0" w:line="360" w:lineRule="auto"/>
        <w:ind w:firstLine="640"/>
        <w:jc w:val="both"/>
        <w:textAlignment w:val="baseline"/>
        <w:rPr>
          <w:rFonts w:ascii="仿宋_GB2312" w:eastAsia="仿宋_GB2312" w:cs="Times New Roman" w:hAnsiTheme="minorEastAsia"/>
          <w:sz w:val="32"/>
          <w:szCs w:val="32"/>
          <w:u w:color="000000"/>
        </w:rPr>
      </w:pPr>
      <w:r>
        <w:rPr>
          <w:rFonts w:hint="eastAsia" w:ascii="仿宋_GB2312" w:eastAsia="仿宋_GB2312" w:cs="DengXian-Regular"/>
          <w:sz w:val="32"/>
          <w:szCs w:val="32"/>
        </w:rPr>
        <w:t>中国人民政治协商会议保定市徐水区委员会</w:t>
      </w:r>
      <w:r>
        <w:rPr>
          <w:rFonts w:hint="eastAsia" w:ascii="仿宋_GB2312" w:eastAsia="仿宋_GB2312" w:cs="Times New Roman" w:hAnsiTheme="minorEastAsia"/>
          <w:sz w:val="32"/>
          <w:szCs w:val="32"/>
          <w:u w:color="000000"/>
        </w:rPr>
        <w:t>年项目资金预算63.52万元，实际支出55.47万元，支出率为87.33%，个别项目如专题调研活动预算资金为8万元，实际支出为1.3万元，支出率较低，资金使用效率较差。</w:t>
      </w:r>
    </w:p>
    <w:p>
      <w:pPr>
        <w:spacing w:after="0" w:line="360" w:lineRule="auto"/>
        <w:ind w:firstLine="64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6.部分基础数据信息方面</w:t>
      </w:r>
    </w:p>
    <w:p>
      <w:pPr>
        <w:spacing w:after="0" w:line="360" w:lineRule="auto"/>
        <w:ind w:firstLine="64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部分基础数据信息不完整</w:t>
      </w:r>
    </w:p>
    <w:p>
      <w:pPr>
        <w:spacing w:after="0" w:line="360" w:lineRule="auto"/>
        <w:ind w:firstLine="640"/>
        <w:jc w:val="both"/>
        <w:textAlignment w:val="baseline"/>
        <w:rPr>
          <w:rFonts w:ascii="仿宋_GB2312" w:eastAsia="仿宋_GB2312" w:cs="Times New Roman" w:hAnsiTheme="minorEastAsia"/>
          <w:sz w:val="32"/>
          <w:szCs w:val="32"/>
          <w:u w:color="000000"/>
        </w:rPr>
      </w:pPr>
      <w:r>
        <w:rPr>
          <w:rFonts w:hint="eastAsia" w:ascii="仿宋_GB2312" w:eastAsia="仿宋_GB2312" w:cs="DengXian-Regular"/>
          <w:sz w:val="32"/>
          <w:szCs w:val="32"/>
        </w:rPr>
        <w:t>中国人民政治协商会议保定市徐水区委员会</w:t>
      </w:r>
      <w:r>
        <w:rPr>
          <w:rFonts w:hint="eastAsia" w:ascii="仿宋_GB2312" w:eastAsia="仿宋_GB2312" w:cs="Times New Roman" w:hAnsiTheme="minorEastAsia"/>
          <w:sz w:val="32"/>
          <w:szCs w:val="32"/>
          <w:u w:color="000000"/>
        </w:rPr>
        <w:t>缴纳的五险一金记账凭证只保留了缴费票据，没有付个人明细，部分基础数据信息缺乏完整性。</w:t>
      </w:r>
    </w:p>
    <w:p>
      <w:pPr>
        <w:pStyle w:val="3"/>
        <w:keepNext w:val="0"/>
        <w:keepLines w:val="0"/>
        <w:suppressLineNumbers/>
        <w:spacing w:before="0" w:after="0" w:line="360" w:lineRule="auto"/>
        <w:ind w:firstLine="643"/>
        <w:rPr>
          <w:rFonts w:ascii="黑体"/>
        </w:rPr>
      </w:pPr>
      <w:bookmarkStart w:id="73" w:name="_Toc57553874"/>
      <w:r>
        <w:rPr>
          <w:rFonts w:hint="eastAsia" w:ascii="黑体"/>
        </w:rPr>
        <w:t>六</w:t>
      </w:r>
      <w:r>
        <w:rPr>
          <w:rFonts w:ascii="黑体"/>
        </w:rPr>
        <w:t>、</w:t>
      </w:r>
      <w:r>
        <w:rPr>
          <w:rFonts w:hint="eastAsia" w:ascii="黑体"/>
        </w:rPr>
        <w:t>绩效评价意见及建议</w:t>
      </w:r>
      <w:bookmarkEnd w:id="73"/>
    </w:p>
    <w:p>
      <w:pPr>
        <w:spacing w:after="0" w:line="360" w:lineRule="auto"/>
        <w:ind w:firstLine="64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针对此次绩效评价过程中发现的问题，我们建议：</w:t>
      </w:r>
    </w:p>
    <w:p>
      <w:pPr>
        <w:spacing w:after="0" w:line="360" w:lineRule="auto"/>
        <w:ind w:firstLine="64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1.增强绩效指标设置的明确性</w:t>
      </w:r>
    </w:p>
    <w:p>
      <w:pPr>
        <w:spacing w:after="0" w:line="360" w:lineRule="auto"/>
        <w:ind w:firstLine="64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工作活动、预算项目绩效指标应当清晰、可评价、可衡量。建议在设置职责活动绩效指标时，将绩效目标细化分解为具体的工作任务数，从而使绩效目标可量化，便于对目标实现情况进行考核。</w:t>
      </w:r>
    </w:p>
    <w:p>
      <w:pPr>
        <w:spacing w:after="0" w:line="360" w:lineRule="auto"/>
        <w:ind w:firstLine="64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2.提高预算编制质量</w:t>
      </w:r>
    </w:p>
    <w:p>
      <w:pPr>
        <w:spacing w:after="0" w:line="360" w:lineRule="auto"/>
        <w:ind w:firstLine="64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部门预算编制工作要全面反映和体现部门职责，根据具体情况及时调整预算的编制，缩小预算与决算差额，减少中期预算追加火调减，年中需要调整到乡镇乡镇的项目，在做预算时进行调整，提高预算编制质量，发挥预算约束作用。</w:t>
      </w:r>
    </w:p>
    <w:p>
      <w:pPr>
        <w:spacing w:after="0" w:line="360" w:lineRule="auto"/>
        <w:ind w:firstLine="64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3.强化政府采购执行</w:t>
      </w:r>
    </w:p>
    <w:p>
      <w:pPr>
        <w:spacing w:after="0" w:line="360" w:lineRule="auto"/>
        <w:ind w:firstLine="64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建议严格按照《中华人民共和国政府采购法》及河北省2017年《政府采购集中采购目录和限额标准》的相关规定，执行政府采购，加快预算执行进度，提高政府采购效率。</w:t>
      </w:r>
    </w:p>
    <w:p>
      <w:pPr>
        <w:spacing w:after="0" w:line="360" w:lineRule="auto"/>
        <w:ind w:firstLine="64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4.提高项目资金使用率</w:t>
      </w:r>
    </w:p>
    <w:p>
      <w:pPr>
        <w:spacing w:after="0" w:line="360" w:lineRule="auto"/>
        <w:ind w:firstLine="64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建议</w:t>
      </w:r>
      <w:r>
        <w:rPr>
          <w:rFonts w:hint="eastAsia" w:ascii="仿宋_GB2312" w:eastAsia="仿宋_GB2312" w:cs="DengXian-Regular"/>
          <w:sz w:val="32"/>
          <w:szCs w:val="32"/>
        </w:rPr>
        <w:t>中国人民政治协商会议保定市徐水区委员会</w:t>
      </w:r>
      <w:r>
        <w:rPr>
          <w:rFonts w:hint="eastAsia" w:ascii="仿宋_GB2312" w:eastAsia="仿宋_GB2312" w:cs="Times New Roman" w:hAnsiTheme="minorEastAsia"/>
          <w:sz w:val="32"/>
          <w:szCs w:val="32"/>
          <w:u w:color="000000"/>
        </w:rPr>
        <w:t>对项目资金进行梳理，督促项目进度和资金拨付进度，应拨付的资金及时拨付，不具备条件的资金及时收回。</w:t>
      </w:r>
    </w:p>
    <w:p>
      <w:pPr>
        <w:spacing w:after="0" w:line="360" w:lineRule="auto"/>
        <w:ind w:firstLine="64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5.完善基础信息管理</w:t>
      </w:r>
    </w:p>
    <w:p>
      <w:pPr>
        <w:spacing w:after="0" w:line="360" w:lineRule="auto"/>
        <w:ind w:firstLine="64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建议严格按照档案管理的相关规定对基础数据信息档案资料及时归档保存，保证项目资料的完整性和可查阅性。</w:t>
      </w:r>
    </w:p>
    <w:p>
      <w:pPr>
        <w:spacing w:after="0" w:line="360" w:lineRule="auto"/>
        <w:ind w:firstLine="64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6.预算安排建议</w:t>
      </w:r>
    </w:p>
    <w:p>
      <w:pPr>
        <w:spacing w:after="0" w:line="360" w:lineRule="auto"/>
        <w:ind w:firstLine="64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人员经费方面：2019年基本支出决算数较预算数较少比例较大，主要原因为2018年作为基本支出的项目在2019年纳入了项目支出致使2019年基本支出减少，建议2020年预算根据2019年支出类型编制，该纳入项目的经费不再列入基本支出。</w:t>
      </w:r>
    </w:p>
    <w:p>
      <w:pPr>
        <w:spacing w:after="0" w:line="360" w:lineRule="auto"/>
        <w:ind w:firstLine="64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项目资金方面：2019年个别项目支出资金使用率较低，建议2020年预算项目资金根据实际情况予以保持或适当增减。</w:t>
      </w:r>
    </w:p>
    <w:bookmarkEnd w:id="72"/>
    <w:p>
      <w:pPr>
        <w:spacing w:after="0" w:line="360" w:lineRule="auto"/>
        <w:ind w:firstLine="640"/>
        <w:jc w:val="both"/>
        <w:textAlignment w:val="baseline"/>
        <w:rPr>
          <w:rFonts w:ascii="仿宋_GB2312" w:eastAsia="仿宋_GB2312" w:cs="Times New Roman" w:hAnsiTheme="minorEastAsia"/>
          <w:sz w:val="32"/>
          <w:szCs w:val="32"/>
          <w:u w:color="000000"/>
        </w:rPr>
      </w:pPr>
      <w:bookmarkStart w:id="74" w:name="_Toc465149521"/>
    </w:p>
    <w:p>
      <w:pPr>
        <w:spacing w:after="0" w:line="360" w:lineRule="auto"/>
        <w:ind w:firstLine="64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附件：</w:t>
      </w:r>
    </w:p>
    <w:p>
      <w:pPr>
        <w:spacing w:after="0" w:line="360" w:lineRule="auto"/>
        <w:ind w:firstLine="64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1.</w:t>
      </w:r>
      <w:r>
        <w:rPr>
          <w:rFonts w:hint="eastAsia" w:ascii="仿宋_GB2312" w:eastAsia="仿宋_GB2312" w:cs="DengXian-Regular"/>
          <w:sz w:val="32"/>
          <w:szCs w:val="32"/>
        </w:rPr>
        <w:t>中国人民政治协商会议保定市徐水区委员会</w:t>
      </w:r>
      <w:r>
        <w:rPr>
          <w:rFonts w:hint="eastAsia" w:ascii="仿宋_GB2312" w:eastAsia="仿宋_GB2312" w:cs="Times New Roman" w:hAnsiTheme="minorEastAsia"/>
          <w:sz w:val="32"/>
          <w:szCs w:val="32"/>
          <w:u w:color="000000"/>
        </w:rPr>
        <w:t>部门基本情况及主要职责</w:t>
      </w:r>
    </w:p>
    <w:p>
      <w:pPr>
        <w:spacing w:after="0" w:line="540" w:lineRule="exact"/>
        <w:ind w:firstLine="64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2.2019年度</w:t>
      </w:r>
      <w:r>
        <w:rPr>
          <w:rFonts w:hint="eastAsia" w:ascii="仿宋_GB2312" w:eastAsia="仿宋_GB2312" w:cs="DengXian-Regular"/>
          <w:sz w:val="32"/>
          <w:szCs w:val="32"/>
        </w:rPr>
        <w:t>中国人民政治协商会议保定市徐水区委员会</w:t>
      </w:r>
      <w:r>
        <w:rPr>
          <w:rFonts w:hint="eastAsia" w:ascii="仿宋_GB2312" w:eastAsia="仿宋_GB2312" w:cs="Times New Roman" w:hAnsiTheme="minorEastAsia"/>
          <w:sz w:val="32"/>
          <w:szCs w:val="32"/>
          <w:u w:color="000000"/>
        </w:rPr>
        <w:t>收支预算及决算明细表</w:t>
      </w:r>
    </w:p>
    <w:p>
      <w:pPr>
        <w:spacing w:after="0" w:line="540" w:lineRule="exact"/>
        <w:ind w:firstLine="640"/>
        <w:jc w:val="both"/>
        <w:textAlignment w:val="baseline"/>
        <w:rPr>
          <w:rFonts w:ascii="仿宋_GB2312" w:eastAsia="仿宋_GB2312" w:cs="Times New Roman" w:hAnsiTheme="minorEastAsia"/>
          <w:sz w:val="32"/>
          <w:szCs w:val="32"/>
          <w:u w:color="000000"/>
        </w:rPr>
      </w:pPr>
      <w:bookmarkStart w:id="75" w:name="_Toc465149534"/>
      <w:r>
        <w:rPr>
          <w:rFonts w:hint="eastAsia" w:ascii="仿宋_GB2312" w:eastAsia="仿宋_GB2312" w:cs="Times New Roman" w:hAnsiTheme="minorEastAsia"/>
          <w:sz w:val="32"/>
          <w:szCs w:val="32"/>
          <w:u w:color="000000"/>
        </w:rPr>
        <w:t>3.</w:t>
      </w:r>
      <w:bookmarkEnd w:id="75"/>
      <w:r>
        <w:rPr>
          <w:rFonts w:hint="eastAsia" w:ascii="仿宋_GB2312" w:eastAsia="仿宋_GB2312" w:cs="Times New Roman" w:hAnsiTheme="minorEastAsia"/>
          <w:sz w:val="32"/>
          <w:szCs w:val="32"/>
          <w:u w:color="000000"/>
        </w:rPr>
        <w:t>部门整体支出绩效评价指标体系</w:t>
      </w:r>
    </w:p>
    <w:p>
      <w:pPr>
        <w:spacing w:after="0" w:line="540" w:lineRule="exact"/>
        <w:ind w:firstLine="640"/>
        <w:jc w:val="both"/>
        <w:textAlignment w:val="baseline"/>
        <w:rPr>
          <w:rFonts w:ascii="仿宋_GB2312" w:eastAsia="仿宋_GB2312" w:cs="Times New Roman" w:hAnsiTheme="minorEastAsia"/>
          <w:sz w:val="32"/>
          <w:szCs w:val="32"/>
          <w:u w:color="000000"/>
        </w:rPr>
      </w:pPr>
      <w:bookmarkStart w:id="76" w:name="_Toc465149544"/>
      <w:r>
        <w:rPr>
          <w:rFonts w:hint="eastAsia" w:ascii="仿宋_GB2312" w:eastAsia="仿宋_GB2312" w:cs="Times New Roman" w:hAnsiTheme="minorEastAsia"/>
          <w:sz w:val="32"/>
          <w:szCs w:val="32"/>
          <w:u w:color="000000"/>
        </w:rPr>
        <w:t>4.</w:t>
      </w:r>
      <w:bookmarkEnd w:id="76"/>
      <w:r>
        <w:rPr>
          <w:rFonts w:hint="eastAsia" w:ascii="仿宋_GB2312" w:eastAsia="仿宋_GB2312" w:cs="Times New Roman" w:hAnsiTheme="minorEastAsia"/>
          <w:sz w:val="32"/>
          <w:szCs w:val="32"/>
          <w:u w:color="000000"/>
        </w:rPr>
        <w:t>2019年</w:t>
      </w:r>
      <w:r>
        <w:rPr>
          <w:rFonts w:hint="eastAsia" w:ascii="仿宋_GB2312" w:eastAsia="仿宋_GB2312" w:cs="DengXian-Regular"/>
          <w:sz w:val="32"/>
          <w:szCs w:val="32"/>
        </w:rPr>
        <w:t>中国人民政治协商会议保定市徐水区委员会</w:t>
      </w:r>
      <w:r>
        <w:rPr>
          <w:rFonts w:hint="eastAsia" w:ascii="仿宋_GB2312" w:eastAsia="仿宋_GB2312" w:cs="Times New Roman" w:hAnsiTheme="minorEastAsia"/>
          <w:sz w:val="32"/>
          <w:szCs w:val="32"/>
          <w:u w:color="000000"/>
        </w:rPr>
        <w:t>工作活动绩效目标、绩效指标一览表</w:t>
      </w:r>
      <w:bookmarkEnd w:id="74"/>
    </w:p>
    <w:p>
      <w:pPr>
        <w:spacing w:line="540" w:lineRule="exact"/>
        <w:ind w:firstLine="640"/>
        <w:jc w:val="both"/>
        <w:textAlignment w:val="baseline"/>
        <w:rPr>
          <w:rFonts w:ascii="仿宋_GB2312" w:eastAsia="仿宋_GB2312" w:cs="Times New Roman" w:hAnsiTheme="minorEastAsia"/>
          <w:sz w:val="32"/>
          <w:szCs w:val="32"/>
          <w:u w:color="000000"/>
        </w:rPr>
      </w:pPr>
    </w:p>
    <w:p>
      <w:pPr>
        <w:spacing w:line="540" w:lineRule="exact"/>
        <w:ind w:firstLine="640"/>
        <w:jc w:val="both"/>
        <w:textAlignment w:val="baseline"/>
        <w:rPr>
          <w:rFonts w:ascii="仿宋_GB2312" w:eastAsia="仿宋_GB2312" w:cs="Times New Roman" w:hAnsiTheme="minorEastAsia"/>
          <w:sz w:val="32"/>
          <w:szCs w:val="32"/>
          <w:u w:color="000000"/>
        </w:rPr>
      </w:pPr>
    </w:p>
    <w:p>
      <w:pPr>
        <w:spacing w:line="540" w:lineRule="exact"/>
        <w:jc w:val="both"/>
        <w:textAlignment w:val="baseline"/>
        <w:rPr>
          <w:rFonts w:ascii="仿宋_GB2312" w:eastAsia="仿宋_GB2312" w:cs="Times New Roman" w:hAnsiTheme="minorEastAsia"/>
          <w:sz w:val="32"/>
          <w:szCs w:val="32"/>
          <w:u w:color="000000"/>
        </w:rPr>
      </w:pPr>
    </w:p>
    <w:p/>
    <w:sectPr>
      <w:footerReference r:id="rId4" w:type="default"/>
      <w:pgSz w:w="11906" w:h="16838"/>
      <w:pgMar w:top="1440" w:right="1797" w:bottom="1191" w:left="1797" w:header="709" w:footer="709" w:gutter="0"/>
      <w:pgNumType w:start="1"/>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auto"/>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DengXian-Regular">
    <w:altName w:val="宋体"/>
    <w:panose1 w:val="00000000000000000000"/>
    <w:charset w:val="86"/>
    <w:family w:val="auto"/>
    <w:pitch w:val="default"/>
    <w:sig w:usb0="00000000" w:usb1="00000000" w:usb2="00000010"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34141713"/>
      <w:docPartObj>
        <w:docPartGallery w:val="autotext"/>
      </w:docPartObj>
    </w:sdtPr>
    <w:sdtContent>
      <w:p>
        <w:pPr>
          <w:pStyle w:val="6"/>
          <w:ind w:firstLine="360"/>
          <w:jc w:val="right"/>
        </w:pPr>
        <w:r>
          <w:fldChar w:fldCharType="begin"/>
        </w:r>
        <w:r>
          <w:instrText xml:space="preserve">PAGE   \* MERGEFORMAT</w:instrText>
        </w:r>
        <w:r>
          <w:fldChar w:fldCharType="separate"/>
        </w:r>
        <w:r>
          <w:rPr>
            <w:lang w:val="zh-CN"/>
          </w:rPr>
          <w:t>9</w:t>
        </w:r>
        <w:r>
          <w:fldChar w:fldCharType="end"/>
        </w:r>
      </w:p>
    </w:sdtContent>
  </w:sdt>
  <w:p>
    <w:pPr>
      <w:pStyle w:val="6"/>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BCC1BA8"/>
    <w:multiLevelType w:val="multilevel"/>
    <w:tmpl w:val="4BCC1BA8"/>
    <w:lvl w:ilvl="0" w:tentative="0">
      <w:start w:val="4"/>
      <w:numFmt w:val="decimal"/>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M5ZTY4OGU2ZTJlMzY0MTVlZGQ3NDZmYmYzNmMwZWIifQ=="/>
  </w:docVars>
  <w:rsids>
    <w:rsidRoot w:val="65065521"/>
    <w:rsid w:val="613D6D98"/>
    <w:rsid w:val="650655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lang w:val="en-US" w:eastAsia="zh-CN" w:bidi="ar-SA"/>
    </w:rPr>
  </w:style>
  <w:style w:type="paragraph" w:styleId="2">
    <w:name w:val="heading 1"/>
    <w:basedOn w:val="1"/>
    <w:next w:val="1"/>
    <w:qFormat/>
    <w:uiPriority w:val="0"/>
    <w:pPr>
      <w:spacing w:before="480"/>
    </w:pPr>
    <w:rPr>
      <w:b/>
      <w:color w:val="345A8A"/>
      <w:sz w:val="32"/>
    </w:rPr>
  </w:style>
  <w:style w:type="paragraph" w:styleId="3">
    <w:name w:val="heading 2"/>
    <w:basedOn w:val="1"/>
    <w:next w:val="1"/>
    <w:qFormat/>
    <w:uiPriority w:val="0"/>
    <w:pPr>
      <w:spacing w:before="200"/>
    </w:pPr>
    <w:rPr>
      <w:b/>
      <w:color w:val="4F81BD"/>
      <w:sz w:val="26"/>
    </w:rPr>
  </w:style>
  <w:style w:type="paragraph" w:styleId="4">
    <w:name w:val="heading 3"/>
    <w:basedOn w:val="1"/>
    <w:next w:val="1"/>
    <w:qFormat/>
    <w:uiPriority w:val="0"/>
    <w:pPr>
      <w:spacing w:before="200"/>
    </w:pPr>
    <w:rPr>
      <w:b/>
      <w:color w:val="4F81BD"/>
      <w:sz w:val="24"/>
    </w:rPr>
  </w:style>
  <w:style w:type="character" w:default="1" w:styleId="10">
    <w:name w:val="Default Paragraph Font"/>
    <w:semiHidden/>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toc 3"/>
    <w:basedOn w:val="1"/>
    <w:next w:val="1"/>
    <w:qFormat/>
    <w:uiPriority w:val="39"/>
    <w:pPr>
      <w:widowControl w:val="0"/>
      <w:adjustRightInd/>
      <w:snapToGrid/>
      <w:spacing w:after="0"/>
      <w:ind w:left="840"/>
      <w:jc w:val="both"/>
    </w:pPr>
    <w:rPr>
      <w:rFonts w:ascii="Times New Roman" w:hAnsi="Times New Roman" w:eastAsia="宋体" w:cs="Times New Roman"/>
      <w:kern w:val="2"/>
      <w:sz w:val="28"/>
      <w:szCs w:val="24"/>
    </w:rPr>
  </w:style>
  <w:style w:type="paragraph" w:styleId="6">
    <w:name w:val="footer"/>
    <w:basedOn w:val="1"/>
    <w:unhideWhenUsed/>
    <w:qFormat/>
    <w:uiPriority w:val="99"/>
    <w:pPr>
      <w:tabs>
        <w:tab w:val="center" w:pos="4153"/>
        <w:tab w:val="right" w:pos="8306"/>
      </w:tabs>
    </w:pPr>
    <w:rPr>
      <w:sz w:val="18"/>
      <w:szCs w:val="18"/>
    </w:rPr>
  </w:style>
  <w:style w:type="paragraph" w:styleId="7">
    <w:name w:val="header"/>
    <w:basedOn w:val="1"/>
    <w:unhideWhenUsed/>
    <w:qFormat/>
    <w:uiPriority w:val="99"/>
    <w:pPr>
      <w:pBdr>
        <w:bottom w:val="single" w:color="auto" w:sz="6" w:space="1"/>
      </w:pBdr>
      <w:tabs>
        <w:tab w:val="center" w:pos="4153"/>
        <w:tab w:val="right" w:pos="8306"/>
      </w:tabs>
      <w:jc w:val="center"/>
    </w:pPr>
    <w:rPr>
      <w:sz w:val="18"/>
      <w:szCs w:val="18"/>
    </w:rPr>
  </w:style>
  <w:style w:type="paragraph" w:styleId="8">
    <w:name w:val="toc 2"/>
    <w:basedOn w:val="1"/>
    <w:next w:val="1"/>
    <w:qFormat/>
    <w:uiPriority w:val="39"/>
    <w:pPr>
      <w:widowControl w:val="0"/>
      <w:adjustRightInd/>
      <w:snapToGrid/>
      <w:spacing w:after="0"/>
      <w:ind w:left="420"/>
      <w:jc w:val="both"/>
    </w:pPr>
    <w:rPr>
      <w:rFonts w:ascii="Times New Roman" w:hAnsi="Times New Roman" w:eastAsia="宋体" w:cs="Times New Roman"/>
      <w:kern w:val="2"/>
      <w:sz w:val="30"/>
      <w:szCs w:val="24"/>
    </w:rPr>
  </w:style>
  <w:style w:type="character" w:styleId="11">
    <w:name w:val="Hyperlink"/>
    <w:qFormat/>
    <w:uiPriority w:val="99"/>
    <w:rPr>
      <w:color w:val="0000FF"/>
      <w:u w:val="single"/>
    </w:rPr>
  </w:style>
  <w:style w:type="paragraph" w:customStyle="1" w:styleId="12">
    <w:name w:val="TOC 标题1"/>
    <w:basedOn w:val="2"/>
    <w:next w:val="1"/>
    <w:unhideWhenUsed/>
    <w:qFormat/>
    <w:uiPriority w:val="39"/>
    <w:pPr>
      <w:spacing w:before="480" w:after="0" w:line="276" w:lineRule="auto"/>
      <w:jc w:val="left"/>
      <w:textAlignment w:val="auto"/>
      <w:outlineLvl w:val="9"/>
    </w:pPr>
    <w:rPr>
      <w:rFonts w:ascii="Cambria" w:hAnsiTheme="majorHAnsi" w:eastAsiaTheme="majorEastAsia" w:cstheme="majorBidi"/>
      <w:color w:val="365F91"/>
      <w:kern w:val="0"/>
      <w:sz w:val="28"/>
      <w:szCs w:val="28"/>
    </w:rPr>
  </w:style>
  <w:style w:type="paragraph" w:styleId="13">
    <w:name w:val="List Paragraph"/>
    <w:basedOn w:val="1"/>
    <w:qFormat/>
    <w:uiPriority w:val="99"/>
    <w:pPr>
      <w:ind w:firstLine="42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36</Pages>
  <Words>14540</Words>
  <Characters>15763</Characters>
  <Lines>0</Lines>
  <Paragraphs>0</Paragraphs>
  <TotalTime>1</TotalTime>
  <ScaleCrop>false</ScaleCrop>
  <LinksUpToDate>false</LinksUpToDate>
  <CharactersWithSpaces>15859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2024-06-04T10:46:00Z</dcterms:created>
  <dc:creator>杰子</dc:creator>
  <cp:lastModifiedBy>杰子</cp:lastModifiedBy>
  <dcterms:modified xsi:type="dcterms:W3CDTF">2024-06-04T11:41:42Z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CFAFF641F76D41A59EE6232CB8DBB097_11</vt:lpwstr>
  </property>
</Properties>
</file>