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保定市徐水区交通运输局</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根据保定市徐水县人民政府办公室《关于印发&lt;徐水县交通运输局主要职责、内设机构和人员编制规定&gt;的通知》（徐政办[2010]71号），我部门职责如下：</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（一）根据区总体部署，拟定全区公路、水路交通发展规划、中长期规划和年度计划。</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（二）负责全区公路、水路的运输行业管理和运输组织管理；负责全区营业性客货运输停车站（场）的行业管理；负责全区出租汽车管理。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（三）会同有关部门培育和管理交通运输市场和交通基础设施建设，引导交通运输业优化结构，协调发展。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（四）组织县乡公路及其设施的建设、养护、管理和规费稽征；负责全区道路运输市场、汽车维修市场、车辆技术检测、汽车驾驶学校和驾驶员工作的行业管理；指导和管理城乡客、货运输的衔接协调工作。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（五）负责全区车辆规费稽征；负责水上港航监督、船舶检验维修、救助打捞、通信导航、船舶代理、航道和港航设施建设使用岸线的行业管理。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（六）指导全区交通行业体制改革和企业管理；负责局属单位国有资产管理；组织全区交通系统内部审计工作。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制定交通科技政策、技术标准和规范；组织科技开发，推动行业技术进步；负责交通工程质量监督；按照有关规定组织交通工业产品的认证和质量监督。指导全区交通行业人才开发、预测、教育、培训、交流和使用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负责局机关并指导局属单位人事、劳动、机构编制管理，人力资源开发工作；负责直属单位领导班子建设；受有关部门委托，负责全区机关、企事业单位汽车专业和与交通相关的专业工程工人技术等级培训、考核工作；指导全区交通行业的精神文明建设和职工队伍思想建设。交通系统内的宣传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（九）指导全区交通行业涉外工作，指导利用外资。</w:t>
      </w:r>
    </w:p>
    <w:p>
      <w:pPr>
        <w:spacing w:line="360" w:lineRule="auto"/>
        <w:ind w:firstLine="640" w:firstLineChars="200"/>
        <w:rPr>
          <w:rFonts w:ascii="仿宋" w:hAnsi="仿宋" w:eastAsia="仿宋"/>
          <w:sz w:val="32"/>
          <w:szCs w:val="32"/>
        </w:rPr>
      </w:pPr>
      <w:r>
        <w:rPr>
          <w:rFonts w:ascii="仿宋" w:hAnsi="仿宋" w:eastAsia="仿宋"/>
          <w:sz w:val="32"/>
          <w:szCs w:val="32"/>
        </w:rPr>
        <w:t>（十）承办区政府交办的其他事项。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99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3114"/>
        <w:gridCol w:w="1134"/>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114"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134"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1</w:t>
            </w:r>
          </w:p>
        </w:tc>
        <w:tc>
          <w:tcPr>
            <w:tcW w:w="3114" w:type="dxa"/>
            <w:tcBorders>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w:t>
            </w:r>
          </w:p>
        </w:tc>
        <w:tc>
          <w:tcPr>
            <w:tcW w:w="113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行政</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正科级</w:t>
            </w:r>
          </w:p>
        </w:tc>
        <w:tc>
          <w:tcPr>
            <w:tcW w:w="326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2</w:t>
            </w:r>
          </w:p>
        </w:tc>
        <w:tc>
          <w:tcPr>
            <w:tcW w:w="3114"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保定市徐水区交通运输局道路运输管理站</w:t>
            </w:r>
          </w:p>
        </w:tc>
        <w:tc>
          <w:tcPr>
            <w:tcW w:w="113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326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3</w:t>
            </w:r>
          </w:p>
        </w:tc>
        <w:tc>
          <w:tcPr>
            <w:tcW w:w="3114"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保定市徐水区道桥管理中心</w:t>
            </w:r>
          </w:p>
        </w:tc>
        <w:tc>
          <w:tcPr>
            <w:tcW w:w="113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326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w:t>
      </w:r>
      <w:r>
        <w:rPr>
          <w:rFonts w:hint="eastAsia" w:ascii="仿宋" w:hAnsi="仿宋" w:eastAsia="仿宋"/>
          <w:sz w:val="32"/>
          <w:szCs w:val="32"/>
        </w:rPr>
        <w:t>为</w:t>
      </w:r>
      <w:r>
        <w:rPr>
          <w:rFonts w:ascii="仿宋" w:hAnsi="仿宋" w:eastAsia="仿宋"/>
          <w:sz w:val="32"/>
          <w:szCs w:val="32"/>
        </w:rPr>
        <w:t>2981.37万元,其中：一般公共预算收入2714.37万元，基金预算收入267.00万元，财政专户收入0万元，其他来源收入0万元。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2020年部门支出预算：2981.37万元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2052.92</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其中：人员经费1920.83万元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日常公用经费132.09万元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928.45万元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其中：本级支出928.45万元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981.37</w:t>
      </w:r>
      <w:r>
        <w:rPr>
          <w:rFonts w:hint="eastAsia" w:ascii="仿宋" w:hAnsi="仿宋" w:eastAsia="仿宋"/>
          <w:sz w:val="32"/>
          <w:szCs w:val="32"/>
        </w:rPr>
        <w:t>万元，较上年</w:t>
      </w:r>
      <w:r>
        <w:rPr>
          <w:rFonts w:ascii="仿宋" w:hAnsi="仿宋" w:eastAsia="仿宋"/>
          <w:sz w:val="32"/>
          <w:szCs w:val="32"/>
        </w:rPr>
        <w:t>减少2577.34万元。其中:基本支出增加18.80万元，主要原因是</w:t>
      </w:r>
      <w:r>
        <w:rPr>
          <w:rFonts w:hint="eastAsia" w:ascii="仿宋" w:hAnsi="仿宋" w:eastAsia="仿宋"/>
          <w:sz w:val="32"/>
          <w:szCs w:val="32"/>
        </w:rPr>
        <w:t>增加人员工资调整的人员经费部分</w:t>
      </w:r>
      <w:r>
        <w:rPr>
          <w:rFonts w:ascii="仿宋" w:hAnsi="仿宋" w:eastAsia="仿宋"/>
          <w:sz w:val="32"/>
          <w:szCs w:val="32"/>
        </w:rPr>
        <w:t>；项目支出减少2596.14万元，主要原因是</w:t>
      </w:r>
      <w:r>
        <w:rPr>
          <w:rFonts w:hint="eastAsia" w:ascii="仿宋" w:hAnsi="仿宋" w:eastAsia="仿宋"/>
          <w:sz w:val="32"/>
          <w:szCs w:val="32"/>
        </w:rPr>
        <w:t>农村公路</w:t>
      </w:r>
      <w:r>
        <w:rPr>
          <w:rFonts w:ascii="仿宋" w:hAnsi="仿宋" w:eastAsia="仿宋"/>
          <w:sz w:val="32"/>
          <w:szCs w:val="32"/>
        </w:rPr>
        <w:t>建设</w:t>
      </w:r>
      <w:r>
        <w:rPr>
          <w:rFonts w:hint="eastAsia" w:ascii="仿宋" w:hAnsi="仿宋" w:eastAsia="仿宋"/>
          <w:sz w:val="32"/>
          <w:szCs w:val="32"/>
        </w:rPr>
        <w:t>项目安排</w:t>
      </w:r>
      <w:r>
        <w:rPr>
          <w:rFonts w:ascii="仿宋" w:hAnsi="仿宋" w:eastAsia="仿宋"/>
          <w:sz w:val="32"/>
          <w:szCs w:val="32"/>
        </w:rPr>
        <w:t>预算资金减少。</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w:t>
      </w:r>
      <w:r>
        <w:rPr>
          <w:rFonts w:hint="eastAsia" w:ascii="仿宋" w:hAnsi="仿宋" w:eastAsia="仿宋"/>
          <w:sz w:val="32"/>
          <w:szCs w:val="32"/>
        </w:rPr>
        <w:t>是</w:t>
      </w:r>
      <w:r>
        <w:rPr>
          <w:rFonts w:ascii="仿宋" w:hAnsi="仿宋" w:eastAsia="仿宋"/>
          <w:sz w:val="32"/>
          <w:szCs w:val="32"/>
        </w:rPr>
        <w:t>事业单位无机关运行经费</w:t>
      </w:r>
      <w:r>
        <w:rPr>
          <w:rFonts w:hint="eastAsia" w:ascii="仿宋" w:hAnsi="仿宋" w:eastAsia="仿宋"/>
          <w:sz w:val="32"/>
          <w:szCs w:val="32"/>
        </w:rPr>
        <w:t>，</w:t>
      </w:r>
      <w:r>
        <w:rPr>
          <w:rFonts w:ascii="仿宋" w:hAnsi="仿宋" w:eastAsia="仿宋"/>
          <w:sz w:val="32"/>
          <w:szCs w:val="32"/>
        </w:rPr>
        <w:t>日常公用经费安排132.09万元，其中办公费9.05万元，邮电费4.92万元，工会经费、福利费30.84万元，公务用车运行维护费27.00万元</w:t>
      </w:r>
      <w:r>
        <w:rPr>
          <w:rFonts w:hint="eastAsia" w:ascii="仿宋" w:hAnsi="仿宋" w:eastAsia="仿宋"/>
          <w:sz w:val="32"/>
          <w:szCs w:val="32"/>
        </w:rPr>
        <w:t>，</w:t>
      </w:r>
      <w:r>
        <w:rPr>
          <w:rFonts w:ascii="仿宋" w:hAnsi="仿宋" w:eastAsia="仿宋"/>
          <w:sz w:val="32"/>
          <w:szCs w:val="32"/>
        </w:rPr>
        <w:t>其他支出33.81万元。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根据2020年</w:t>
                  </w:r>
                  <w:r>
                    <w:rPr>
                      <w:rFonts w:ascii="仿宋_GB2312" w:hAnsi="宋体" w:eastAsia="仿宋_GB2312" w:cs="宋体"/>
                      <w:kern w:val="0"/>
                      <w:sz w:val="24"/>
                      <w:szCs w:val="24"/>
                    </w:rPr>
                    <w:t>工作</w:t>
                  </w:r>
                  <w:r>
                    <w:rPr>
                      <w:rFonts w:hint="eastAsia" w:ascii="仿宋_GB2312" w:hAnsi="宋体" w:eastAsia="仿宋_GB2312" w:cs="宋体"/>
                      <w:kern w:val="0"/>
                      <w:sz w:val="24"/>
                      <w:szCs w:val="24"/>
                    </w:rPr>
                    <w:t>计划</w:t>
                  </w:r>
                  <w:r>
                    <w:rPr>
                      <w:rFonts w:ascii="仿宋_GB2312" w:hAnsi="宋体" w:eastAsia="仿宋_GB2312" w:cs="宋体"/>
                      <w:kern w:val="0"/>
                      <w:sz w:val="24"/>
                      <w:szCs w:val="24"/>
                    </w:rPr>
                    <w:t>，</w:t>
                  </w:r>
                  <w:r>
                    <w:rPr>
                      <w:rFonts w:hint="eastAsia" w:ascii="仿宋_GB2312" w:hAnsi="宋体" w:eastAsia="仿宋_GB2312" w:cs="宋体"/>
                      <w:kern w:val="0"/>
                      <w:sz w:val="24"/>
                      <w:szCs w:val="24"/>
                    </w:rPr>
                    <w:t>用车活动</w:t>
                  </w:r>
                  <w:r>
                    <w:rPr>
                      <w:rFonts w:ascii="仿宋_GB2312" w:hAnsi="宋体" w:eastAsia="仿宋_GB2312" w:cs="宋体"/>
                      <w:kern w:val="0"/>
                      <w:sz w:val="24"/>
                      <w:szCs w:val="24"/>
                    </w:rPr>
                    <w:t>增加，</w:t>
                  </w:r>
                  <w:r>
                    <w:rPr>
                      <w:rFonts w:hint="eastAsia" w:ascii="仿宋_GB2312" w:hAnsi="宋体" w:eastAsia="仿宋_GB2312" w:cs="宋体"/>
                      <w:kern w:val="0"/>
                      <w:sz w:val="24"/>
                      <w:szCs w:val="24"/>
                    </w:rPr>
                    <w:t>适当</w:t>
                  </w:r>
                  <w:r>
                    <w:rPr>
                      <w:rFonts w:ascii="仿宋_GB2312" w:hAnsi="宋体" w:eastAsia="仿宋_GB2312" w:cs="宋体"/>
                      <w:kern w:val="0"/>
                      <w:sz w:val="24"/>
                      <w:szCs w:val="24"/>
                    </w:rPr>
                    <w:t>提高</w:t>
                  </w:r>
                  <w:r>
                    <w:rPr>
                      <w:rFonts w:hint="eastAsia" w:ascii="仿宋_GB2312" w:hAnsi="宋体" w:eastAsia="仿宋_GB2312" w:cs="宋体"/>
                      <w:kern w:val="0"/>
                      <w:sz w:val="24"/>
                      <w:szCs w:val="24"/>
                    </w:rPr>
                    <w:t>公务用车运行经费预算</w:t>
                  </w:r>
                  <w:r>
                    <w:rPr>
                      <w:rFonts w:ascii="仿宋_GB2312" w:hAnsi="宋体" w:eastAsia="仿宋_GB2312" w:cs="宋体"/>
                      <w:kern w:val="0"/>
                      <w:sz w:val="24"/>
                      <w:szCs w:val="24"/>
                    </w:rPr>
                    <w:t>支出</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w:t>
                  </w:r>
                  <w:r>
                    <w:rPr>
                      <w:rFonts w:hint="eastAsia" w:ascii="仿宋_GB2312" w:hAnsi="宋体" w:eastAsia="仿宋_GB2312" w:cs="宋体"/>
                      <w:kern w:val="0"/>
                      <w:sz w:val="24"/>
                      <w:szCs w:val="24"/>
                      <w:lang w:eastAsia="zh-CN"/>
                    </w:rPr>
                    <w:t>八项规定</w:t>
                  </w:r>
                  <w:r>
                    <w:rPr>
                      <w:rFonts w:hint="eastAsia" w:ascii="仿宋_GB2312" w:hAnsi="宋体" w:eastAsia="仿宋_GB2312" w:cs="宋体"/>
                      <w:kern w:val="0"/>
                      <w:sz w:val="24"/>
                      <w:szCs w:val="24"/>
                    </w:rPr>
                    <w:t>，厉行节约，</w:t>
                  </w:r>
                  <w:r>
                    <w:rPr>
                      <w:rFonts w:ascii="仿宋_GB2312" w:hAnsi="宋体" w:eastAsia="仿宋_GB2312" w:cs="宋体"/>
                      <w:kern w:val="0"/>
                      <w:sz w:val="24"/>
                      <w:szCs w:val="24"/>
                    </w:rPr>
                    <w:t>根据上年支出情况暂不安排</w:t>
                  </w:r>
                  <w:r>
                    <w:rPr>
                      <w:rFonts w:hint="eastAsia" w:ascii="仿宋_GB2312" w:hAnsi="宋体" w:eastAsia="仿宋_GB2312" w:cs="宋体"/>
                      <w:kern w:val="0"/>
                      <w:sz w:val="24"/>
                      <w:szCs w:val="24"/>
                    </w:rPr>
                    <w:t>2020年</w:t>
                  </w:r>
                  <w:r>
                    <w:rPr>
                      <w:rFonts w:ascii="仿宋_GB2312" w:hAnsi="宋体" w:eastAsia="仿宋_GB2312" w:cs="宋体"/>
                      <w:kern w:val="0"/>
                      <w:sz w:val="24"/>
                      <w:szCs w:val="24"/>
                    </w:rPr>
                    <w:t>招待费</w:t>
                  </w:r>
                  <w:r>
                    <w:rPr>
                      <w:rFonts w:hint="eastAsia" w:ascii="仿宋_GB2312" w:hAnsi="宋体" w:eastAsia="仿宋_GB2312" w:cs="宋体"/>
                      <w:kern w:val="0"/>
                      <w:sz w:val="24"/>
                      <w:szCs w:val="24"/>
                    </w:rPr>
                    <w:t>预算</w:t>
                  </w:r>
                  <w:r>
                    <w:rPr>
                      <w:rFonts w:ascii="仿宋_GB2312" w:hAnsi="宋体" w:eastAsia="仿宋_GB2312" w:cs="宋体"/>
                      <w:kern w:val="0"/>
                      <w:sz w:val="24"/>
                      <w:szCs w:val="24"/>
                    </w:rPr>
                    <w:t>支出</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24.7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w:t>
                  </w:r>
                  <w:r>
                    <w:rPr>
                      <w:rFonts w:hint="eastAsia" w:ascii="仿宋_GB2312" w:hAnsi="宋体" w:eastAsia="仿宋_GB2312" w:cs="宋体"/>
                      <w:kern w:val="0"/>
                      <w:sz w:val="24"/>
                      <w:szCs w:val="24"/>
                      <w:lang w:eastAsia="zh-CN"/>
                    </w:rPr>
                    <w:t>八项规定</w:t>
                  </w:r>
                  <w:bookmarkStart w:id="0" w:name="_GoBack"/>
                  <w:bookmarkEnd w:id="0"/>
                  <w:r>
                    <w:rPr>
                      <w:rFonts w:hint="eastAsia" w:ascii="仿宋_GB2312" w:hAnsi="宋体" w:eastAsia="仿宋_GB2312" w:cs="宋体"/>
                      <w:kern w:val="0"/>
                      <w:sz w:val="24"/>
                      <w:szCs w:val="24"/>
                    </w:rPr>
                    <w:t>，厉行节约，杜绝浪费。从总量来讲，我部门的三公经费与上年相比增加了9.3</w:t>
                  </w:r>
                  <w:r>
                    <w:rPr>
                      <w:rFonts w:ascii="仿宋_GB2312" w:hAnsi="宋体" w:eastAsia="仿宋_GB2312" w:cs="宋体"/>
                      <w:kern w:val="0"/>
                      <w:sz w:val="24"/>
                      <w:szCs w:val="24"/>
                    </w:rPr>
                    <w:t>%</w:t>
                  </w:r>
                  <w:r>
                    <w:rPr>
                      <w:rFonts w:hint="eastAsia" w:ascii="仿宋_GB2312" w:hAnsi="宋体" w:eastAsia="仿宋_GB2312" w:cs="宋体"/>
                      <w:kern w:val="0"/>
                      <w:sz w:val="24"/>
                      <w:szCs w:val="24"/>
                    </w:rPr>
                    <w:t>,</w:t>
                  </w:r>
                  <w:r>
                    <w:rPr>
                      <w:rFonts w:ascii="仿宋_GB2312" w:hAnsi="宋体" w:eastAsia="仿宋_GB2312" w:cs="宋体"/>
                      <w:kern w:val="0"/>
                      <w:sz w:val="24"/>
                      <w:szCs w:val="24"/>
                    </w:rPr>
                    <w:t>增加</w:t>
                  </w:r>
                  <w:r>
                    <w:rPr>
                      <w:rFonts w:hint="eastAsia" w:ascii="仿宋_GB2312" w:hAnsi="宋体" w:eastAsia="仿宋_GB2312" w:cs="宋体"/>
                      <w:kern w:val="0"/>
                      <w:sz w:val="24"/>
                      <w:szCs w:val="24"/>
                    </w:rPr>
                    <w:t>2.3万元。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ascii="仿宋" w:hAnsi="仿宋" w:eastAsia="仿宋"/>
          <w:sz w:val="32"/>
          <w:szCs w:val="32"/>
        </w:rPr>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90%以上，使农村公路建管养工作继续保持在全市乃至全省前列；着力提升交通运输行业管理和服务水平，深化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pPr>
        <w:spacing w:line="360" w:lineRule="auto"/>
        <w:ind w:firstLine="640" w:firstLineChars="200"/>
        <w:rPr>
          <w:rFonts w:ascii="仿宋" w:hAnsi="仿宋" w:eastAsia="仿宋"/>
          <w:sz w:val="32"/>
          <w:szCs w:val="32"/>
        </w:rPr>
      </w:pPr>
      <w:r>
        <w:rPr>
          <w:rFonts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保障道路安全畅通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通过实施对农村公路恢复性施工及预防性养护、危桥改造、安保工程及沿线服务设施等专项养护工程，基本完成全区道路安全隐患治理，使农村公路保障有力、安全畅通，保持良好的服务水平，支持乡村振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绩效指标：农村公路日常养护</w:t>
      </w:r>
      <w:r>
        <w:rPr>
          <w:rFonts w:ascii="仿宋" w:hAnsi="仿宋" w:eastAsia="仿宋"/>
          <w:sz w:val="32"/>
          <w:szCs w:val="32"/>
        </w:rPr>
        <w:t>500</w:t>
      </w:r>
      <w:r>
        <w:rPr>
          <w:rFonts w:hint="eastAsia" w:ascii="仿宋" w:hAnsi="仿宋" w:eastAsia="仿宋"/>
          <w:sz w:val="32"/>
          <w:szCs w:val="32"/>
        </w:rPr>
        <w:t>公里，工程质量合格率达到</w:t>
      </w:r>
      <w:r>
        <w:rPr>
          <w:rFonts w:ascii="仿宋" w:hAnsi="仿宋" w:eastAsia="仿宋"/>
          <w:sz w:val="32"/>
          <w:szCs w:val="32"/>
        </w:rPr>
        <w:t>100%</w:t>
      </w:r>
      <w:r>
        <w:rPr>
          <w:rFonts w:hint="eastAsia" w:ascii="仿宋" w:hAnsi="仿宋" w:eastAsia="仿宋"/>
          <w:sz w:val="32"/>
          <w:szCs w:val="32"/>
        </w:rPr>
        <w:t>；处置危桥不低于</w:t>
      </w:r>
      <w:r>
        <w:rPr>
          <w:rFonts w:ascii="仿宋" w:hAnsi="仿宋" w:eastAsia="仿宋"/>
          <w:sz w:val="32"/>
          <w:szCs w:val="32"/>
        </w:rPr>
        <w:t>5</w:t>
      </w:r>
      <w:r>
        <w:rPr>
          <w:rFonts w:hint="eastAsia" w:ascii="仿宋" w:hAnsi="仿宋" w:eastAsia="仿宋"/>
          <w:sz w:val="32"/>
          <w:szCs w:val="32"/>
        </w:rPr>
        <w:t>座，处置安防灾害隐患路段长度不低于</w:t>
      </w:r>
      <w:r>
        <w:rPr>
          <w:rFonts w:ascii="仿宋" w:hAnsi="仿宋" w:eastAsia="仿宋"/>
          <w:sz w:val="32"/>
          <w:szCs w:val="32"/>
        </w:rPr>
        <w:t>10</w:t>
      </w:r>
      <w:r>
        <w:rPr>
          <w:rFonts w:hint="eastAsia" w:ascii="仿宋" w:hAnsi="仿宋" w:eastAsia="仿宋"/>
          <w:sz w:val="32"/>
          <w:szCs w:val="32"/>
        </w:rPr>
        <w:t>公里；项目实施后较长时期对区域交通状况改善明显。</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优先发展城市公交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绩效目标：指导全区城市公交行业的管理工作，保障行业安全稳定，完成城市客运行业数据报送；城市客运行业信息报送；进一步落实我区优先发展公共交通战略。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绩效指标：对我区</w:t>
      </w:r>
      <w:r>
        <w:rPr>
          <w:rFonts w:ascii="仿宋" w:hAnsi="仿宋" w:eastAsia="仿宋"/>
          <w:sz w:val="32"/>
          <w:szCs w:val="32"/>
        </w:rPr>
        <w:t>110</w:t>
      </w:r>
      <w:r>
        <w:rPr>
          <w:rFonts w:hint="eastAsia" w:ascii="仿宋" w:hAnsi="仿宋" w:eastAsia="仿宋"/>
          <w:sz w:val="32"/>
          <w:szCs w:val="32"/>
        </w:rPr>
        <w:t>辆新能源公交电动车进行财政补贴，资金按进度及时拨付，工作完成率为</w:t>
      </w:r>
      <w:r>
        <w:rPr>
          <w:rFonts w:ascii="仿宋" w:hAnsi="仿宋" w:eastAsia="仿宋"/>
          <w:sz w:val="32"/>
          <w:szCs w:val="32"/>
        </w:rPr>
        <w:t>100%</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提高事务处理能力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绩效目标：加强后勤保障、维持机关正常运转，提高事务性管理工作水平。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绩效指标：及时完成保安保洁、车辆租赁费用的资金支付，工作完成率为</w:t>
      </w:r>
      <w:r>
        <w:rPr>
          <w:rFonts w:ascii="仿宋" w:hAnsi="仿宋" w:eastAsia="仿宋"/>
          <w:sz w:val="32"/>
          <w:szCs w:val="32"/>
        </w:rPr>
        <w:t>100%</w:t>
      </w:r>
      <w:r>
        <w:rPr>
          <w:rFonts w:hint="eastAsia" w:ascii="仿宋" w:hAnsi="仿宋" w:eastAsia="仿宋"/>
          <w:sz w:val="32"/>
          <w:szCs w:val="32"/>
        </w:rPr>
        <w:t>，服务对象满意率达</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完善制度建设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局党组的坚强领导下，制定我单位预算绩效管理有关制度办法、完善财务管理规定，建立健全绩效评价领导机构和工作机构，将事前绩效评估和绩效自评制度化，科学确定全年预算绩效目标，客观评价年度完成情况，落实有关要求。</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加强支出和绩效管理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优化支出结构、编细编实预算，及早履行政府采购手续、尽快启动项目、及时支付资金、确保支出进度达标，提高财政资金使用效益。按要求开展上年度部门预算绩效自评和重点评价工作，对评价中发现的问题及时整改。</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规范财政资金、财务资产管理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规范财政资金使用效益，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强化宣传引导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组织开展多轮次、多角度的业务培训，使干部职工牢固树立绩效理念，熟悉管理流程，掌握工作方法，提升管理能力。积极探索工作经验，及时总结预算绩效管理成效，营造良好的舆论氛围。积极采取购买服务等方式，利用专业机构开展工作，提升预算绩效管理科学水平。</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ind w:firstLine="562" w:firstLineChars="200"/>
        <w:jc w:val="left"/>
        <w:outlineLvl w:val="1"/>
        <w:rPr>
          <w:rFonts w:ascii="Times New Roman" w:hAnsi="宋体" w:eastAsia="宋体"/>
          <w:b/>
          <w:sz w:val="28"/>
        </w:rPr>
      </w:pPr>
      <w:r>
        <w:rPr>
          <w:rFonts w:ascii="方正仿宋_GBK" w:eastAsia="方正仿宋_GBK"/>
          <w:b/>
          <w:sz w:val="28"/>
        </w:rPr>
        <w:t>1、保安保洁经费绩效目标表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348002交通局（行政）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348-0702-JXN-28TH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15.24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15.24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用于2020年我局后勤保障方面的保安、保洁、厨师的劳务支出。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1、为保障我局2020年后勤方面的保安、保洁、厨师的劳务支出按时完成支付15.24万元，加强机关事务性管理，提高机关自身工作能力。</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综合事务管理工作量完成率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综合事务管理工作量完成情况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综合事务管理工作投资完成率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综合事务管理工作投资完成情况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综合事务管理工作职工满意率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综合事务管理工作职工满意情况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社会调查问卷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2、车辆租赁费绩效目标表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348002交通局（行政）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348-0702-JXN-LU38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车辆租赁费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为保障我局2020年办公车辆正常需求，支付车辆租赁费用8万元。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1、按时完成支付车辆租赁费用8万元，保障我局2020年办公车辆正常需求，提高工作效率。</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综合事务管理工作量完成率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综合事务管理工作量完成情况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综合事务管理工作投资完成率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综合事务管理工作投资完成情况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综合事务管理工作职工满意率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综合事务管理工作职工满意情况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社会问卷调查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3、城市公交运营补贴项目绩效目标表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348002交通局（行政）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348-0601-JXN-F8TG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城市公交运营补贴项目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为落实国家节能减排、大气污染防治和新能源汽车的工作要求，对我区110辆新能源公交电动车进行财政补贴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1、按时完成对我区110辆新能源公交电动车进行财政补贴620万元，保障城市客运管理业务顺利开展，维护城市公交安全稳定运行，满足群众出行需求。</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客运周转量目标完成率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年客运实际周转量占年目标周转量的比例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实际到位补贴资金占应到位资金的比例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依据工作计划及文件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安全生产维稳控制目标是否实现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2020年安全生产控制目标是否实现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实现</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依据2020年安全生产工作方案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依据调查问卷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4、绩效挂钩经费绩效目标表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348002交通局（行政）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348-0702-JXN-G3V9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绩效挂钩经费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18.21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18.21</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根据支出进度考核要求，按时完成支出任务，按照支出进度恢复扣减经费，2020年实施。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1、首先用于年初预算安排的日常公用的经费支出，保障机关正常运行。</w:t>
            </w:r>
          </w:p>
          <w:p>
            <w:pPr>
              <w:spacing w:line="300" w:lineRule="exact"/>
              <w:jc w:val="left"/>
              <w:rPr>
                <w:rFonts w:ascii="方正书宋_GBK" w:eastAsia="方正书宋_GBK"/>
              </w:rPr>
            </w:pPr>
            <w:r>
              <w:rPr>
                <w:rFonts w:ascii="方正书宋_GBK" w:eastAsia="方正书宋_GBK"/>
              </w:rPr>
              <w:t>2、按照确定的支出时限及时支出</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支出进度完成情况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达到序时进度要求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工程项目进度完成率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工程项目进度按时完成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工作人员满意度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职工对保障业务正常开展的满意度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2020年，我部门安排政府采购预算6.8万元，具体内容见下表：</w:t>
      </w: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5"/>
        <w:tblW w:w="8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5"/>
        <w:gridCol w:w="850"/>
        <w:gridCol w:w="851"/>
        <w:gridCol w:w="850"/>
        <w:gridCol w:w="425"/>
        <w:gridCol w:w="426"/>
        <w:gridCol w:w="708"/>
        <w:gridCol w:w="709"/>
        <w:gridCol w:w="815"/>
        <w:gridCol w:w="427"/>
        <w:gridCol w:w="427"/>
        <w:gridCol w:w="427"/>
        <w:gridCol w:w="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0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 xml:space="preserve">                     </w:t>
            </w:r>
            <w:r>
              <w:rPr>
                <w:rFonts w:ascii="方正小标宋_GBK" w:eastAsia="方正小标宋_GBK"/>
                <w:sz w:val="24"/>
              </w:rPr>
              <w:t>部门</w:t>
            </w:r>
            <w:r>
              <w:rPr>
                <w:rFonts w:hint="eastAsia" w:ascii="方正小标宋_GBK" w:eastAsia="方正小标宋_GBK"/>
                <w:sz w:val="24"/>
              </w:rPr>
              <w:t>政府</w:t>
            </w:r>
            <w:r>
              <w:rPr>
                <w:rFonts w:ascii="方正小标宋_GBK" w:eastAsia="方正小标宋_GBK"/>
                <w:sz w:val="24"/>
              </w:rPr>
              <w:t>采购预算表</w:t>
            </w:r>
          </w:p>
          <w:p>
            <w:pPr>
              <w:spacing w:line="300" w:lineRule="exact"/>
              <w:jc w:val="left"/>
              <w:rPr>
                <w:rFonts w:ascii="方正小标宋_GBK" w:eastAsia="方正小标宋_GBK"/>
                <w:sz w:val="24"/>
              </w:rPr>
            </w:pPr>
            <w:r>
              <w:rPr>
                <w:rFonts w:ascii="方正小标宋_GBK" w:eastAsia="方正小标宋_GBK"/>
                <w:sz w:val="24"/>
              </w:rPr>
              <w:t>348保定市徐水区交通运输局</w:t>
            </w:r>
          </w:p>
        </w:tc>
        <w:tc>
          <w:tcPr>
            <w:tcW w:w="326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35"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8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425"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42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708"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3261"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5"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851" w:type="dxa"/>
            <w:vMerge w:val="continue"/>
            <w:shd w:val="clear" w:color="auto" w:fill="auto"/>
            <w:vAlign w:val="center"/>
          </w:tcPr>
          <w:p>
            <w:pPr>
              <w:spacing w:line="300" w:lineRule="exact"/>
              <w:jc w:val="left"/>
              <w:outlineLvl w:val="0"/>
              <w:rPr>
                <w:rFonts w:ascii="Times New Roman" w:eastAsia="方正仿宋_GBK"/>
                <w:sz w:val="28"/>
              </w:rPr>
            </w:pPr>
          </w:p>
        </w:tc>
        <w:tc>
          <w:tcPr>
            <w:tcW w:w="850" w:type="dxa"/>
            <w:vMerge w:val="continue"/>
            <w:shd w:val="clear" w:color="auto" w:fill="auto"/>
            <w:vAlign w:val="center"/>
          </w:tcPr>
          <w:p>
            <w:pPr>
              <w:spacing w:line="300" w:lineRule="exact"/>
              <w:jc w:val="left"/>
              <w:outlineLvl w:val="0"/>
              <w:rPr>
                <w:rFonts w:ascii="Times New Roman" w:eastAsia="方正仿宋_GBK"/>
                <w:sz w:val="28"/>
              </w:rPr>
            </w:pPr>
          </w:p>
        </w:tc>
        <w:tc>
          <w:tcPr>
            <w:tcW w:w="425" w:type="dxa"/>
            <w:vMerge w:val="continue"/>
            <w:shd w:val="clear" w:color="auto" w:fill="auto"/>
            <w:vAlign w:val="center"/>
          </w:tcPr>
          <w:p>
            <w:pPr>
              <w:spacing w:line="300" w:lineRule="exact"/>
              <w:jc w:val="left"/>
              <w:outlineLvl w:val="0"/>
              <w:rPr>
                <w:rFonts w:ascii="Times New Roman" w:eastAsia="方正仿宋_GBK"/>
                <w:sz w:val="28"/>
              </w:rPr>
            </w:pPr>
          </w:p>
        </w:tc>
        <w:tc>
          <w:tcPr>
            <w:tcW w:w="426" w:type="dxa"/>
            <w:vMerge w:val="continue"/>
            <w:shd w:val="clear" w:color="auto" w:fill="auto"/>
            <w:vAlign w:val="center"/>
          </w:tcPr>
          <w:p>
            <w:pPr>
              <w:spacing w:line="300" w:lineRule="exact"/>
              <w:jc w:val="left"/>
              <w:outlineLvl w:val="0"/>
              <w:rPr>
                <w:rFonts w:ascii="Times New Roman" w:eastAsia="方正仿宋_GBK"/>
                <w:sz w:val="28"/>
              </w:rPr>
            </w:pPr>
          </w:p>
        </w:tc>
        <w:tc>
          <w:tcPr>
            <w:tcW w:w="708"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815"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427"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427"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427"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45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5"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left"/>
              <w:rPr>
                <w:rFonts w:ascii="方正书宋_GBK" w:eastAsia="方正书宋_GBK"/>
                <w:b/>
              </w:rPr>
            </w:pPr>
          </w:p>
        </w:tc>
        <w:tc>
          <w:tcPr>
            <w:tcW w:w="425" w:type="dxa"/>
            <w:shd w:val="clear" w:color="auto" w:fill="auto"/>
            <w:vAlign w:val="center"/>
          </w:tcPr>
          <w:p>
            <w:pPr>
              <w:spacing w:line="300" w:lineRule="exact"/>
              <w:jc w:val="center"/>
              <w:rPr>
                <w:rFonts w:ascii="方正书宋_GBK" w:eastAsia="方正书宋_GBK"/>
                <w:b/>
              </w:rPr>
            </w:pPr>
          </w:p>
        </w:tc>
        <w:tc>
          <w:tcPr>
            <w:tcW w:w="426" w:type="dxa"/>
            <w:shd w:val="clear" w:color="auto" w:fill="auto"/>
            <w:vAlign w:val="center"/>
          </w:tcPr>
          <w:p>
            <w:pPr>
              <w:spacing w:line="300" w:lineRule="exact"/>
              <w:jc w:val="righ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6.80</w:t>
            </w:r>
          </w:p>
        </w:tc>
        <w:tc>
          <w:tcPr>
            <w:tcW w:w="815" w:type="dxa"/>
            <w:shd w:val="clear" w:color="auto" w:fill="auto"/>
            <w:vAlign w:val="center"/>
          </w:tcPr>
          <w:p>
            <w:pPr>
              <w:spacing w:line="300" w:lineRule="exact"/>
              <w:jc w:val="right"/>
              <w:rPr>
                <w:rFonts w:ascii="方正书宋_GBK" w:eastAsia="方正书宋_GBK"/>
                <w:b/>
              </w:rPr>
            </w:pPr>
            <w:r>
              <w:rPr>
                <w:rFonts w:ascii="方正书宋_GBK" w:eastAsia="方正书宋_GBK"/>
                <w:b/>
              </w:rPr>
              <w:t>6.80</w:t>
            </w:r>
          </w:p>
        </w:tc>
        <w:tc>
          <w:tcPr>
            <w:tcW w:w="427" w:type="dxa"/>
            <w:shd w:val="clear" w:color="auto" w:fill="auto"/>
            <w:vAlign w:val="center"/>
          </w:tcPr>
          <w:p>
            <w:pPr>
              <w:spacing w:line="300" w:lineRule="exact"/>
              <w:jc w:val="right"/>
              <w:rPr>
                <w:rFonts w:ascii="方正书宋_GBK" w:eastAsia="方正书宋_GBK"/>
                <w:b/>
              </w:rPr>
            </w:pPr>
          </w:p>
        </w:tc>
        <w:tc>
          <w:tcPr>
            <w:tcW w:w="427" w:type="dxa"/>
            <w:shd w:val="clear" w:color="auto" w:fill="auto"/>
            <w:vAlign w:val="center"/>
          </w:tcPr>
          <w:p>
            <w:pPr>
              <w:spacing w:line="300" w:lineRule="exact"/>
              <w:jc w:val="right"/>
              <w:rPr>
                <w:rFonts w:ascii="方正书宋_GBK" w:eastAsia="方正书宋_GBK"/>
                <w:b/>
              </w:rPr>
            </w:pPr>
          </w:p>
        </w:tc>
        <w:tc>
          <w:tcPr>
            <w:tcW w:w="427" w:type="dxa"/>
            <w:shd w:val="clear" w:color="auto" w:fill="auto"/>
            <w:vAlign w:val="center"/>
          </w:tcPr>
          <w:p>
            <w:pPr>
              <w:spacing w:line="300" w:lineRule="exact"/>
              <w:jc w:val="right"/>
              <w:rPr>
                <w:rFonts w:ascii="方正书宋_GBK" w:eastAsia="方正书宋_GBK"/>
                <w:b/>
              </w:rPr>
            </w:pPr>
          </w:p>
        </w:tc>
        <w:tc>
          <w:tcPr>
            <w:tcW w:w="45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0" w:hRule="atLeast"/>
          <w:jc w:val="center"/>
        </w:trPr>
        <w:tc>
          <w:tcPr>
            <w:tcW w:w="985" w:type="dxa"/>
            <w:shd w:val="clear" w:color="auto" w:fill="auto"/>
            <w:vAlign w:val="center"/>
          </w:tcPr>
          <w:p>
            <w:pPr>
              <w:spacing w:line="300" w:lineRule="exact"/>
              <w:jc w:val="center"/>
              <w:rPr>
                <w:rFonts w:ascii="方正书宋_GBK" w:eastAsia="方正书宋_GBK"/>
                <w:b/>
              </w:rPr>
            </w:pPr>
            <w:r>
              <w:rPr>
                <w:rFonts w:ascii="方正书宋_GBK" w:eastAsia="方正书宋_GBK"/>
                <w:b/>
              </w:rPr>
              <w:t>交通局（行政）小计</w:t>
            </w: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left"/>
              <w:rPr>
                <w:rFonts w:ascii="方正书宋_GBK" w:eastAsia="方正书宋_GBK"/>
                <w:b/>
              </w:rPr>
            </w:pPr>
          </w:p>
        </w:tc>
        <w:tc>
          <w:tcPr>
            <w:tcW w:w="425" w:type="dxa"/>
            <w:shd w:val="clear" w:color="auto" w:fill="auto"/>
            <w:vAlign w:val="center"/>
          </w:tcPr>
          <w:p>
            <w:pPr>
              <w:spacing w:line="300" w:lineRule="exact"/>
              <w:jc w:val="center"/>
              <w:rPr>
                <w:rFonts w:ascii="方正书宋_GBK" w:eastAsia="方正书宋_GBK"/>
                <w:b/>
              </w:rPr>
            </w:pPr>
          </w:p>
        </w:tc>
        <w:tc>
          <w:tcPr>
            <w:tcW w:w="426" w:type="dxa"/>
            <w:shd w:val="clear" w:color="auto" w:fill="auto"/>
            <w:vAlign w:val="center"/>
          </w:tcPr>
          <w:p>
            <w:pPr>
              <w:spacing w:line="300" w:lineRule="exact"/>
              <w:jc w:val="righ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2.70</w:t>
            </w:r>
          </w:p>
        </w:tc>
        <w:tc>
          <w:tcPr>
            <w:tcW w:w="815" w:type="dxa"/>
            <w:shd w:val="clear" w:color="auto" w:fill="auto"/>
            <w:vAlign w:val="center"/>
          </w:tcPr>
          <w:p>
            <w:pPr>
              <w:spacing w:line="300" w:lineRule="exact"/>
              <w:jc w:val="right"/>
              <w:rPr>
                <w:rFonts w:ascii="方正书宋_GBK" w:eastAsia="方正书宋_GBK"/>
                <w:b/>
              </w:rPr>
            </w:pPr>
            <w:r>
              <w:rPr>
                <w:rFonts w:ascii="方正书宋_GBK" w:eastAsia="方正书宋_GBK"/>
                <w:b/>
              </w:rPr>
              <w:t>2.70</w:t>
            </w:r>
          </w:p>
        </w:tc>
        <w:tc>
          <w:tcPr>
            <w:tcW w:w="427" w:type="dxa"/>
            <w:shd w:val="clear" w:color="auto" w:fill="auto"/>
            <w:vAlign w:val="center"/>
          </w:tcPr>
          <w:p>
            <w:pPr>
              <w:spacing w:line="300" w:lineRule="exact"/>
              <w:jc w:val="right"/>
              <w:rPr>
                <w:rFonts w:ascii="方正书宋_GBK" w:eastAsia="方正书宋_GBK"/>
                <w:b/>
              </w:rPr>
            </w:pPr>
          </w:p>
        </w:tc>
        <w:tc>
          <w:tcPr>
            <w:tcW w:w="427" w:type="dxa"/>
            <w:shd w:val="clear" w:color="auto" w:fill="auto"/>
            <w:vAlign w:val="center"/>
          </w:tcPr>
          <w:p>
            <w:pPr>
              <w:spacing w:line="300" w:lineRule="exact"/>
              <w:jc w:val="right"/>
              <w:rPr>
                <w:rFonts w:ascii="方正书宋_GBK" w:eastAsia="方正书宋_GBK"/>
                <w:b/>
              </w:rPr>
            </w:pPr>
          </w:p>
        </w:tc>
        <w:tc>
          <w:tcPr>
            <w:tcW w:w="427" w:type="dxa"/>
            <w:shd w:val="clear" w:color="auto" w:fill="auto"/>
            <w:vAlign w:val="center"/>
          </w:tcPr>
          <w:p>
            <w:pPr>
              <w:spacing w:line="300" w:lineRule="exact"/>
              <w:jc w:val="right"/>
              <w:rPr>
                <w:rFonts w:ascii="方正书宋_GBK" w:eastAsia="方正书宋_GBK"/>
                <w:b/>
              </w:rPr>
            </w:pPr>
          </w:p>
        </w:tc>
        <w:tc>
          <w:tcPr>
            <w:tcW w:w="45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5"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850" w:type="dxa"/>
            <w:shd w:val="clear" w:color="auto" w:fill="auto"/>
            <w:vAlign w:val="center"/>
          </w:tcPr>
          <w:p>
            <w:pPr>
              <w:spacing w:line="300" w:lineRule="exact"/>
              <w:jc w:val="right"/>
              <w:rPr>
                <w:rFonts w:ascii="方正书宋_GBK" w:eastAsia="方正书宋_GBK"/>
              </w:rPr>
            </w:pPr>
            <w:r>
              <w:rPr>
                <w:rFonts w:ascii="方正书宋_GBK" w:eastAsia="方正书宋_GBK"/>
              </w:rPr>
              <w:t>62.16</w:t>
            </w:r>
          </w:p>
        </w:tc>
        <w:tc>
          <w:tcPr>
            <w:tcW w:w="851" w:type="dxa"/>
            <w:shd w:val="clear" w:color="auto" w:fill="auto"/>
            <w:vAlign w:val="center"/>
          </w:tcPr>
          <w:p>
            <w:pPr>
              <w:spacing w:line="300" w:lineRule="exact"/>
              <w:jc w:val="left"/>
              <w:rPr>
                <w:rFonts w:ascii="方正书宋_GBK" w:eastAsia="方正书宋_GBK"/>
              </w:rPr>
            </w:pPr>
            <w:r>
              <w:rPr>
                <w:rFonts w:ascii="方正书宋_GBK" w:eastAsia="方正书宋_GBK"/>
              </w:rPr>
              <w:t>机动车保险服务</w:t>
            </w:r>
          </w:p>
        </w:tc>
        <w:tc>
          <w:tcPr>
            <w:tcW w:w="850"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425" w:type="dxa"/>
            <w:shd w:val="clear" w:color="auto" w:fill="auto"/>
            <w:vAlign w:val="center"/>
          </w:tcPr>
          <w:p>
            <w:pPr>
              <w:spacing w:line="300" w:lineRule="exact"/>
              <w:jc w:val="center"/>
              <w:rPr>
                <w:rFonts w:ascii="方正书宋_GBK" w:eastAsia="方正书宋_GBK"/>
              </w:rPr>
            </w:pPr>
            <w:r>
              <w:rPr>
                <w:rFonts w:ascii="方正书宋_GBK" w:eastAsia="方正书宋_GBK"/>
              </w:rPr>
              <w:t>辆</w:t>
            </w:r>
          </w:p>
        </w:tc>
        <w:tc>
          <w:tcPr>
            <w:tcW w:w="426" w:type="dxa"/>
            <w:shd w:val="clear" w:color="auto" w:fill="auto"/>
            <w:vAlign w:val="center"/>
          </w:tcPr>
          <w:p>
            <w:pPr>
              <w:spacing w:line="300" w:lineRule="exact"/>
              <w:jc w:val="right"/>
              <w:rPr>
                <w:rFonts w:ascii="方正书宋_GBK" w:eastAsia="方正书宋_GBK"/>
              </w:rPr>
            </w:pPr>
            <w:r>
              <w:rPr>
                <w:rFonts w:ascii="方正书宋_GBK" w:eastAsia="方正书宋_GBK"/>
              </w:rPr>
              <w:t>9</w:t>
            </w: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815"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427" w:type="dxa"/>
            <w:shd w:val="clear" w:color="auto" w:fill="auto"/>
            <w:vAlign w:val="center"/>
          </w:tcPr>
          <w:p>
            <w:pPr>
              <w:spacing w:line="300" w:lineRule="exact"/>
              <w:jc w:val="right"/>
              <w:rPr>
                <w:rFonts w:ascii="方正书宋_GBK" w:eastAsia="方正书宋_GBK"/>
              </w:rPr>
            </w:pPr>
          </w:p>
        </w:tc>
        <w:tc>
          <w:tcPr>
            <w:tcW w:w="427" w:type="dxa"/>
            <w:shd w:val="clear" w:color="auto" w:fill="auto"/>
            <w:vAlign w:val="center"/>
          </w:tcPr>
          <w:p>
            <w:pPr>
              <w:spacing w:line="300" w:lineRule="exact"/>
              <w:jc w:val="right"/>
              <w:rPr>
                <w:rFonts w:ascii="方正书宋_GBK" w:eastAsia="方正书宋_GBK"/>
              </w:rPr>
            </w:pPr>
          </w:p>
        </w:tc>
        <w:tc>
          <w:tcPr>
            <w:tcW w:w="427" w:type="dxa"/>
            <w:shd w:val="clear" w:color="auto" w:fill="auto"/>
            <w:vAlign w:val="center"/>
          </w:tcPr>
          <w:p>
            <w:pPr>
              <w:spacing w:line="300" w:lineRule="exact"/>
              <w:jc w:val="righ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5" w:type="dxa"/>
            <w:shd w:val="clear" w:color="auto" w:fill="auto"/>
            <w:vAlign w:val="center"/>
          </w:tcPr>
          <w:p>
            <w:pPr>
              <w:spacing w:line="300" w:lineRule="exact"/>
              <w:jc w:val="center"/>
              <w:rPr>
                <w:rFonts w:ascii="方正书宋_GBK" w:eastAsia="方正书宋_GBK"/>
                <w:b/>
              </w:rPr>
            </w:pPr>
            <w:r>
              <w:rPr>
                <w:rFonts w:ascii="方正书宋_GBK" w:eastAsia="方正书宋_GBK"/>
                <w:b/>
              </w:rPr>
              <w:t>交通局（事业）小计</w:t>
            </w: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left"/>
              <w:rPr>
                <w:rFonts w:ascii="方正书宋_GBK" w:eastAsia="方正书宋_GBK"/>
                <w:b/>
              </w:rPr>
            </w:pPr>
          </w:p>
        </w:tc>
        <w:tc>
          <w:tcPr>
            <w:tcW w:w="425" w:type="dxa"/>
            <w:shd w:val="clear" w:color="auto" w:fill="auto"/>
            <w:vAlign w:val="center"/>
          </w:tcPr>
          <w:p>
            <w:pPr>
              <w:spacing w:line="300" w:lineRule="exact"/>
              <w:jc w:val="center"/>
              <w:rPr>
                <w:rFonts w:ascii="方正书宋_GBK" w:eastAsia="方正书宋_GBK"/>
                <w:b/>
              </w:rPr>
            </w:pPr>
          </w:p>
        </w:tc>
        <w:tc>
          <w:tcPr>
            <w:tcW w:w="426" w:type="dxa"/>
            <w:shd w:val="clear" w:color="auto" w:fill="auto"/>
            <w:vAlign w:val="center"/>
          </w:tcPr>
          <w:p>
            <w:pPr>
              <w:spacing w:line="300" w:lineRule="exact"/>
              <w:jc w:val="righ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4.10</w:t>
            </w:r>
          </w:p>
        </w:tc>
        <w:tc>
          <w:tcPr>
            <w:tcW w:w="815" w:type="dxa"/>
            <w:shd w:val="clear" w:color="auto" w:fill="auto"/>
            <w:vAlign w:val="center"/>
          </w:tcPr>
          <w:p>
            <w:pPr>
              <w:spacing w:line="300" w:lineRule="exact"/>
              <w:jc w:val="right"/>
              <w:rPr>
                <w:rFonts w:ascii="方正书宋_GBK" w:eastAsia="方正书宋_GBK"/>
                <w:b/>
              </w:rPr>
            </w:pPr>
            <w:r>
              <w:rPr>
                <w:rFonts w:ascii="方正书宋_GBK" w:eastAsia="方正书宋_GBK"/>
                <w:b/>
              </w:rPr>
              <w:t>4.10</w:t>
            </w:r>
          </w:p>
        </w:tc>
        <w:tc>
          <w:tcPr>
            <w:tcW w:w="427" w:type="dxa"/>
            <w:shd w:val="clear" w:color="auto" w:fill="auto"/>
            <w:vAlign w:val="center"/>
          </w:tcPr>
          <w:p>
            <w:pPr>
              <w:spacing w:line="300" w:lineRule="exact"/>
              <w:jc w:val="right"/>
              <w:rPr>
                <w:rFonts w:ascii="方正书宋_GBK" w:eastAsia="方正书宋_GBK"/>
                <w:b/>
              </w:rPr>
            </w:pPr>
          </w:p>
        </w:tc>
        <w:tc>
          <w:tcPr>
            <w:tcW w:w="427" w:type="dxa"/>
            <w:shd w:val="clear" w:color="auto" w:fill="auto"/>
            <w:vAlign w:val="center"/>
          </w:tcPr>
          <w:p>
            <w:pPr>
              <w:spacing w:line="300" w:lineRule="exact"/>
              <w:jc w:val="right"/>
              <w:rPr>
                <w:rFonts w:ascii="方正书宋_GBK" w:eastAsia="方正书宋_GBK"/>
                <w:b/>
              </w:rPr>
            </w:pPr>
          </w:p>
        </w:tc>
        <w:tc>
          <w:tcPr>
            <w:tcW w:w="427" w:type="dxa"/>
            <w:shd w:val="clear" w:color="auto" w:fill="auto"/>
            <w:vAlign w:val="center"/>
          </w:tcPr>
          <w:p>
            <w:pPr>
              <w:spacing w:line="300" w:lineRule="exact"/>
              <w:jc w:val="right"/>
              <w:rPr>
                <w:rFonts w:ascii="方正书宋_GBK" w:eastAsia="方正书宋_GBK"/>
                <w:b/>
              </w:rPr>
            </w:pPr>
          </w:p>
        </w:tc>
        <w:tc>
          <w:tcPr>
            <w:tcW w:w="45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5"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850" w:type="dxa"/>
            <w:shd w:val="clear" w:color="auto" w:fill="auto"/>
            <w:vAlign w:val="center"/>
          </w:tcPr>
          <w:p>
            <w:pPr>
              <w:spacing w:line="300" w:lineRule="exact"/>
              <w:jc w:val="right"/>
              <w:rPr>
                <w:rFonts w:ascii="方正书宋_GBK" w:eastAsia="方正书宋_GBK"/>
              </w:rPr>
            </w:pPr>
            <w:r>
              <w:rPr>
                <w:rFonts w:ascii="方正书宋_GBK" w:eastAsia="方正书宋_GBK"/>
              </w:rPr>
              <w:t>69.93</w:t>
            </w:r>
          </w:p>
        </w:tc>
        <w:tc>
          <w:tcPr>
            <w:tcW w:w="851" w:type="dxa"/>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850"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425"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426"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815"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27" w:type="dxa"/>
            <w:shd w:val="clear" w:color="auto" w:fill="auto"/>
            <w:vAlign w:val="center"/>
          </w:tcPr>
          <w:p>
            <w:pPr>
              <w:spacing w:line="300" w:lineRule="exact"/>
              <w:jc w:val="right"/>
              <w:rPr>
                <w:rFonts w:ascii="方正书宋_GBK" w:eastAsia="方正书宋_GBK"/>
              </w:rPr>
            </w:pPr>
          </w:p>
        </w:tc>
        <w:tc>
          <w:tcPr>
            <w:tcW w:w="427" w:type="dxa"/>
            <w:shd w:val="clear" w:color="auto" w:fill="auto"/>
            <w:vAlign w:val="center"/>
          </w:tcPr>
          <w:p>
            <w:pPr>
              <w:spacing w:line="300" w:lineRule="exact"/>
              <w:jc w:val="right"/>
              <w:rPr>
                <w:rFonts w:ascii="方正书宋_GBK" w:eastAsia="方正书宋_GBK"/>
              </w:rPr>
            </w:pPr>
          </w:p>
        </w:tc>
        <w:tc>
          <w:tcPr>
            <w:tcW w:w="427" w:type="dxa"/>
            <w:shd w:val="clear" w:color="auto" w:fill="auto"/>
            <w:vAlign w:val="center"/>
          </w:tcPr>
          <w:p>
            <w:pPr>
              <w:spacing w:line="300" w:lineRule="exact"/>
              <w:jc w:val="righ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5"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850" w:type="dxa"/>
            <w:shd w:val="clear" w:color="auto" w:fill="auto"/>
            <w:vAlign w:val="center"/>
          </w:tcPr>
          <w:p>
            <w:pPr>
              <w:spacing w:line="300" w:lineRule="exact"/>
              <w:jc w:val="right"/>
              <w:rPr>
                <w:rFonts w:ascii="方正书宋_GBK" w:eastAsia="方正书宋_GBK"/>
              </w:rPr>
            </w:pPr>
            <w:r>
              <w:rPr>
                <w:rFonts w:ascii="方正书宋_GBK" w:eastAsia="方正书宋_GBK"/>
              </w:rPr>
              <w:t>69.93</w:t>
            </w:r>
          </w:p>
        </w:tc>
        <w:tc>
          <w:tcPr>
            <w:tcW w:w="851" w:type="dxa"/>
            <w:shd w:val="clear" w:color="auto" w:fill="auto"/>
            <w:vAlign w:val="center"/>
          </w:tcPr>
          <w:p>
            <w:pPr>
              <w:spacing w:line="300" w:lineRule="exact"/>
              <w:jc w:val="left"/>
              <w:rPr>
                <w:rFonts w:ascii="方正书宋_GBK" w:eastAsia="方正书宋_GBK"/>
              </w:rPr>
            </w:pPr>
            <w:r>
              <w:rPr>
                <w:rFonts w:ascii="方正书宋_GBK" w:eastAsia="方正书宋_GBK"/>
              </w:rPr>
              <w:t>喷墨打印机</w:t>
            </w:r>
          </w:p>
        </w:tc>
        <w:tc>
          <w:tcPr>
            <w:tcW w:w="850" w:type="dxa"/>
            <w:shd w:val="clear" w:color="auto" w:fill="auto"/>
            <w:vAlign w:val="center"/>
          </w:tcPr>
          <w:p>
            <w:pPr>
              <w:spacing w:line="300" w:lineRule="exact"/>
              <w:jc w:val="left"/>
              <w:rPr>
                <w:rFonts w:ascii="方正书宋_GBK" w:eastAsia="方正书宋_GBK"/>
              </w:rPr>
            </w:pPr>
            <w:r>
              <w:rPr>
                <w:rFonts w:ascii="方正书宋_GBK" w:eastAsia="方正书宋_GBK"/>
              </w:rPr>
              <w:t>A0201060101</w:t>
            </w:r>
          </w:p>
        </w:tc>
        <w:tc>
          <w:tcPr>
            <w:tcW w:w="425"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426"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815"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427" w:type="dxa"/>
            <w:shd w:val="clear" w:color="auto" w:fill="auto"/>
            <w:vAlign w:val="center"/>
          </w:tcPr>
          <w:p>
            <w:pPr>
              <w:spacing w:line="300" w:lineRule="exact"/>
              <w:jc w:val="right"/>
              <w:rPr>
                <w:rFonts w:ascii="方正书宋_GBK" w:eastAsia="方正书宋_GBK"/>
              </w:rPr>
            </w:pPr>
          </w:p>
        </w:tc>
        <w:tc>
          <w:tcPr>
            <w:tcW w:w="427" w:type="dxa"/>
            <w:shd w:val="clear" w:color="auto" w:fill="auto"/>
            <w:vAlign w:val="center"/>
          </w:tcPr>
          <w:p>
            <w:pPr>
              <w:spacing w:line="300" w:lineRule="exact"/>
              <w:jc w:val="right"/>
              <w:rPr>
                <w:rFonts w:ascii="方正书宋_GBK" w:eastAsia="方正书宋_GBK"/>
              </w:rPr>
            </w:pPr>
          </w:p>
        </w:tc>
        <w:tc>
          <w:tcPr>
            <w:tcW w:w="427" w:type="dxa"/>
            <w:shd w:val="clear" w:color="auto" w:fill="auto"/>
            <w:vAlign w:val="center"/>
          </w:tcPr>
          <w:p>
            <w:pPr>
              <w:spacing w:line="300" w:lineRule="exact"/>
              <w:jc w:val="righ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5"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850" w:type="dxa"/>
            <w:shd w:val="clear" w:color="auto" w:fill="auto"/>
            <w:vAlign w:val="center"/>
          </w:tcPr>
          <w:p>
            <w:pPr>
              <w:spacing w:line="300" w:lineRule="exact"/>
              <w:jc w:val="right"/>
              <w:rPr>
                <w:rFonts w:ascii="方正书宋_GBK" w:eastAsia="方正书宋_GBK"/>
              </w:rPr>
            </w:pPr>
            <w:r>
              <w:rPr>
                <w:rFonts w:ascii="方正书宋_GBK" w:eastAsia="方正书宋_GBK"/>
              </w:rPr>
              <w:t>69.93</w:t>
            </w:r>
          </w:p>
        </w:tc>
        <w:tc>
          <w:tcPr>
            <w:tcW w:w="851" w:type="dxa"/>
            <w:shd w:val="clear" w:color="auto" w:fill="auto"/>
            <w:vAlign w:val="center"/>
          </w:tcPr>
          <w:p>
            <w:pPr>
              <w:spacing w:line="300" w:lineRule="exact"/>
              <w:jc w:val="left"/>
              <w:rPr>
                <w:rFonts w:ascii="方正书宋_GBK" w:eastAsia="方正书宋_GBK"/>
              </w:rPr>
            </w:pPr>
            <w:r>
              <w:rPr>
                <w:rFonts w:ascii="方正书宋_GBK" w:eastAsia="方正书宋_GBK"/>
              </w:rPr>
              <w:t>空调机</w:t>
            </w:r>
          </w:p>
        </w:tc>
        <w:tc>
          <w:tcPr>
            <w:tcW w:w="850"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425"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426"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815"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427" w:type="dxa"/>
            <w:shd w:val="clear" w:color="auto" w:fill="auto"/>
            <w:vAlign w:val="center"/>
          </w:tcPr>
          <w:p>
            <w:pPr>
              <w:spacing w:line="300" w:lineRule="exact"/>
              <w:jc w:val="right"/>
              <w:rPr>
                <w:rFonts w:ascii="方正书宋_GBK" w:eastAsia="方正书宋_GBK"/>
              </w:rPr>
            </w:pPr>
          </w:p>
        </w:tc>
        <w:tc>
          <w:tcPr>
            <w:tcW w:w="427" w:type="dxa"/>
            <w:shd w:val="clear" w:color="auto" w:fill="auto"/>
            <w:vAlign w:val="center"/>
          </w:tcPr>
          <w:p>
            <w:pPr>
              <w:spacing w:line="300" w:lineRule="exact"/>
              <w:jc w:val="right"/>
              <w:rPr>
                <w:rFonts w:ascii="方正书宋_GBK" w:eastAsia="方正书宋_GBK"/>
              </w:rPr>
            </w:pPr>
          </w:p>
        </w:tc>
        <w:tc>
          <w:tcPr>
            <w:tcW w:w="427" w:type="dxa"/>
            <w:shd w:val="clear" w:color="auto" w:fill="auto"/>
            <w:vAlign w:val="center"/>
          </w:tcPr>
          <w:p>
            <w:pPr>
              <w:spacing w:line="300" w:lineRule="exact"/>
              <w:jc w:val="righ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w:t>
      </w:r>
      <w:r>
        <w:rPr>
          <w:rFonts w:ascii="仿宋" w:hAnsi="仿宋" w:eastAsia="仿宋"/>
          <w:sz w:val="32"/>
          <w:szCs w:val="32"/>
        </w:rPr>
        <w:t>990.02</w:t>
      </w:r>
      <w:r>
        <w:rPr>
          <w:rFonts w:hint="eastAsia" w:ascii="仿宋" w:hAnsi="仿宋" w:eastAsia="仿宋"/>
          <w:sz w:val="32"/>
          <w:szCs w:val="32"/>
        </w:rPr>
        <w:t>万元（详见下表）。</w:t>
      </w:r>
      <w:r>
        <w:rPr>
          <w:rFonts w:ascii="仿宋" w:hAnsi="仿宋" w:eastAsia="仿宋"/>
          <w:sz w:val="32"/>
          <w:szCs w:val="32"/>
        </w:rPr>
        <w:t xml:space="preserve"> 本年度拟购置固定资产总额为6.8万元，已列入政府采购预算，详见政府采购预算表。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1990.02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752</w:t>
            </w:r>
            <w:r>
              <w:rPr>
                <w:rFonts w:hint="eastAsia" w:ascii="仿宋_GB2312" w:hAnsi="仿宋" w:eastAsia="仿宋_GB2312" w:cs="宋体"/>
                <w:kern w:val="0"/>
                <w:sz w:val="24"/>
                <w:szCs w:val="24"/>
              </w:rPr>
              <w:t>.</w:t>
            </w:r>
            <w:r>
              <w:rPr>
                <w:rFonts w:ascii="仿宋_GB2312" w:hAnsi="仿宋" w:eastAsia="仿宋_GB2312" w:cs="宋体"/>
                <w:kern w:val="0"/>
                <w:sz w:val="24"/>
                <w:szCs w:val="24"/>
              </w:rPr>
              <w:t>62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752.62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16.63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1220.77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Arial Unicode MS"/>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209953"/>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Y2RlOTcxMjNiNzkyMWJlZTk2OTBmYzQ3OWVlNDgifQ=="/>
  </w:docVars>
  <w:rsids>
    <w:rsidRoot w:val="00055F1F"/>
    <w:rsid w:val="00013B8A"/>
    <w:rsid w:val="00044FBC"/>
    <w:rsid w:val="00055F1F"/>
    <w:rsid w:val="000577EF"/>
    <w:rsid w:val="00057F18"/>
    <w:rsid w:val="000A445D"/>
    <w:rsid w:val="000C178B"/>
    <w:rsid w:val="001219EC"/>
    <w:rsid w:val="00131DEC"/>
    <w:rsid w:val="00136AB3"/>
    <w:rsid w:val="001462BD"/>
    <w:rsid w:val="00152380"/>
    <w:rsid w:val="001638BE"/>
    <w:rsid w:val="00172C7A"/>
    <w:rsid w:val="00181777"/>
    <w:rsid w:val="001B4688"/>
    <w:rsid w:val="001B6235"/>
    <w:rsid w:val="001F4875"/>
    <w:rsid w:val="00212335"/>
    <w:rsid w:val="00253291"/>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D28E1"/>
    <w:rsid w:val="004E2F43"/>
    <w:rsid w:val="004E3572"/>
    <w:rsid w:val="004F3C52"/>
    <w:rsid w:val="00510A1E"/>
    <w:rsid w:val="005158E2"/>
    <w:rsid w:val="00524204"/>
    <w:rsid w:val="00550049"/>
    <w:rsid w:val="00570142"/>
    <w:rsid w:val="00586C35"/>
    <w:rsid w:val="005B1B6F"/>
    <w:rsid w:val="005B6CCB"/>
    <w:rsid w:val="005C54AA"/>
    <w:rsid w:val="005C7B89"/>
    <w:rsid w:val="0062788A"/>
    <w:rsid w:val="00641F8A"/>
    <w:rsid w:val="0066383B"/>
    <w:rsid w:val="006B5117"/>
    <w:rsid w:val="006C62DF"/>
    <w:rsid w:val="006F5104"/>
    <w:rsid w:val="006F6549"/>
    <w:rsid w:val="00735B02"/>
    <w:rsid w:val="007657C8"/>
    <w:rsid w:val="00767A77"/>
    <w:rsid w:val="00771E49"/>
    <w:rsid w:val="00782208"/>
    <w:rsid w:val="00790A67"/>
    <w:rsid w:val="00791938"/>
    <w:rsid w:val="007C7FD7"/>
    <w:rsid w:val="007F0594"/>
    <w:rsid w:val="007F3746"/>
    <w:rsid w:val="007F63A9"/>
    <w:rsid w:val="00833132"/>
    <w:rsid w:val="0086454E"/>
    <w:rsid w:val="008672EA"/>
    <w:rsid w:val="00891680"/>
    <w:rsid w:val="008A0099"/>
    <w:rsid w:val="008A0B5F"/>
    <w:rsid w:val="008B5402"/>
    <w:rsid w:val="008C642A"/>
    <w:rsid w:val="008D11BC"/>
    <w:rsid w:val="0090527E"/>
    <w:rsid w:val="00905BB7"/>
    <w:rsid w:val="0090620C"/>
    <w:rsid w:val="00912DA4"/>
    <w:rsid w:val="009302B8"/>
    <w:rsid w:val="009305C6"/>
    <w:rsid w:val="009752AE"/>
    <w:rsid w:val="00982F3D"/>
    <w:rsid w:val="009A278A"/>
    <w:rsid w:val="00A03127"/>
    <w:rsid w:val="00A16957"/>
    <w:rsid w:val="00A6155C"/>
    <w:rsid w:val="00A72018"/>
    <w:rsid w:val="00A8079E"/>
    <w:rsid w:val="00A90328"/>
    <w:rsid w:val="00A92D66"/>
    <w:rsid w:val="00AA4262"/>
    <w:rsid w:val="00AB5A90"/>
    <w:rsid w:val="00AB7449"/>
    <w:rsid w:val="00AD79A2"/>
    <w:rsid w:val="00AE4AA5"/>
    <w:rsid w:val="00AE7FA9"/>
    <w:rsid w:val="00B147EB"/>
    <w:rsid w:val="00B22155"/>
    <w:rsid w:val="00B32607"/>
    <w:rsid w:val="00B76AA9"/>
    <w:rsid w:val="00B80FAB"/>
    <w:rsid w:val="00B81C88"/>
    <w:rsid w:val="00B8370B"/>
    <w:rsid w:val="00BA5C83"/>
    <w:rsid w:val="00BC6A7D"/>
    <w:rsid w:val="00BD4829"/>
    <w:rsid w:val="00BD6002"/>
    <w:rsid w:val="00BD719F"/>
    <w:rsid w:val="00BF5442"/>
    <w:rsid w:val="00C177A5"/>
    <w:rsid w:val="00C35FEE"/>
    <w:rsid w:val="00C50535"/>
    <w:rsid w:val="00C6153C"/>
    <w:rsid w:val="00C906EF"/>
    <w:rsid w:val="00CC7D74"/>
    <w:rsid w:val="00CD61FE"/>
    <w:rsid w:val="00D02F97"/>
    <w:rsid w:val="00D45530"/>
    <w:rsid w:val="00D45A0E"/>
    <w:rsid w:val="00D45D23"/>
    <w:rsid w:val="00D723D1"/>
    <w:rsid w:val="00D80C60"/>
    <w:rsid w:val="00D8525F"/>
    <w:rsid w:val="00DA0C4D"/>
    <w:rsid w:val="00DA5DA7"/>
    <w:rsid w:val="00DE3935"/>
    <w:rsid w:val="00DE6B32"/>
    <w:rsid w:val="00DF26B8"/>
    <w:rsid w:val="00DF6543"/>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0D1632D0"/>
    <w:rsid w:val="4B91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6549E-EE72-4E0D-9B97-16E7B1A8C6D8}">
  <ds:schemaRefs/>
</ds:datastoreItem>
</file>

<file path=docProps/app.xml><?xml version="1.0" encoding="utf-8"?>
<Properties xmlns="http://schemas.openxmlformats.org/officeDocument/2006/extended-properties" xmlns:vt="http://schemas.openxmlformats.org/officeDocument/2006/docPropsVTypes">
  <Template>Normal</Template>
  <Pages>14</Pages>
  <Words>5214</Words>
  <Characters>5782</Characters>
  <Lines>45</Lines>
  <Paragraphs>12</Paragraphs>
  <TotalTime>624</TotalTime>
  <ScaleCrop>false</ScaleCrop>
  <LinksUpToDate>false</LinksUpToDate>
  <CharactersWithSpaces>5877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子非鱼安知鱼之乐</cp:lastModifiedBy>
  <cp:lastPrinted>2019-02-19T07:03:00Z</cp:lastPrinted>
  <dcterms:modified xsi:type="dcterms:W3CDTF">2024-06-04T10:11:08Z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BDAAE55BB2034D9FA5490C0E43D81E55_12</vt:lpwstr>
  </property>
</Properties>
</file>