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保定市徐水区交通运输局</w:t>
      </w:r>
    </w:p>
    <w:p>
      <w:pPr>
        <w:spacing w:line="360" w:lineRule="auto"/>
        <w:jc w:val="center"/>
        <w:rPr>
          <w:rFonts w:ascii="宋体" w:hAnsi="宋体" w:eastAsia="宋体"/>
          <w:b/>
          <w:sz w:val="44"/>
          <w:szCs w:val="44"/>
        </w:rPr>
      </w:pPr>
      <w:r>
        <w:rPr>
          <w:rFonts w:ascii="宋体" w:hAnsi="宋体" w:eastAsia="宋体"/>
          <w:b/>
          <w:sz w:val="44"/>
          <w:szCs w:val="44"/>
        </w:rPr>
        <w:t>2022年单位预算公开说明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按照《中华人民共和国预算法</w:t>
      </w:r>
      <w:bookmarkStart w:id="1" w:name="_GoBack"/>
      <w:bookmarkEnd w:id="1"/>
      <w:r>
        <w:rPr>
          <w:rFonts w:hint="eastAsia" w:ascii="Times New Roman" w:hAnsi="Times New Roman" w:eastAsia="方正仿宋_GBK" w:cs="Times New Roman"/>
          <w:color w:val="000000"/>
          <w:sz w:val="28"/>
        </w:rPr>
        <w:t>》、《地方预决算公开操作规程》等文件规定，现将我单位预算信息公开如下：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pPr>
      <w:r>
        <w:rPr>
          <w:rFonts w:ascii="Times New Roman" w:hAnsi="Times New Roman" w:eastAsia="方正仿宋_GBK" w:cs="Times New Roman"/>
          <w:color w:val="000000"/>
          <w:sz w:val="28"/>
        </w:rPr>
        <w:t>根据《保定市徐水区交通运输局职能配置、内设机构和人员编制规定》，保定市徐水区交通运输局的主要职责是：</w:t>
      </w:r>
    </w:p>
    <w:p>
      <w:pPr>
        <w:pStyle w:val="10"/>
      </w:pPr>
      <w:r>
        <w:t>根据《保定市徐水区交通运输局职能配置、内设机构和人员编制规定》， 保定市徐水区交通运输局的主要职责是：</w:t>
      </w:r>
    </w:p>
    <w:p>
      <w:pPr>
        <w:pStyle w:val="10"/>
      </w:pPr>
      <w:r>
        <w:t>根据保定市徐水县人民政府办公室《关于印发&lt;徐水县交通运输局主要职责、内设机构和人员编制规定&gt;的通知》（徐政办[2010]71号），我单位职责如下：</w:t>
      </w:r>
    </w:p>
    <w:p>
      <w:pPr>
        <w:pStyle w:val="10"/>
      </w:pPr>
      <w:r>
        <w:t>（一）根据区总体部署，拟定全区公路、水路交通发展规划、中长期规划和年度计划。</w:t>
      </w:r>
    </w:p>
    <w:p>
      <w:pPr>
        <w:pStyle w:val="10"/>
      </w:pPr>
      <w:r>
        <w:t>（二）负责全区公路、水路的运输行业管理和运输组织管理；负责全区营业性客货运输停车站（场）的行业管理；负责全区出租汽车管理。</w:t>
      </w:r>
    </w:p>
    <w:p>
      <w:pPr>
        <w:pStyle w:val="10"/>
      </w:pPr>
      <w:r>
        <w:t>（三）会同有关单位培育和管理交通运输市场和交通基础设施建设，引导交通运输业优化结构，协调发展。</w:t>
      </w:r>
    </w:p>
    <w:p>
      <w:pPr>
        <w:pStyle w:val="10"/>
      </w:pPr>
      <w:r>
        <w:t>（四）组织县乡公路及其设施的建设、养护、管理和规费稽征；负责全区道路运输市场、汽车维修市场、车辆技术检测、汽车驾驶学校和驾驶员工作的行业管理；指导和管理城乡客、货运输的衔接协调工作。</w:t>
      </w:r>
    </w:p>
    <w:p>
      <w:pPr>
        <w:pStyle w:val="10"/>
      </w:pPr>
      <w:r>
        <w:t>（五）负责全区车辆规费稽征；负责水上港航监督、船舶检验维修、救助打捞、通信导航、船舶代理、航道和港航设施建设使用岸线的行业管理。</w:t>
      </w:r>
    </w:p>
    <w:p>
      <w:pPr>
        <w:pStyle w:val="10"/>
      </w:pPr>
      <w:r>
        <w:t>（六）指导全区交通行业体制改革和企业管理；负责局属单位国有资产管理；组织全区交通系统内部审计工作。</w:t>
      </w:r>
    </w:p>
    <w:p>
      <w:pPr>
        <w:pStyle w:val="10"/>
      </w:pPr>
      <w:r>
        <w:t>（七）制定交通科技政策、技术标准和规范；组织科技开发，推动行业技术进步；负责交通工程质量监督；按照有关规定组织交通工业产品的认证和质量监督。指导全区交通行业人才开发、预测、教育、培训、交流和使用工作。</w:t>
      </w:r>
    </w:p>
    <w:p>
      <w:pPr>
        <w:pStyle w:val="10"/>
      </w:pPr>
      <w:r>
        <w:t>（八）负责局机关并指导局属单位人事、劳动、机构编制管理，人力资源开发工作；负责直属单位领导班子建设；受有关单位委托，负责全区机关、企事业单位汽车专业和与交通相关的专业工程工人技术等级培训、考核工作；指导全区交通行业的精神文明建设和职工队伍思想建设。交通系统内的宣传工作。</w:t>
      </w:r>
    </w:p>
    <w:p>
      <w:pPr>
        <w:pStyle w:val="10"/>
      </w:pPr>
      <w:r>
        <w:t>（九）指导全区交通行业涉外工作，指导利用外资。</w:t>
      </w:r>
    </w:p>
    <w:p>
      <w:pPr>
        <w:pStyle w:val="10"/>
      </w:pPr>
      <w:r>
        <w:rPr>
          <w:rFonts w:hint="eastAsia"/>
        </w:rPr>
        <w:t>（十）承办区政府交办的其他事项。</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119"/>
        <w:gridCol w:w="1562"/>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11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56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1</w:t>
            </w:r>
          </w:p>
        </w:tc>
        <w:tc>
          <w:tcPr>
            <w:tcW w:w="3119" w:type="dxa"/>
            <w:tcBorders>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w:t>
            </w:r>
          </w:p>
        </w:tc>
        <w:tc>
          <w:tcPr>
            <w:tcW w:w="1562"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行政</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正科级</w:t>
            </w:r>
          </w:p>
        </w:tc>
        <w:tc>
          <w:tcPr>
            <w:tcW w:w="326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2</w:t>
            </w:r>
          </w:p>
        </w:tc>
        <w:tc>
          <w:tcPr>
            <w:tcW w:w="3119"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保定市徐水区交通运输局道路运输管理站</w:t>
            </w:r>
          </w:p>
        </w:tc>
        <w:tc>
          <w:tcPr>
            <w:tcW w:w="1562"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326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3</w:t>
            </w:r>
          </w:p>
        </w:tc>
        <w:tc>
          <w:tcPr>
            <w:tcW w:w="3119"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保定市徐水区道桥管理中心</w:t>
            </w:r>
          </w:p>
        </w:tc>
        <w:tc>
          <w:tcPr>
            <w:tcW w:w="1562"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326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2233.60</w:t>
      </w:r>
      <w:r>
        <w:rPr>
          <w:rFonts w:ascii="仿宋" w:hAnsi="仿宋" w:eastAsia="仿宋"/>
          <w:sz w:val="32"/>
          <w:szCs w:val="32"/>
        </w:rPr>
        <w:t>万元,其中：一般公共预算收入</w:t>
      </w:r>
      <w:r>
        <w:rPr>
          <w:rFonts w:hint="eastAsia" w:ascii="仿宋" w:hAnsi="仿宋" w:eastAsia="仿宋"/>
          <w:sz w:val="32"/>
          <w:szCs w:val="32"/>
        </w:rPr>
        <w:t>2233.60</w:t>
      </w:r>
      <w:r>
        <w:rPr>
          <w:rFonts w:ascii="仿宋" w:hAnsi="仿宋" w:eastAsia="仿宋"/>
          <w:sz w:val="32"/>
          <w:szCs w:val="32"/>
        </w:rPr>
        <w:t>万元，基金预算收入0万元，财政专户收入0万元，其他来源收入</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，上年结转</w:t>
      </w:r>
      <w:r>
        <w:rPr>
          <w:rFonts w:ascii="仿宋" w:hAnsi="仿宋" w:eastAsia="仿宋"/>
          <w:sz w:val="32"/>
          <w:szCs w:val="32"/>
        </w:rPr>
        <w:t>结余</w:t>
      </w:r>
      <w:r>
        <w:rPr>
          <w:rFonts w:hint="eastAsia" w:ascii="仿宋" w:hAnsi="仿宋" w:eastAsia="仿宋"/>
          <w:sz w:val="32"/>
          <w:szCs w:val="32"/>
        </w:rPr>
        <w:t>0万元</w:t>
      </w:r>
      <w:r>
        <w:rPr>
          <w:rFonts w:ascii="仿宋" w:hAnsi="仿宋" w:eastAsia="仿宋"/>
          <w:sz w:val="32"/>
          <w:szCs w:val="32"/>
        </w:rPr>
        <w:t>。</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2233.60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基本支2233.60万元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2158.97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74.63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本年度预算收支安排2233.60万元，较上年增加405.11</w:t>
      </w:r>
      <w:r>
        <w:rPr>
          <w:rFonts w:ascii="仿宋" w:hAnsi="仿宋" w:eastAsia="仿宋"/>
          <w:sz w:val="32"/>
          <w:szCs w:val="32"/>
        </w:rPr>
        <w:t>万元。其中:基本支出增加</w:t>
      </w:r>
      <w:r>
        <w:rPr>
          <w:rFonts w:hint="eastAsia" w:ascii="仿宋" w:hAnsi="仿宋" w:eastAsia="仿宋"/>
          <w:sz w:val="32"/>
          <w:szCs w:val="32"/>
        </w:rPr>
        <w:t>405.11</w:t>
      </w:r>
      <w:r>
        <w:rPr>
          <w:rFonts w:ascii="仿宋" w:hAnsi="仿宋" w:eastAsia="仿宋"/>
          <w:sz w:val="32"/>
          <w:szCs w:val="32"/>
        </w:rPr>
        <w:t>万元，主要原因是</w:t>
      </w:r>
      <w:r>
        <w:rPr>
          <w:rFonts w:hint="eastAsia" w:ascii="仿宋" w:hAnsi="仿宋" w:eastAsia="仿宋"/>
          <w:sz w:val="32"/>
          <w:szCs w:val="32"/>
        </w:rPr>
        <w:t>人员工资</w:t>
      </w:r>
      <w:r>
        <w:rPr>
          <w:rFonts w:ascii="仿宋" w:hAnsi="仿宋" w:eastAsia="仿宋"/>
          <w:sz w:val="32"/>
          <w:szCs w:val="32"/>
        </w:rPr>
        <w:t>上调。</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w:t>
      </w:r>
      <w:r>
        <w:rPr>
          <w:rFonts w:hint="eastAsia" w:ascii="仿宋" w:hAnsi="仿宋" w:eastAsia="仿宋"/>
          <w:sz w:val="32"/>
          <w:szCs w:val="32"/>
        </w:rPr>
        <w:t>是</w:t>
      </w:r>
      <w:r>
        <w:rPr>
          <w:rFonts w:ascii="仿宋" w:hAnsi="仿宋" w:eastAsia="仿宋"/>
          <w:sz w:val="32"/>
          <w:szCs w:val="32"/>
        </w:rPr>
        <w:t>事业单位无机关运行经费</w:t>
      </w:r>
      <w:r>
        <w:rPr>
          <w:rFonts w:hint="eastAsia" w:ascii="仿宋" w:hAnsi="仿宋" w:eastAsia="仿宋"/>
          <w:sz w:val="32"/>
          <w:szCs w:val="32"/>
        </w:rPr>
        <w:t>。我单位</w:t>
      </w:r>
      <w:r>
        <w:rPr>
          <w:rFonts w:ascii="仿宋" w:hAnsi="仿宋" w:eastAsia="仿宋"/>
          <w:sz w:val="32"/>
          <w:szCs w:val="32"/>
        </w:rPr>
        <w:t>日常公用经费安排</w:t>
      </w:r>
      <w:r>
        <w:rPr>
          <w:rFonts w:hint="eastAsia" w:ascii="仿宋" w:hAnsi="仿宋" w:eastAsia="仿宋"/>
          <w:sz w:val="32"/>
          <w:szCs w:val="32"/>
        </w:rPr>
        <w:t>74.63万元</w:t>
      </w:r>
      <w:r>
        <w:rPr>
          <w:rFonts w:ascii="仿宋" w:hAnsi="仿宋" w:eastAsia="仿宋"/>
          <w:sz w:val="32"/>
          <w:szCs w:val="32"/>
        </w:rPr>
        <w:t>，其中办公费</w:t>
      </w:r>
      <w:r>
        <w:rPr>
          <w:rFonts w:hint="eastAsia" w:ascii="仿宋" w:hAnsi="仿宋" w:eastAsia="仿宋"/>
          <w:sz w:val="32"/>
          <w:szCs w:val="32"/>
        </w:rPr>
        <w:t>43.09</w:t>
      </w:r>
      <w:r>
        <w:rPr>
          <w:rFonts w:ascii="仿宋" w:hAnsi="仿宋" w:eastAsia="仿宋"/>
          <w:sz w:val="32"/>
          <w:szCs w:val="32"/>
        </w:rPr>
        <w:t>万元，</w:t>
      </w:r>
      <w:r>
        <w:rPr>
          <w:rFonts w:hint="eastAsia" w:ascii="仿宋" w:hAnsi="仿宋" w:eastAsia="仿宋"/>
          <w:sz w:val="32"/>
          <w:szCs w:val="32"/>
        </w:rPr>
        <w:t>计提</w:t>
      </w:r>
      <w:r>
        <w:rPr>
          <w:rFonts w:ascii="仿宋" w:hAnsi="仿宋" w:eastAsia="仿宋"/>
          <w:sz w:val="32"/>
          <w:szCs w:val="32"/>
        </w:rPr>
        <w:t>工会经费、福利费</w:t>
      </w:r>
      <w:r>
        <w:rPr>
          <w:rFonts w:hint="eastAsia" w:ascii="仿宋" w:hAnsi="仿宋" w:eastAsia="仿宋"/>
          <w:sz w:val="32"/>
          <w:szCs w:val="32"/>
        </w:rPr>
        <w:t>、</w:t>
      </w:r>
      <w:r>
        <w:rPr>
          <w:rFonts w:ascii="仿宋" w:hAnsi="仿宋" w:eastAsia="仿宋"/>
          <w:sz w:val="32"/>
          <w:szCs w:val="32"/>
        </w:rPr>
        <w:t>党员活动经费</w:t>
      </w:r>
      <w:r>
        <w:rPr>
          <w:rFonts w:hint="eastAsia" w:ascii="仿宋" w:hAnsi="仿宋" w:eastAsia="仿宋"/>
          <w:sz w:val="32"/>
          <w:szCs w:val="32"/>
        </w:rPr>
        <w:t>28.70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其他商品服务支出</w:t>
      </w:r>
      <w:r>
        <w:rPr>
          <w:rFonts w:hint="eastAsia" w:ascii="仿宋" w:hAnsi="仿宋" w:eastAsia="仿宋"/>
          <w:sz w:val="32"/>
          <w:szCs w:val="32"/>
        </w:rPr>
        <w:t>2.84万元</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880" w:firstLineChars="20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bl>
          <w:p>
            <w:pPr>
              <w:widowControl/>
              <w:spacing w:line="520" w:lineRule="exact"/>
              <w:ind w:right="480"/>
              <w:rPr>
                <w:rFonts w:hint="eastAsia" w:ascii="仿宋" w:hAnsi="仿宋" w:eastAsia="仿宋" w:cs="宋体"/>
                <w:kern w:val="0"/>
                <w:sz w:val="24"/>
                <w:szCs w:val="24"/>
              </w:rPr>
            </w:pPr>
          </w:p>
        </w:tc>
      </w:tr>
    </w:tbl>
    <w:p>
      <w:pPr>
        <w:spacing w:line="360" w:lineRule="auto"/>
        <w:ind w:firstLine="480" w:firstLineChars="200"/>
        <w:rPr>
          <w:rFonts w:ascii="黑体" w:hAnsi="黑体" w:eastAsia="黑体" w:cs="Times New Roman"/>
          <w:sz w:val="32"/>
          <w:szCs w:val="32"/>
        </w:rPr>
      </w:pPr>
      <w:r>
        <w:rPr>
          <w:rFonts w:hint="eastAsia" w:ascii="宋体" w:hAnsi="宋体" w:cs="宋体"/>
          <w:kern w:val="0"/>
          <w:sz w:val="24"/>
          <w:szCs w:val="24"/>
        </w:rPr>
        <w:t>注</w:t>
      </w:r>
      <w:r>
        <w:rPr>
          <w:rFonts w:ascii="宋体" w:hAnsi="宋体" w:cs="宋体"/>
          <w:kern w:val="0"/>
          <w:sz w:val="24"/>
          <w:szCs w:val="24"/>
        </w:rPr>
        <w:t>：我单位无“</w:t>
      </w:r>
      <w:r>
        <w:rPr>
          <w:rFonts w:hint="eastAsia" w:ascii="宋体" w:hAnsi="宋体" w:cs="宋体"/>
          <w:kern w:val="0"/>
          <w:sz w:val="24"/>
          <w:szCs w:val="24"/>
        </w:rPr>
        <w:t>三公</w:t>
      </w:r>
      <w:r>
        <w:rPr>
          <w:rFonts w:ascii="宋体" w:hAnsi="宋体" w:cs="宋体"/>
          <w:kern w:val="0"/>
          <w:sz w:val="24"/>
          <w:szCs w:val="24"/>
        </w:rPr>
        <w:t>”</w:t>
      </w:r>
      <w:r>
        <w:rPr>
          <w:rFonts w:hint="eastAsia" w:ascii="宋体" w:hAnsi="宋体" w:cs="宋体"/>
          <w:kern w:val="0"/>
          <w:sz w:val="24"/>
          <w:szCs w:val="24"/>
        </w:rPr>
        <w:t>经费</w:t>
      </w:r>
      <w:r>
        <w:rPr>
          <w:rFonts w:ascii="宋体" w:hAnsi="宋体" w:cs="宋体"/>
          <w:kern w:val="0"/>
          <w:sz w:val="24"/>
          <w:szCs w:val="24"/>
        </w:rPr>
        <w:t>预算情况。</w:t>
      </w: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ascii="仿宋" w:hAnsi="仿宋" w:eastAsia="仿宋"/>
          <w:sz w:val="32"/>
          <w:szCs w:val="32"/>
        </w:rP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90%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pPr>
        <w:spacing w:line="360" w:lineRule="auto"/>
        <w:ind w:firstLine="640" w:firstLineChars="200"/>
        <w:rPr>
          <w:rFonts w:ascii="仿宋" w:hAnsi="仿宋" w:eastAsia="仿宋"/>
          <w:sz w:val="32"/>
          <w:szCs w:val="32"/>
        </w:rPr>
      </w:pPr>
      <w:r>
        <w:rPr>
          <w:rFonts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1.保障道路安全畅通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通过实施对农村公路恢复性施工及预防性养护、危桥改造、安保工程及沿线服务设施等专项养护工程，基本完成全区道路安全隐患治理，使农村公路保障有力、安全畅通，保持良好的服务水平，支持乡村振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绩效指标：农村公路日常养护500公里，工程质量合格率达到100%；处置危桥不低于5座，处置安防灾害隐患路段长度不低于10公里；项目实施后对区域交通状况改善明显。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2.优先发展城市公交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绩效目标：指导全区城市公交行业的管理工作，保障行业安全稳定，完成城市客运行业数据报送；城市客运行业信息报送；进一步落实我区优先发展公共交通战略。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绩效指标：对我区110辆新能源公交电动车进行财政补贴，资金按进度及时拨付，工作完成率为100%。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3.提高事务处理能力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绩效目标：加强后勤保障、维持机关正常运转，提高事务性管理工作水平。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绩效指标：及时完成保安保洁、车辆租赁费用的资金支付，工作完成率为100%，服务对象满意率达90%以上。</w:t>
      </w:r>
    </w:p>
    <w:p>
      <w:pPr>
        <w:spacing w:line="360" w:lineRule="auto"/>
        <w:ind w:firstLine="640" w:firstLineChars="200"/>
        <w:rPr>
          <w:rFonts w:ascii="仿宋" w:hAnsi="仿宋" w:eastAsia="仿宋"/>
          <w:sz w:val="32"/>
          <w:szCs w:val="32"/>
        </w:rPr>
      </w:pPr>
      <w:r>
        <w:rPr>
          <w:rFonts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完善制度建设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局党组的坚强领导下，制定我单位预算绩效管理有关制度办法、完善财务管理规定，建立健全绩效评价领导机构和工作机构，将事前绩效评估和绩效自评制度化，科学确定全年预算绩效目标，客观评价年度完成情况，落实有关要求。</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加强支出和绩效管理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优化支出结构、编细编实预算，及早履行政府采购手续、尽快启动项目、及时支付资金、确保支出进度达标，提高财政资金使用效益。按要求开展上年度单位预算绩效自评和重点评价工作，对评价中发现的问题及时整改。</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规范财政资金、财务资产管理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规范财政资金使用效益，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强化宣传引导</w:t>
      </w:r>
    </w:p>
    <w:p>
      <w:pPr>
        <w:outlineLvl w:val="0"/>
        <w:rPr>
          <w:rFonts w:ascii="仿宋" w:hAnsi="仿宋" w:eastAsia="仿宋"/>
          <w:sz w:val="32"/>
          <w:szCs w:val="32"/>
        </w:rPr>
      </w:pPr>
      <w:r>
        <w:rPr>
          <w:rFonts w:hint="eastAsia" w:ascii="仿宋" w:hAnsi="仿宋" w:eastAsia="仿宋"/>
          <w:sz w:val="32"/>
          <w:szCs w:val="32"/>
        </w:rPr>
        <w:t>组织开展多轮次、多角度的业务培训，使干部职工牢固树立绩效理念，熟悉管理流程，掌握工作方法，提升管理能力。积极探索工作经验，及时总结预算绩效管理成效，营造良好的舆论氛围。积极采取购买服务等方式，利用专业机构开展工作，提升预算绩效管理科学水平。</w:t>
      </w:r>
    </w:p>
    <w:p>
      <w:pPr>
        <w:outlineLvl w:val="0"/>
        <w:rPr>
          <w:rFonts w:hint="eastAsia"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outlineLvl w:val="0"/>
        <w:rPr>
          <w:rFonts w:ascii="方正书宋_GBK" w:eastAsia="方正书宋_GBK"/>
        </w:rPr>
      </w:pPr>
      <w:r>
        <w:rPr>
          <w:rFonts w:hint="eastAsia" w:ascii="仿宋" w:hAnsi="仿宋" w:eastAsia="仿宋"/>
          <w:sz w:val="32"/>
          <w:szCs w:val="32"/>
        </w:rPr>
        <w:t>我单位无</w:t>
      </w:r>
      <w:r>
        <w:rPr>
          <w:rFonts w:ascii="仿宋" w:hAnsi="仿宋" w:eastAsia="仿宋"/>
          <w:sz w:val="32"/>
          <w:szCs w:val="32"/>
        </w:rPr>
        <w:t>项目</w:t>
      </w:r>
      <w:r>
        <w:rPr>
          <w:rFonts w:hint="eastAsia" w:ascii="仿宋" w:hAnsi="仿宋" w:eastAsia="仿宋"/>
          <w:sz w:val="32"/>
          <w:szCs w:val="32"/>
        </w:rPr>
        <w:t>收入</w:t>
      </w:r>
      <w:r>
        <w:rPr>
          <w:rFonts w:ascii="仿宋" w:hAnsi="仿宋" w:eastAsia="仿宋"/>
          <w:sz w:val="32"/>
          <w:szCs w:val="32"/>
        </w:rPr>
        <w:t>支出</w:t>
      </w:r>
      <w:r>
        <w:rPr>
          <w:rFonts w:hint="eastAsia" w:ascii="仿宋" w:hAnsi="仿宋" w:eastAsia="仿宋"/>
          <w:sz w:val="32"/>
          <w:szCs w:val="32"/>
        </w:rPr>
        <w:t>预算</w:t>
      </w:r>
      <w:r>
        <w:rPr>
          <w:rFonts w:ascii="仿宋" w:hAnsi="仿宋" w:eastAsia="仿宋"/>
          <w:sz w:val="32"/>
          <w:szCs w:val="32"/>
        </w:rPr>
        <w:t>情况</w:t>
      </w:r>
      <w:r>
        <w:rPr>
          <w:rFonts w:ascii="方正书宋_GBK" w:eastAsia="方正书宋_GBK"/>
        </w:rPr>
        <w:t>。</w:t>
      </w: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ascii="方正书宋_GBK" w:eastAsia="方正书宋_GBK"/>
        </w:rPr>
      </w:pPr>
    </w:p>
    <w:p>
      <w:pPr>
        <w:outlineLvl w:val="0"/>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ind w:firstLine="640" w:firstLineChars="200"/>
        <w:jc w:val="center"/>
        <w:outlineLvl w:val="0"/>
        <w:rPr>
          <w:rFonts w:ascii="Times New Roman" w:hAnsi="宋体" w:eastAsia="宋体"/>
          <w:sz w:val="32"/>
        </w:rPr>
      </w:pPr>
      <w:r>
        <w:rPr>
          <w:rFonts w:ascii="方正小标宋_GBK" w:eastAsia="方正小标宋_GBK"/>
          <w:sz w:val="32"/>
        </w:rPr>
        <w:t>单位政府采购预算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0" w:name="_Toc32236199"/>
      <w:r>
        <w:rPr>
          <w:rFonts w:ascii="方正小标宋_GBK" w:eastAsia="方正小标宋_GBK"/>
          <w:sz w:val="32"/>
        </w:rPr>
        <w:instrText xml:space="preserve">部门政府采购预算</w:instrText>
      </w:r>
      <w:bookmarkEnd w:id="0"/>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348保定市徐水区交通运输局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交通局（行政）小计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交通局（事业）小计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w:t>
      </w:r>
      <w:r>
        <w:rPr>
          <w:rFonts w:ascii="仿宋" w:hAnsi="仿宋" w:eastAsia="仿宋"/>
          <w:sz w:val="32"/>
          <w:szCs w:val="32"/>
        </w:rPr>
        <w:t>978.75</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1978.75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r>
              <w:rPr>
                <w:rFonts w:ascii="仿宋_GB2312" w:hAnsi="仿宋" w:eastAsia="仿宋_GB2312" w:cs="宋体"/>
                <w:kern w:val="0"/>
                <w:sz w:val="24"/>
                <w:szCs w:val="24"/>
              </w:rPr>
              <w:t>.00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r>
              <w:rPr>
                <w:rFonts w:ascii="仿宋_GB2312" w:hAnsi="仿宋" w:eastAsia="仿宋_GB2312" w:cs="宋体"/>
                <w:kern w:val="0"/>
                <w:sz w:val="24"/>
                <w:szCs w:val="24"/>
              </w:rPr>
              <w:t>.00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138.40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544.47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70121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Y2RlOTcxMjNiNzkyMWJlZTk2OTBmYzQ3OWVlNDgifQ=="/>
  </w:docVars>
  <w:rsids>
    <w:rsidRoot w:val="00055F1F"/>
    <w:rsid w:val="00000B7A"/>
    <w:rsid w:val="00013B8A"/>
    <w:rsid w:val="00044FBC"/>
    <w:rsid w:val="00055F1F"/>
    <w:rsid w:val="000577EF"/>
    <w:rsid w:val="00057F18"/>
    <w:rsid w:val="000673C5"/>
    <w:rsid w:val="000A445D"/>
    <w:rsid w:val="000C178B"/>
    <w:rsid w:val="00131DEC"/>
    <w:rsid w:val="00136AB3"/>
    <w:rsid w:val="001462BD"/>
    <w:rsid w:val="00152380"/>
    <w:rsid w:val="001638BE"/>
    <w:rsid w:val="00164810"/>
    <w:rsid w:val="00172C7A"/>
    <w:rsid w:val="00181777"/>
    <w:rsid w:val="001A5F15"/>
    <w:rsid w:val="001B16C9"/>
    <w:rsid w:val="001B4688"/>
    <w:rsid w:val="001B6235"/>
    <w:rsid w:val="001F4875"/>
    <w:rsid w:val="0020407E"/>
    <w:rsid w:val="00212335"/>
    <w:rsid w:val="00223518"/>
    <w:rsid w:val="00234CAB"/>
    <w:rsid w:val="002918C6"/>
    <w:rsid w:val="00291EF3"/>
    <w:rsid w:val="00296524"/>
    <w:rsid w:val="002E01F6"/>
    <w:rsid w:val="002F1ACB"/>
    <w:rsid w:val="002F343C"/>
    <w:rsid w:val="002F530F"/>
    <w:rsid w:val="002F5FF3"/>
    <w:rsid w:val="00305E97"/>
    <w:rsid w:val="00310532"/>
    <w:rsid w:val="0032782B"/>
    <w:rsid w:val="00340B3D"/>
    <w:rsid w:val="0034253A"/>
    <w:rsid w:val="003669CF"/>
    <w:rsid w:val="00367A30"/>
    <w:rsid w:val="00392D19"/>
    <w:rsid w:val="003A06D2"/>
    <w:rsid w:val="003A4557"/>
    <w:rsid w:val="003A6366"/>
    <w:rsid w:val="003C2317"/>
    <w:rsid w:val="003C442E"/>
    <w:rsid w:val="003D1092"/>
    <w:rsid w:val="003D37CD"/>
    <w:rsid w:val="003E5531"/>
    <w:rsid w:val="003E555C"/>
    <w:rsid w:val="003E6AF3"/>
    <w:rsid w:val="0040243C"/>
    <w:rsid w:val="00406BD1"/>
    <w:rsid w:val="00413413"/>
    <w:rsid w:val="00426C19"/>
    <w:rsid w:val="00450FD9"/>
    <w:rsid w:val="00453CE0"/>
    <w:rsid w:val="00470736"/>
    <w:rsid w:val="00470BBB"/>
    <w:rsid w:val="0048611E"/>
    <w:rsid w:val="004A44D6"/>
    <w:rsid w:val="004B17BF"/>
    <w:rsid w:val="004B6929"/>
    <w:rsid w:val="004E2F43"/>
    <w:rsid w:val="004E3572"/>
    <w:rsid w:val="004F3C52"/>
    <w:rsid w:val="00510A1E"/>
    <w:rsid w:val="005158E2"/>
    <w:rsid w:val="00524204"/>
    <w:rsid w:val="00550049"/>
    <w:rsid w:val="00553F7E"/>
    <w:rsid w:val="00556684"/>
    <w:rsid w:val="00570142"/>
    <w:rsid w:val="00586C35"/>
    <w:rsid w:val="005B1B6F"/>
    <w:rsid w:val="005B6CCB"/>
    <w:rsid w:val="005C54AA"/>
    <w:rsid w:val="005C7B89"/>
    <w:rsid w:val="0062788A"/>
    <w:rsid w:val="00641F8A"/>
    <w:rsid w:val="0066383B"/>
    <w:rsid w:val="00672890"/>
    <w:rsid w:val="006771B9"/>
    <w:rsid w:val="006A6E50"/>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12D81"/>
    <w:rsid w:val="00833132"/>
    <w:rsid w:val="00845C67"/>
    <w:rsid w:val="0086454E"/>
    <w:rsid w:val="008672EA"/>
    <w:rsid w:val="00891680"/>
    <w:rsid w:val="008A0099"/>
    <w:rsid w:val="008A0B5F"/>
    <w:rsid w:val="008B5402"/>
    <w:rsid w:val="008D11BC"/>
    <w:rsid w:val="008D4E22"/>
    <w:rsid w:val="0090527E"/>
    <w:rsid w:val="00905BB7"/>
    <w:rsid w:val="0090620C"/>
    <w:rsid w:val="00912DA4"/>
    <w:rsid w:val="009302B8"/>
    <w:rsid w:val="009305C6"/>
    <w:rsid w:val="009752AE"/>
    <w:rsid w:val="00982F3D"/>
    <w:rsid w:val="00983232"/>
    <w:rsid w:val="009A278A"/>
    <w:rsid w:val="009B6368"/>
    <w:rsid w:val="009F63C4"/>
    <w:rsid w:val="00A16957"/>
    <w:rsid w:val="00A46384"/>
    <w:rsid w:val="00A6155C"/>
    <w:rsid w:val="00A8079E"/>
    <w:rsid w:val="00A90328"/>
    <w:rsid w:val="00A92D66"/>
    <w:rsid w:val="00AA4262"/>
    <w:rsid w:val="00AB5A90"/>
    <w:rsid w:val="00AB7449"/>
    <w:rsid w:val="00AE4AA5"/>
    <w:rsid w:val="00AE7FA9"/>
    <w:rsid w:val="00B01E81"/>
    <w:rsid w:val="00B05A7F"/>
    <w:rsid w:val="00B147EB"/>
    <w:rsid w:val="00B22155"/>
    <w:rsid w:val="00B736FF"/>
    <w:rsid w:val="00B76AA9"/>
    <w:rsid w:val="00B80FAB"/>
    <w:rsid w:val="00B81C88"/>
    <w:rsid w:val="00B85C7F"/>
    <w:rsid w:val="00BA5C83"/>
    <w:rsid w:val="00BC6A7D"/>
    <w:rsid w:val="00BD4829"/>
    <w:rsid w:val="00BD6002"/>
    <w:rsid w:val="00BD719F"/>
    <w:rsid w:val="00BF5442"/>
    <w:rsid w:val="00C177A5"/>
    <w:rsid w:val="00C35FEE"/>
    <w:rsid w:val="00C459F7"/>
    <w:rsid w:val="00C50535"/>
    <w:rsid w:val="00C6153C"/>
    <w:rsid w:val="00C906EF"/>
    <w:rsid w:val="00C91B88"/>
    <w:rsid w:val="00CC7D74"/>
    <w:rsid w:val="00CE55FC"/>
    <w:rsid w:val="00D02B30"/>
    <w:rsid w:val="00D02F97"/>
    <w:rsid w:val="00D35929"/>
    <w:rsid w:val="00D45530"/>
    <w:rsid w:val="00D45A0E"/>
    <w:rsid w:val="00D45D23"/>
    <w:rsid w:val="00D723D1"/>
    <w:rsid w:val="00D80C60"/>
    <w:rsid w:val="00D8525F"/>
    <w:rsid w:val="00D902C5"/>
    <w:rsid w:val="00DA0C4D"/>
    <w:rsid w:val="00DA5DA7"/>
    <w:rsid w:val="00DB76AC"/>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C055D"/>
    <w:rsid w:val="00EC1647"/>
    <w:rsid w:val="00EF17AA"/>
    <w:rsid w:val="00F000B1"/>
    <w:rsid w:val="00F004AC"/>
    <w:rsid w:val="00F012D3"/>
    <w:rsid w:val="00F044C3"/>
    <w:rsid w:val="00F10D04"/>
    <w:rsid w:val="00F115AC"/>
    <w:rsid w:val="00F169E3"/>
    <w:rsid w:val="00F35D4B"/>
    <w:rsid w:val="00F3746B"/>
    <w:rsid w:val="00F440BE"/>
    <w:rsid w:val="00F534D7"/>
    <w:rsid w:val="00F572CB"/>
    <w:rsid w:val="00F621AF"/>
    <w:rsid w:val="00F655DA"/>
    <w:rsid w:val="00F8024E"/>
    <w:rsid w:val="00F82447"/>
    <w:rsid w:val="00F868E5"/>
    <w:rsid w:val="00F9088A"/>
    <w:rsid w:val="00FB2F32"/>
    <w:rsid w:val="00FC3191"/>
    <w:rsid w:val="00FE0F1F"/>
    <w:rsid w:val="00FE1CE1"/>
    <w:rsid w:val="00FF61F3"/>
    <w:rsid w:val="0A214432"/>
    <w:rsid w:val="27733670"/>
    <w:rsid w:val="5B46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单元格样式5"/>
    <w:basedOn w:val="1"/>
    <w:qFormat/>
    <w:uiPriority w:val="0"/>
    <w:pPr>
      <w:jc w:val="left"/>
    </w:pPr>
    <w:rPr>
      <w:rFonts w:ascii="方正书宋_GBK" w:hAnsi="方正书宋_GBK" w:eastAsia="方正书宋_GBK" w:cs="方正书宋_GBK"/>
      <w:b/>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1"/>
    <w:basedOn w:val="1"/>
    <w:qFormat/>
    <w:uiPriority w:val="0"/>
    <w:pPr>
      <w:jc w:val="center"/>
    </w:pPr>
    <w:rPr>
      <w:rFonts w:ascii="方正书宋_GBK" w:hAnsi="方正书宋_GBK" w:eastAsia="方正书宋_GBK" w:cs="方正书宋_GBK"/>
      <w:b/>
    </w:rPr>
  </w:style>
  <w:style w:type="paragraph" w:customStyle="1" w:styleId="14">
    <w:name w:val="单元格样式2"/>
    <w:basedOn w:val="1"/>
    <w:qFormat/>
    <w:uiPriority w:val="0"/>
    <w:pPr>
      <w:jc w:val="left"/>
    </w:pPr>
    <w:rPr>
      <w:rFonts w:ascii="方正书宋_GBK" w:hAnsi="方正书宋_GBK" w:eastAsia="方正书宋_GBK" w:cs="方正书宋_GBK"/>
    </w:rPr>
  </w:style>
  <w:style w:type="paragraph" w:customStyle="1" w:styleId="15">
    <w:name w:val="单元格样式3"/>
    <w:basedOn w:val="1"/>
    <w:qFormat/>
    <w:uiPriority w:val="0"/>
    <w:pPr>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29CD-299D-4FC0-A2BE-40D0B63848B2}">
  <ds:schemaRefs/>
</ds:datastoreItem>
</file>

<file path=docProps/app.xml><?xml version="1.0" encoding="utf-8"?>
<Properties xmlns="http://schemas.openxmlformats.org/officeDocument/2006/extended-properties" xmlns:vt="http://schemas.openxmlformats.org/officeDocument/2006/docPropsVTypes">
  <Template>Normal</Template>
  <Pages>14</Pages>
  <Words>3629</Words>
  <Characters>3808</Characters>
  <Lines>29</Lines>
  <Paragraphs>8</Paragraphs>
  <TotalTime>969</TotalTime>
  <ScaleCrop>false</ScaleCrop>
  <LinksUpToDate>false</LinksUpToDate>
  <CharactersWithSpaces>3878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子非鱼安知鱼之乐</cp:lastModifiedBy>
  <cp:lastPrinted>2021-04-14T02:06:00Z</cp:lastPrinted>
  <dcterms:modified xsi:type="dcterms:W3CDTF">2024-06-04T09:28:23Z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76EAFEA3433E47EF9BBEB116C4FC5C2C</vt:lpwstr>
  </property>
</Properties>
</file>