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bookmarkStart w:id="23" w:name="_GoBack"/>
      <w:r>
        <w:rPr>
          <w:rFonts w:hint="eastAsia" w:ascii="宋体" w:hAnsi="宋体" w:eastAsia="宋体"/>
          <w:b/>
          <w:sz w:val="44"/>
          <w:szCs w:val="44"/>
        </w:rPr>
        <w:t>保定市徐水区遂城镇</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bookmarkEnd w:id="23"/>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30" w:firstLineChars="196"/>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（一）负责党委、人大、政府交办的各项日常工作和纪检监察、组织、宣传、统一战线、人事编制、工青妇及各部门、各方面的综合协调工作，督促检查有关工作的落实。</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（三）负责民政优抚、扶贫开发、民族宗教、劳动和社会保障、科教文卫、安全生产等工作。协调与社会事务相关的其他工作。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（四）负责来信来访、协调法庭、公安等部门工作，负责辖区内社会治安综合治理和法制宣传等工作，调解民事纠纷，维护社会稳定。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（五）负责落实人口计划，开展和推动人口和计划生育各项工作，贯彻实施计划生育条例和法规。指导计划生育服务中心工作。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（六）负责本镇农村社会化发展；负责村镇基础设施、交通等规划、建设、管理工作，负责国土资源、环境保护等工作。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（七）负责计划生育技术服务；负责生育指导和避孕咨询；负责婚前咨询和新婚保健；负责计划生育技术人员与婚前保健服务人员培训；负责计划生育科学研究等。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（八）开展科技宣传等各种形式的文体活动，推动健康向上的农村文化，发展广播电影电视事业，进一步丰富农村业余文化生活，建设好农村社会主义文化阵地，在建设农村物质文明的同时，建设好农村精神文明 。</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方正书宋_GBK" w:eastAsia="方正书宋_GBK"/>
              </w:rPr>
              <w:t>遂城镇（行政）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
                <w:bCs/>
                <w:sz w:val="24"/>
                <w:szCs w:val="24"/>
              </w:rPr>
            </w:pPr>
            <w:r>
              <w:rPr>
                <w:rFonts w:hint="eastAsia" w:ascii="方正书宋_GBK" w:eastAsia="方正书宋_GBK"/>
              </w:rPr>
              <w:t>遂城镇（事业）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3017.76</w:t>
      </w:r>
      <w:r>
        <w:rPr>
          <w:rFonts w:ascii="仿宋" w:hAnsi="仿宋" w:eastAsia="仿宋"/>
          <w:sz w:val="32"/>
          <w:szCs w:val="32"/>
        </w:rPr>
        <w:t>万元,其中：一般公共预算收入</w:t>
      </w:r>
      <w:r>
        <w:rPr>
          <w:rFonts w:hint="eastAsia" w:ascii="仿宋" w:hAnsi="仿宋" w:eastAsia="仿宋"/>
          <w:sz w:val="32"/>
          <w:szCs w:val="32"/>
        </w:rPr>
        <w:t>2135.17</w:t>
      </w:r>
      <w:r>
        <w:rPr>
          <w:rFonts w:ascii="仿宋" w:hAnsi="仿宋" w:eastAsia="仿宋"/>
          <w:sz w:val="32"/>
          <w:szCs w:val="32"/>
        </w:rPr>
        <w:t>万元，基金预算收入</w:t>
      </w:r>
      <w:r>
        <w:rPr>
          <w:rFonts w:hint="eastAsia" w:ascii="仿宋" w:hAnsi="仿宋" w:eastAsia="仿宋"/>
          <w:sz w:val="32"/>
          <w:szCs w:val="32"/>
        </w:rPr>
        <w:t>882.59</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3017.76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基本支出1646.22万元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1508.3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137.92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项目支出1371.54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1371.54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本年度预算收支安排3017.76万元，较上年增加893.07</w:t>
      </w:r>
      <w:r>
        <w:rPr>
          <w:rFonts w:ascii="仿宋" w:hAnsi="仿宋" w:eastAsia="仿宋"/>
          <w:sz w:val="32"/>
          <w:szCs w:val="32"/>
        </w:rPr>
        <w:t>万元。其中:基本支出增加</w:t>
      </w:r>
      <w:r>
        <w:rPr>
          <w:rFonts w:hint="eastAsia" w:ascii="仿宋" w:hAnsi="仿宋" w:eastAsia="仿宋"/>
          <w:sz w:val="32"/>
          <w:szCs w:val="32"/>
        </w:rPr>
        <w:t>8.62</w:t>
      </w:r>
      <w:r>
        <w:rPr>
          <w:rFonts w:ascii="仿宋" w:hAnsi="仿宋" w:eastAsia="仿宋"/>
          <w:sz w:val="32"/>
          <w:szCs w:val="32"/>
        </w:rPr>
        <w:t>万元，主要原因是</w:t>
      </w:r>
      <w:r>
        <w:rPr>
          <w:rFonts w:hint="eastAsia" w:ascii="仿宋" w:hAnsi="仿宋" w:eastAsia="仿宋"/>
          <w:sz w:val="32"/>
          <w:szCs w:val="32"/>
        </w:rPr>
        <w:t>新增职工导致人员及日常公用经费增加</w:t>
      </w:r>
      <w:r>
        <w:rPr>
          <w:rFonts w:ascii="仿宋" w:hAnsi="仿宋" w:eastAsia="仿宋"/>
          <w:sz w:val="32"/>
          <w:szCs w:val="32"/>
        </w:rPr>
        <w:t>；项目支出增加</w:t>
      </w:r>
      <w:r>
        <w:rPr>
          <w:rFonts w:hint="eastAsia" w:ascii="仿宋" w:hAnsi="仿宋" w:eastAsia="仿宋"/>
          <w:sz w:val="32"/>
          <w:szCs w:val="32"/>
        </w:rPr>
        <w:t>884.45</w:t>
      </w:r>
      <w:r>
        <w:rPr>
          <w:rFonts w:ascii="仿宋" w:hAnsi="仿宋" w:eastAsia="仿宋"/>
          <w:sz w:val="32"/>
          <w:szCs w:val="32"/>
        </w:rPr>
        <w:t>万元，主要原因是</w:t>
      </w:r>
      <w:r>
        <w:rPr>
          <w:rFonts w:hint="eastAsia" w:ascii="仿宋" w:hAnsi="仿宋" w:eastAsia="仿宋"/>
          <w:sz w:val="32"/>
          <w:szCs w:val="32"/>
        </w:rPr>
        <w:t>2020年新增</w:t>
      </w:r>
      <w:r>
        <w:rPr>
          <w:rFonts w:ascii="仿宋" w:hAnsi="仿宋" w:eastAsia="仿宋"/>
          <w:sz w:val="32"/>
          <w:szCs w:val="32"/>
        </w:rPr>
        <w:t>全区林业绿化占地经费。</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2020年我部门机关运行经费安排</w:t>
      </w:r>
      <w:r>
        <w:rPr>
          <w:rFonts w:hint="eastAsia" w:ascii="仿宋" w:hAnsi="仿宋" w:eastAsia="仿宋"/>
          <w:sz w:val="32"/>
          <w:szCs w:val="32"/>
        </w:rPr>
        <w:t>137.92</w:t>
      </w:r>
      <w:r>
        <w:rPr>
          <w:rFonts w:ascii="仿宋" w:hAnsi="仿宋" w:eastAsia="仿宋"/>
          <w:sz w:val="32"/>
          <w:szCs w:val="32"/>
        </w:rPr>
        <w:t>万元，其中办公费</w:t>
      </w:r>
      <w:r>
        <w:rPr>
          <w:rFonts w:hint="eastAsia" w:ascii="仿宋" w:hAnsi="仿宋" w:eastAsia="仿宋"/>
          <w:sz w:val="32"/>
          <w:szCs w:val="32"/>
        </w:rPr>
        <w:t>29.4</w:t>
      </w:r>
      <w:r>
        <w:rPr>
          <w:rFonts w:ascii="仿宋" w:hAnsi="仿宋" w:eastAsia="仿宋"/>
          <w:sz w:val="32"/>
          <w:szCs w:val="32"/>
        </w:rPr>
        <w:t>万元，邮电费</w:t>
      </w:r>
      <w:r>
        <w:rPr>
          <w:rFonts w:hint="eastAsia" w:ascii="仿宋" w:hAnsi="仿宋" w:eastAsia="仿宋"/>
          <w:sz w:val="32"/>
          <w:szCs w:val="32"/>
        </w:rPr>
        <w:t>17.4</w:t>
      </w:r>
      <w:r>
        <w:rPr>
          <w:rFonts w:ascii="仿宋" w:hAnsi="仿宋" w:eastAsia="仿宋"/>
          <w:sz w:val="32"/>
          <w:szCs w:val="32"/>
        </w:rPr>
        <w:t>万元，</w:t>
      </w:r>
      <w:r>
        <w:rPr>
          <w:rFonts w:hint="eastAsia" w:ascii="仿宋" w:hAnsi="仿宋" w:eastAsia="仿宋"/>
          <w:sz w:val="32"/>
          <w:szCs w:val="32"/>
        </w:rPr>
        <w:t>办公取暖费5.99万元，</w:t>
      </w:r>
      <w:r>
        <w:rPr>
          <w:rFonts w:ascii="仿宋" w:hAnsi="仿宋" w:eastAsia="仿宋"/>
          <w:sz w:val="32"/>
          <w:szCs w:val="32"/>
        </w:rPr>
        <w:t>工会经费、福利费</w:t>
      </w:r>
      <w:r>
        <w:rPr>
          <w:rFonts w:hint="eastAsia" w:ascii="仿宋" w:hAnsi="仿宋" w:eastAsia="仿宋"/>
          <w:sz w:val="32"/>
          <w:szCs w:val="32"/>
        </w:rPr>
        <w:t>25.37</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，离退休干部经费3.29万元，公务交通补贴17.52万元,</w:t>
      </w:r>
      <w:r>
        <w:rPr>
          <w:rFonts w:ascii="仿宋" w:hAnsi="仿宋" w:eastAsia="仿宋"/>
          <w:sz w:val="32"/>
          <w:szCs w:val="32"/>
        </w:rPr>
        <w:t>其他</w:t>
      </w:r>
      <w:r>
        <w:rPr>
          <w:rFonts w:hint="eastAsia" w:ascii="仿宋" w:hAnsi="仿宋" w:eastAsia="仿宋"/>
          <w:sz w:val="32"/>
          <w:szCs w:val="32"/>
        </w:rPr>
        <w:t>公用经费26.95</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6"/>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23.94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27.21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24.87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年，我部门针对三公经费支出制定了严格的管理制度，认真执行中央八项规定，厉行节约，杜绝浪费。从总量来讲，我部门的三公经费与上年相比减少了2.34万元。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left"/>
        <w:outlineLvl w:val="0"/>
        <w:rPr>
          <w:rFonts w:ascii="方正小标宋_GBK" w:eastAsia="方正小标宋_GBK"/>
          <w:sz w:val="44"/>
        </w:rPr>
      </w:pPr>
      <w:r>
        <w:rPr>
          <w:rFonts w:hint="eastAsia" w:ascii="方正小标宋_GBK" w:eastAsia="方正小标宋_GBK"/>
          <w:sz w:val="44"/>
        </w:rPr>
        <w:t>一．部门整体</w:t>
      </w:r>
      <w:r>
        <w:rPr>
          <w:rFonts w:ascii="方正小标宋_GBK" w:eastAsia="方正小标宋_GBK"/>
          <w:sz w:val="44"/>
        </w:rPr>
        <w:t>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坚持以习近平新时代中国特色社会主义思想为指导，深入贯彻党的十九大和十九届二中、三中、四中全会精神，紧紧围绕全区中心工作和区委重要部署，按照建设</w:t>
      </w:r>
      <w:r>
        <w:rPr>
          <w:rFonts w:ascii="仿宋" w:hAnsi="仿宋" w:eastAsia="仿宋"/>
          <w:sz w:val="32"/>
          <w:szCs w:val="32"/>
        </w:rPr>
        <w:t>“</w:t>
      </w:r>
      <w:r>
        <w:rPr>
          <w:rFonts w:hint="eastAsia" w:ascii="仿宋" w:hAnsi="仿宋" w:eastAsia="仿宋"/>
          <w:sz w:val="32"/>
          <w:szCs w:val="32"/>
        </w:rPr>
        <w:t>生产发展、生活宽裕、乡风文明、村容整洁、管理民主</w:t>
      </w:r>
      <w:r>
        <w:rPr>
          <w:rFonts w:ascii="仿宋" w:hAnsi="仿宋" w:eastAsia="仿宋"/>
          <w:sz w:val="32"/>
          <w:szCs w:val="32"/>
        </w:rPr>
        <w:t>“</w:t>
      </w:r>
      <w:r>
        <w:rPr>
          <w:rFonts w:hint="eastAsia" w:ascii="仿宋" w:hAnsi="仿宋" w:eastAsia="仿宋"/>
          <w:sz w:val="32"/>
          <w:szCs w:val="32"/>
        </w:rPr>
        <w:t>的社会主义新农村的要求，着眼于全面推进农村的经济、政治、文化、社会和党的建设，抓住发展这个第一要务，同时加强社会管理和公共服务职能，努力建设服务型、法制型政府，更好为</w:t>
      </w:r>
      <w:r>
        <w:rPr>
          <w:rFonts w:ascii="仿宋" w:hAnsi="仿宋" w:eastAsia="仿宋"/>
          <w:sz w:val="32"/>
          <w:szCs w:val="32"/>
        </w:rPr>
        <w:t>“</w:t>
      </w:r>
      <w:r>
        <w:rPr>
          <w:rFonts w:hint="eastAsia" w:ascii="仿宋" w:hAnsi="仿宋" w:eastAsia="仿宋"/>
          <w:sz w:val="32"/>
          <w:szCs w:val="32"/>
        </w:rPr>
        <w:t>三农</w:t>
      </w:r>
      <w:r>
        <w:rPr>
          <w:rFonts w:ascii="仿宋" w:hAnsi="仿宋" w:eastAsia="仿宋"/>
          <w:sz w:val="32"/>
          <w:szCs w:val="32"/>
        </w:rPr>
        <w:t>”</w:t>
      </w:r>
      <w:r>
        <w:rPr>
          <w:rFonts w:hint="eastAsia" w:ascii="仿宋" w:hAnsi="仿宋" w:eastAsia="仿宋"/>
          <w:sz w:val="32"/>
          <w:szCs w:val="32"/>
        </w:rPr>
        <w:t>服务。全面落实习近平总书记的重要指示批示、中央经济工作会议等精神，紧扣全面建成小康社会目标任务，坚持稳中求进工作总基调，坚持新发展理念，统筹做好稳增长、促改革、调结构、惠民生、防风险、保稳定，为建设经济强镇，幸福遂城打下坚实基础。</w:t>
      </w:r>
    </w:p>
    <w:p>
      <w:pPr>
        <w:spacing w:line="500" w:lineRule="exact"/>
        <w:jc w:val="left"/>
        <w:rPr>
          <w:rFonts w:ascii="方正小标宋_GBK" w:eastAsia="方正小标宋_GBK"/>
          <w:sz w:val="44"/>
        </w:rPr>
      </w:pPr>
      <w:r>
        <w:rPr>
          <w:rFonts w:hint="eastAsia" w:ascii="方正小标宋_GBK" w:eastAsia="方正小标宋_GBK"/>
          <w:sz w:val="44"/>
        </w:rPr>
        <w:t>二．分项绩效目标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有效化解不稳定隐患，维护社会稳定。</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绩效目标：预防减少不稳定因素的发生。有效化解不稳定隐患、群体性事件和突发事件，维护社会稳定。</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绩效指标：重大安保任务完成率和矛盾纠纷调处率达</w:t>
      </w:r>
      <w:r>
        <w:rPr>
          <w:rFonts w:ascii="仿宋" w:hAnsi="仿宋" w:eastAsia="仿宋"/>
          <w:sz w:val="32"/>
          <w:szCs w:val="32"/>
        </w:rPr>
        <w:t>90%</w:t>
      </w:r>
      <w:r>
        <w:rPr>
          <w:rFonts w:hint="eastAsia" w:ascii="仿宋" w:hAnsi="仿宋" w:eastAsia="仿宋"/>
          <w:sz w:val="32"/>
          <w:szCs w:val="32"/>
        </w:rPr>
        <w:t>以上，公众安全感指数达</w:t>
      </w:r>
      <w:r>
        <w:rPr>
          <w:rFonts w:ascii="仿宋" w:hAnsi="仿宋" w:eastAsia="仿宋"/>
          <w:sz w:val="32"/>
          <w:szCs w:val="32"/>
        </w:rPr>
        <w:t>80%</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（二）促进农村文化建设发展。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绩效目标：公共文化产品生产和服务能力提高，基本公共文化服务标准化、均等化水平不断提高；加强农村基层文化人才队伍建设、丰富农民群众文化生活。</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绩效指标：保障日常运转经费完成率和组织公益性活动完成率达</w:t>
      </w:r>
      <w:r>
        <w:rPr>
          <w:rFonts w:ascii="仿宋" w:hAnsi="仿宋" w:eastAsia="仿宋"/>
          <w:sz w:val="32"/>
          <w:szCs w:val="32"/>
        </w:rPr>
        <w:t>90%</w:t>
      </w:r>
      <w:r>
        <w:rPr>
          <w:rFonts w:hint="eastAsia" w:ascii="仿宋" w:hAnsi="仿宋" w:eastAsia="仿宋"/>
          <w:sz w:val="32"/>
          <w:szCs w:val="32"/>
        </w:rPr>
        <w:t>以上，受益群众满意率达</w:t>
      </w:r>
      <w:r>
        <w:rPr>
          <w:rFonts w:ascii="仿宋" w:hAnsi="仿宋" w:eastAsia="仿宋"/>
          <w:sz w:val="32"/>
          <w:szCs w:val="32"/>
        </w:rPr>
        <w:t>80%</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（三）搞好服务保障，保障各项工作顺利开展。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搞好服务保障，为广大干部职工提供安全、快捷、细致、周到的工作环境。建立健全基层群众自治组织，搞好服务保障，保障村级组织正常运转。提高综合能力，保障共青团工作、纪检工作、人大工作顺利开展。保障原京原公路工役制人员落实待遇资金、退役军人公益性岗位人员工资及扶贫公益岗位补助发放和购置保险等各项工作顺利开展，资金及时足额拨付到位。</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绩效指标：业务处理及时性和综合事务保障完成率达</w:t>
      </w:r>
      <w:r>
        <w:rPr>
          <w:rFonts w:ascii="仿宋" w:hAnsi="仿宋" w:eastAsia="仿宋"/>
          <w:sz w:val="32"/>
          <w:szCs w:val="32"/>
        </w:rPr>
        <w:t>90%</w:t>
      </w:r>
      <w:r>
        <w:rPr>
          <w:rFonts w:hint="eastAsia" w:ascii="仿宋" w:hAnsi="仿宋" w:eastAsia="仿宋"/>
          <w:sz w:val="32"/>
          <w:szCs w:val="32"/>
        </w:rPr>
        <w:t>以上，群众满意率达</w:t>
      </w:r>
      <w:r>
        <w:rPr>
          <w:rFonts w:ascii="仿宋" w:hAnsi="仿宋" w:eastAsia="仿宋"/>
          <w:sz w:val="32"/>
          <w:szCs w:val="32"/>
        </w:rPr>
        <w:t>80%</w:t>
      </w:r>
      <w:r>
        <w:rPr>
          <w:rFonts w:hint="eastAsia" w:ascii="仿宋" w:hAnsi="仿宋" w:eastAsia="仿宋"/>
          <w:sz w:val="32"/>
          <w:szCs w:val="32"/>
        </w:rPr>
        <w:t>以上。工资及补助发放率和覆盖率达</w:t>
      </w:r>
      <w:r>
        <w:rPr>
          <w:rFonts w:ascii="仿宋" w:hAnsi="仿宋" w:eastAsia="仿宋"/>
          <w:sz w:val="32"/>
          <w:szCs w:val="32"/>
        </w:rPr>
        <w:t>90%</w:t>
      </w:r>
      <w:r>
        <w:rPr>
          <w:rFonts w:hint="eastAsia" w:ascii="仿宋" w:hAnsi="仿宋" w:eastAsia="仿宋"/>
          <w:sz w:val="32"/>
          <w:szCs w:val="32"/>
        </w:rPr>
        <w:t>以上，受益对象满意度达</w:t>
      </w:r>
      <w:r>
        <w:rPr>
          <w:rFonts w:ascii="仿宋" w:hAnsi="仿宋" w:eastAsia="仿宋"/>
          <w:sz w:val="32"/>
          <w:szCs w:val="32"/>
        </w:rPr>
        <w:t>80%</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四）改善农村人居环境。</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绩效目标：通过开展禁烧及秸秆清运项目，改善农村人居环境，加强环境保护工作，治理环境污染。</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绩效指标：村庄垃圾收集、处理率达</w:t>
      </w:r>
      <w:r>
        <w:rPr>
          <w:rFonts w:ascii="仿宋" w:hAnsi="仿宋" w:eastAsia="仿宋"/>
          <w:sz w:val="32"/>
          <w:szCs w:val="32"/>
        </w:rPr>
        <w:t>90%</w:t>
      </w:r>
      <w:r>
        <w:rPr>
          <w:rFonts w:hint="eastAsia" w:ascii="仿宋" w:hAnsi="仿宋" w:eastAsia="仿宋"/>
          <w:sz w:val="32"/>
          <w:szCs w:val="32"/>
        </w:rPr>
        <w:t>以上，群众满意度达</w:t>
      </w:r>
      <w:r>
        <w:rPr>
          <w:rFonts w:ascii="仿宋" w:hAnsi="仿宋" w:eastAsia="仿宋"/>
          <w:sz w:val="32"/>
          <w:szCs w:val="32"/>
        </w:rPr>
        <w:t>80%</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（五）安全生产信息员经费落实到位，保证工作顺利开展。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绩效目标：通过项目实施，维持安全生产信息员队伍的稳定。有效减少安全生产事故的发生，维护安全生产形势稳中向好。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绩效指标：补贴发放率达</w:t>
      </w:r>
      <w:r>
        <w:rPr>
          <w:rFonts w:ascii="仿宋" w:hAnsi="仿宋" w:eastAsia="仿宋"/>
          <w:sz w:val="32"/>
          <w:szCs w:val="32"/>
        </w:rPr>
        <w:t>90%</w:t>
      </w:r>
      <w:r>
        <w:rPr>
          <w:rFonts w:hint="eastAsia" w:ascii="仿宋" w:hAnsi="仿宋" w:eastAsia="仿宋"/>
          <w:sz w:val="32"/>
          <w:szCs w:val="32"/>
        </w:rPr>
        <w:t>以上，服务对象满意度达</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（六）地震群测群防补贴及时足额落实到位，保证工作顺利开展。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绩效目标：通过项目实施，维持地震群测群防队伍的稳定。有效降低地震灾害造成的人身及财产损失。</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绩效指标：地震群测群防队伍覆盖率及补贴发放率达</w:t>
      </w:r>
      <w:r>
        <w:rPr>
          <w:rFonts w:ascii="仿宋" w:hAnsi="仿宋" w:eastAsia="仿宋"/>
          <w:sz w:val="32"/>
          <w:szCs w:val="32"/>
        </w:rPr>
        <w:t>90%</w:t>
      </w:r>
      <w:r>
        <w:rPr>
          <w:rFonts w:hint="eastAsia" w:ascii="仿宋" w:hAnsi="仿宋" w:eastAsia="仿宋"/>
          <w:sz w:val="32"/>
          <w:szCs w:val="32"/>
        </w:rPr>
        <w:t>以上，服务对象满意度达</w:t>
      </w:r>
      <w:r>
        <w:rPr>
          <w:rFonts w:ascii="仿宋" w:hAnsi="仿宋" w:eastAsia="仿宋"/>
          <w:sz w:val="32"/>
          <w:szCs w:val="32"/>
        </w:rPr>
        <w:t>90%</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（七）保证土地流转资金及时足额发放到位，稳定乡情村情。</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绩效目标：资金及时足额发放到位，维护高速两侧绿化占地、大庞村示范园、高户路及遂正路占地等土地流转农户利益，稳定乡情村情。</w:t>
      </w:r>
    </w:p>
    <w:p>
      <w:pPr>
        <w:spacing w:line="500" w:lineRule="exact"/>
        <w:jc w:val="left"/>
        <w:rPr>
          <w:rFonts w:ascii="仿宋" w:hAnsi="仿宋" w:eastAsia="仿宋"/>
          <w:sz w:val="32"/>
          <w:szCs w:val="32"/>
        </w:rPr>
      </w:pPr>
      <w:r>
        <w:rPr>
          <w:rFonts w:hint="eastAsia" w:ascii="仿宋" w:hAnsi="仿宋" w:eastAsia="仿宋"/>
          <w:sz w:val="32"/>
          <w:szCs w:val="32"/>
        </w:rPr>
        <w:t>绩效指标：补助金发放率和补助覆盖率达</w:t>
      </w:r>
      <w:r>
        <w:rPr>
          <w:rFonts w:ascii="仿宋" w:hAnsi="仿宋" w:eastAsia="仿宋"/>
          <w:sz w:val="32"/>
          <w:szCs w:val="32"/>
        </w:rPr>
        <w:t>90%</w:t>
      </w:r>
      <w:r>
        <w:rPr>
          <w:rFonts w:hint="eastAsia" w:ascii="仿宋" w:hAnsi="仿宋" w:eastAsia="仿宋"/>
          <w:sz w:val="32"/>
          <w:szCs w:val="32"/>
        </w:rPr>
        <w:t>以上，受益对象满意度达</w:t>
      </w:r>
      <w:r>
        <w:rPr>
          <w:rFonts w:ascii="仿宋" w:hAnsi="仿宋" w:eastAsia="仿宋"/>
          <w:sz w:val="32"/>
          <w:szCs w:val="32"/>
        </w:rPr>
        <w:t>80%</w:t>
      </w:r>
      <w:r>
        <w:rPr>
          <w:rFonts w:hint="eastAsia" w:ascii="仿宋" w:hAnsi="仿宋" w:eastAsia="仿宋"/>
          <w:sz w:val="32"/>
          <w:szCs w:val="32"/>
        </w:rPr>
        <w:t>以上。</w:t>
      </w:r>
    </w:p>
    <w:p>
      <w:pPr>
        <w:spacing w:line="500" w:lineRule="exact"/>
        <w:jc w:val="left"/>
        <w:rPr>
          <w:rFonts w:ascii="仿宋" w:hAnsi="仿宋" w:eastAsia="仿宋"/>
          <w:sz w:val="32"/>
          <w:szCs w:val="32"/>
        </w:rPr>
      </w:pPr>
    </w:p>
    <w:p>
      <w:pPr>
        <w:spacing w:line="500" w:lineRule="exact"/>
        <w:jc w:val="left"/>
        <w:rPr>
          <w:rFonts w:ascii="方正小标宋_GBK" w:eastAsia="方正小标宋_GBK"/>
          <w:sz w:val="44"/>
        </w:rPr>
      </w:pPr>
      <w:r>
        <w:rPr>
          <w:rFonts w:hint="eastAsia" w:ascii="方正小标宋_GBK" w:eastAsia="方正小标宋_GBK"/>
          <w:sz w:val="44"/>
        </w:rPr>
        <w:t>三．工作保障措施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完善制度建设。对制度制定和制度执行要两手抓，两手都要硬。通过对各种制度的设立考勤、考绩等多方面的检查记录制度，定期或不定期地开展监督检查，及时发现和解决制度执行中的问题。保证各项制度的有效落实，坚决维护各项制度的严肃性，使干部职工做到理解制度，自觉遵守制度，使制度建设</w:t>
      </w:r>
      <w:r>
        <w:rPr>
          <w:rFonts w:hint="eastAsia" w:ascii="仿宋" w:hAnsi="仿宋" w:eastAsia="仿宋"/>
          <w:sz w:val="32"/>
          <w:szCs w:val="32"/>
          <w:lang w:eastAsia="zh-CN"/>
        </w:rPr>
        <w:t>更好地为</w:t>
      </w:r>
      <w:r>
        <w:rPr>
          <w:rFonts w:hint="eastAsia" w:ascii="仿宋" w:hAnsi="仿宋" w:eastAsia="仿宋"/>
          <w:sz w:val="32"/>
          <w:szCs w:val="32"/>
        </w:rPr>
        <w:t>中心经济发展服务保驾护航。</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（二）加强支出管理。通过优化支出结构，编细编实预算，尽快启动项目，及时支付资金，确保支出进度达标。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（四）规范财务资产管理。完善财务管理制度，严格审批程序，加强固定资产登记、使用和报废和处置管理，做到支出合理，物尽其用。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jc w:val="left"/>
        <w:rPr>
          <w:rFonts w:hint="eastAsia" w:ascii="仿宋" w:hAnsi="仿宋" w:eastAsia="仿宋"/>
          <w:sz w:val="32"/>
          <w:szCs w:val="32"/>
        </w:rPr>
      </w:pPr>
      <w:r>
        <w:rPr>
          <w:rFonts w:hint="eastAsia" w:ascii="仿宋" w:hAnsi="仿宋" w:eastAsia="仿宋"/>
          <w:sz w:val="32"/>
          <w:szCs w:val="32"/>
        </w:rPr>
        <w:t>（六）加强宣传培训调研等。加强人员培训，提高本部门职工业务素质；加强调研，提出优化财政资金配置，提高资金使用效益的意见；加大宣传力度，强化预算绩效管理意识，促进预算绩效管理水平进一步提高。</w:t>
      </w:r>
    </w:p>
    <w:p>
      <w:pPr>
        <w:spacing w:line="360" w:lineRule="auto"/>
        <w:ind w:firstLine="640" w:firstLineChars="200"/>
        <w:rPr>
          <w:rFonts w:ascii="仿宋" w:hAnsi="仿宋" w:eastAsia="仿宋"/>
          <w:sz w:val="32"/>
          <w:szCs w:val="32"/>
        </w:rPr>
      </w:pPr>
    </w:p>
    <w:p>
      <w:pPr>
        <w:jc w:val="left"/>
        <w:outlineLvl w:val="0"/>
        <w:rPr>
          <w:rFonts w:ascii="方正书宋_GBK" w:eastAsia="方正书宋_GBK"/>
        </w:rPr>
      </w:pPr>
      <w:r>
        <w:rPr>
          <w:rFonts w:hint="eastAsia" w:ascii="方正小标宋_GBK" w:eastAsia="方正小标宋_GBK"/>
          <w:sz w:val="44"/>
        </w:rPr>
        <w:t>四．预算项目绩效目标</w:t>
      </w:r>
      <w:r>
        <w:rPr>
          <w:rFonts w:ascii="方正书宋_GBK" w:eastAsia="方正书宋_GBK"/>
        </w:rPr>
        <w:t xml:space="preserve"> </w:t>
      </w:r>
    </w:p>
    <w:p>
      <w:pPr>
        <w:ind w:firstLine="562" w:firstLineChars="200"/>
        <w:jc w:val="left"/>
        <w:outlineLvl w:val="1"/>
        <w:rPr>
          <w:rFonts w:ascii="Times New Roman" w:hAnsi="宋体" w:eastAsia="宋体"/>
          <w:b/>
          <w:sz w:val="28"/>
        </w:rPr>
      </w:pPr>
      <w:r>
        <w:rPr>
          <w:rFonts w:ascii="方正仿宋_GBK" w:eastAsia="方正仿宋_GBK"/>
          <w:b/>
          <w:sz w:val="28"/>
        </w:rPr>
        <w:t>1、2020年度全区林业绿化占地经费绩效目标表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367650"/>
      <w:r>
        <w:rPr>
          <w:rFonts w:ascii="方正仿宋_GBK" w:eastAsia="方正仿宋_GBK"/>
          <w:b/>
          <w:sz w:val="28"/>
        </w:rPr>
        <w:instrText xml:space="preserve">1、2020年度全区林业绿化占地经费绩效目标表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904-1701-JBN-TDU1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2020年度全区林业绿化占地经费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869.39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869.39</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用于兑付高速两侧绿化占地租金。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w:t>
            </w:r>
          </w:p>
          <w:p>
            <w:pPr>
              <w:spacing w:line="300" w:lineRule="exact"/>
              <w:jc w:val="left"/>
              <w:rPr>
                <w:rFonts w:ascii="方正书宋_GBK" w:eastAsia="方正书宋_GBK"/>
              </w:rPr>
            </w:pPr>
            <w:r>
              <w:rPr>
                <w:rFonts w:ascii="方正书宋_GBK" w:eastAsia="方正书宋_GBK"/>
              </w:rPr>
              <w:t>2、维护高速两侧绿化占地等农户利益，稳定乡情村情。</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2、2020年扶贫公益岗位补助及购置保险绩效目标表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67651"/>
      <w:r>
        <w:rPr>
          <w:rFonts w:ascii="方正仿宋_GBK" w:eastAsia="方正仿宋_GBK"/>
          <w:b/>
          <w:sz w:val="28"/>
        </w:rPr>
        <w:instrText xml:space="preserve">2、2020年扶贫公益岗位补助及购置保险绩效目标表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904-1701-JBN-XCPZ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19.33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设置扶贫公益岗位，每人每月补助500元，为每人购置人身意外保险667元，2020年1－12月实施,全年共需19.3343万元。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1、以扶贫公益岗位为抓手，解决建档立卡贫困户中弱劳动能力人员就业问题。</w:t>
            </w:r>
          </w:p>
          <w:p>
            <w:pPr>
              <w:spacing w:line="300" w:lineRule="exact"/>
              <w:jc w:val="left"/>
              <w:rPr>
                <w:rFonts w:ascii="方正书宋_GBK" w:eastAsia="方正书宋_GBK"/>
              </w:rPr>
            </w:pPr>
            <w:r>
              <w:rPr>
                <w:rFonts w:ascii="方正书宋_GBK" w:eastAsia="方正书宋_GBK"/>
              </w:rPr>
              <w:t>2、给予一定的岗位补助，促进建档立卡贫困户增收脱贫。</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带动建档立卡贫困户增加收入（万元）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保障建档立卡贫困户人身安全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购置建档立卡贫困户人身意外保险费用（万元）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3、安全生产信息员经费绩效目标表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67652"/>
      <w:r>
        <w:rPr>
          <w:rFonts w:ascii="方正仿宋_GBK" w:eastAsia="方正仿宋_GBK"/>
          <w:b/>
          <w:sz w:val="28"/>
        </w:rPr>
        <w:instrText xml:space="preserve">3、安全生产信息员经费绩效目标表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904-2401-JBN-LPI2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用于全镇安全生产信息员补助，计划2020年1-12月实施。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享受安全生产信息员补贴人员数量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享受安全生产信息员补贴人员数量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4、拨付原京原公路工役制人员落实待遇资金绩效目标表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67653"/>
      <w:r>
        <w:rPr>
          <w:rFonts w:ascii="方正仿宋_GBK" w:eastAsia="方正仿宋_GBK"/>
          <w:b/>
          <w:sz w:val="28"/>
        </w:rPr>
        <w:instrText xml:space="preserve">4、拨付原京原公路工役制人员落实待遇资金绩效目标表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904-1701-JBN-KNO2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12.96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12.96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1、提高综合能力。</w:t>
            </w:r>
          </w:p>
          <w:p>
            <w:pPr>
              <w:spacing w:line="300" w:lineRule="exact"/>
              <w:jc w:val="left"/>
              <w:rPr>
                <w:rFonts w:ascii="方正书宋_GBK" w:eastAsia="方正书宋_GBK"/>
              </w:rPr>
            </w:pPr>
            <w:r>
              <w:rPr>
                <w:rFonts w:ascii="方正书宋_GBK" w:eastAsia="方正书宋_GBK"/>
              </w:rPr>
              <w:t>2、保障各项业务工作畅通。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已发放人数占应发放人数的比率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5、村党组织活动经费绩效目标表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67654"/>
      <w:r>
        <w:rPr>
          <w:rFonts w:ascii="方正仿宋_GBK" w:eastAsia="方正仿宋_GBK"/>
          <w:b/>
          <w:sz w:val="28"/>
        </w:rPr>
        <w:instrText xml:space="preserve">5、村党组织活动经费绩效目标表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904-1701-JBN-PMG5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41.44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41.44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6、村级组织办公经费绩效目标表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67655"/>
      <w:r>
        <w:rPr>
          <w:rFonts w:ascii="方正仿宋_GBK" w:eastAsia="方正仿宋_GBK"/>
          <w:b/>
          <w:sz w:val="28"/>
        </w:rPr>
        <w:instrText xml:space="preserve">6、村级组织办公经费绩效目标表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904-1701-JBN-6BYN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78.97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78.97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用于保障村级组织正常运转。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1、保障村级组织正常运转。</w:t>
            </w:r>
          </w:p>
          <w:p>
            <w:pPr>
              <w:spacing w:line="300" w:lineRule="exact"/>
              <w:jc w:val="left"/>
              <w:rPr>
                <w:rFonts w:ascii="方正书宋_GBK" w:eastAsia="方正书宋_GBK"/>
              </w:rPr>
            </w:pPr>
            <w:r>
              <w:rPr>
                <w:rFonts w:ascii="方正书宋_GBK" w:eastAsia="方正书宋_GBK"/>
              </w:rPr>
              <w:t>2、搞好服务保障。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拨付资金到镇所辖行政村数量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7、大庞村示范园及镇政府占地等补偿绩效目标表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67656"/>
      <w:r>
        <w:rPr>
          <w:rFonts w:ascii="方正仿宋_GBK" w:eastAsia="方正仿宋_GBK"/>
          <w:b/>
          <w:sz w:val="28"/>
        </w:rPr>
        <w:instrText xml:space="preserve">7、大庞村示范园及镇政府占地等补偿绩效目标表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904-2701-JBN-9UUX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大庞村示范园及镇政府占地等补偿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7.90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7.90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用于支付大庞村示范园及镇政府占地等补偿。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96.00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w:t>
            </w:r>
          </w:p>
          <w:p>
            <w:pPr>
              <w:spacing w:line="300" w:lineRule="exact"/>
              <w:jc w:val="left"/>
              <w:rPr>
                <w:rFonts w:ascii="方正书宋_GBK" w:eastAsia="方正书宋_GBK"/>
              </w:rPr>
            </w:pPr>
            <w:r>
              <w:rPr>
                <w:rFonts w:ascii="方正书宋_GBK" w:eastAsia="方正书宋_GBK"/>
              </w:rPr>
              <w:t>2、维护大庞村示范园及镇政府占地等农户利益，稳定乡情村情。</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8、大气污染防治经费绩效目标表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67657"/>
      <w:r>
        <w:rPr>
          <w:rFonts w:ascii="方正仿宋_GBK" w:eastAsia="方正仿宋_GBK"/>
          <w:b/>
          <w:sz w:val="28"/>
        </w:rPr>
        <w:instrText xml:space="preserve">8、大气污染防治经费绩效目标表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904-1801-JBN-UQPK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用于支付31年行政村禁烧及</w:t>
            </w:r>
            <w:r>
              <w:rPr>
                <w:rFonts w:hint="eastAsia" w:ascii="方正书宋_GBK" w:eastAsia="方正书宋_GBK"/>
                <w:lang w:eastAsia="zh-CN"/>
              </w:rPr>
              <w:t>秸秆</w:t>
            </w:r>
            <w:r>
              <w:rPr>
                <w:rFonts w:ascii="方正书宋_GBK" w:eastAsia="方正书宋_GBK"/>
              </w:rPr>
              <w:t>清运雇佣车辆及人员劳务费。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1、通过开展禁烧及秸秆清运项目，改善农村人居环境。</w:t>
            </w:r>
          </w:p>
          <w:p>
            <w:pPr>
              <w:spacing w:line="300" w:lineRule="exact"/>
              <w:jc w:val="left"/>
              <w:rPr>
                <w:rFonts w:ascii="方正书宋_GBK" w:eastAsia="方正书宋_GBK"/>
              </w:rPr>
            </w:pPr>
            <w:r>
              <w:rPr>
                <w:rFonts w:ascii="方正书宋_GBK" w:eastAsia="方正书宋_GBK"/>
              </w:rPr>
              <w:t>2、加强环境保护工作，治理环境污染。</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村庄垃圾收集、处理完成情况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秸秆处理及时率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秸秆是否能够及时处理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调查中满意和较满意的群众人数占全部调查人数的比率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9、地震群测群防岗位津贴绩效目标表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67658"/>
      <w:r>
        <w:rPr>
          <w:rFonts w:ascii="方正仿宋_GBK" w:eastAsia="方正仿宋_GBK"/>
          <w:b/>
          <w:sz w:val="28"/>
        </w:rPr>
        <w:instrText xml:space="preserve">9、地震群测群防岗位津贴绩效目标表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904-2501-JBN-BQEW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用于全区地震群测群防系统人员津贴发放，2020年1-12月实施。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发放乡镇（办事处）地震群测群防岗位津贴发放完成率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10、服务群众专项经费绩效目标表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67659"/>
      <w:r>
        <w:rPr>
          <w:rFonts w:ascii="方正仿宋_GBK" w:eastAsia="方正仿宋_GBK"/>
          <w:b/>
          <w:sz w:val="28"/>
        </w:rPr>
        <w:instrText xml:space="preserve">10、服务群众专项经费绩效目标表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904-1701-JBN-CGP1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11、高户路及遂正路占地补偿绩效目标表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67660"/>
      <w:r>
        <w:rPr>
          <w:rFonts w:ascii="方正仿宋_GBK" w:eastAsia="方正仿宋_GBK"/>
          <w:b/>
          <w:sz w:val="28"/>
        </w:rPr>
        <w:instrText xml:space="preserve">11、高户路及遂正路占地补偿绩效目标表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904-2701-JBN-S3EG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高户路及遂正路占地补偿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5.30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5.30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用于支付高户路及遂正路占地补偿。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w:t>
            </w:r>
          </w:p>
          <w:p>
            <w:pPr>
              <w:spacing w:line="300" w:lineRule="exact"/>
              <w:jc w:val="left"/>
              <w:rPr>
                <w:rFonts w:ascii="方正书宋_GBK" w:eastAsia="方正书宋_GBK"/>
              </w:rPr>
            </w:pPr>
            <w:r>
              <w:rPr>
                <w:rFonts w:ascii="方正书宋_GBK" w:eastAsia="方正书宋_GBK"/>
              </w:rPr>
              <w:t>2、维护高户路及遂正路占地户利益，稳定乡情村情。</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12、纪检保障经费绩效目标表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67661"/>
      <w:r>
        <w:rPr>
          <w:rFonts w:ascii="方正仿宋_GBK" w:eastAsia="方正仿宋_GBK"/>
          <w:b/>
          <w:sz w:val="28"/>
        </w:rPr>
        <w:instrText xml:space="preserve">12、纪检保障经费绩效目标表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904-1701-JBN-027L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用于支付纪检办案人员津贴及纪检工作日常经费支出。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1、落实党风廉政建设监督责任，加强调查研究帮助解决实际困难和问题。</w:t>
            </w:r>
          </w:p>
          <w:p>
            <w:pPr>
              <w:spacing w:line="300" w:lineRule="exact"/>
              <w:jc w:val="left"/>
              <w:rPr>
                <w:rFonts w:ascii="方正书宋_GBK" w:eastAsia="方正书宋_GBK"/>
              </w:rPr>
            </w:pPr>
            <w:r>
              <w:rPr>
                <w:rFonts w:ascii="方正书宋_GBK" w:eastAsia="方正书宋_GBK"/>
              </w:rPr>
              <w:t>2、推动党风廉政建设监督责任落实，确保纪检工作顺利开展。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案件执行个数（次）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执法行动的个数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信访群众对案件处理的满意程度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13、其他两委干部绩效补贴绩效目标表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67662"/>
      <w:r>
        <w:rPr>
          <w:rFonts w:ascii="方正仿宋_GBK" w:eastAsia="方正仿宋_GBK"/>
          <w:b/>
          <w:sz w:val="28"/>
        </w:rPr>
        <w:instrText xml:space="preserve">13、其他两委干部绩效补贴绩效目标表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904-1701-JBN-P1TB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用于村农村支书、主任之外的其他“两委”干部发放绩效补贴。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1、进一步强化党在农村执政的保障基础</w:t>
            </w:r>
          </w:p>
          <w:p>
            <w:pPr>
              <w:spacing w:line="300" w:lineRule="exact"/>
              <w:jc w:val="left"/>
              <w:rPr>
                <w:rFonts w:ascii="方正书宋_GBK" w:eastAsia="方正书宋_GBK"/>
              </w:rPr>
            </w:pPr>
            <w:r>
              <w:rPr>
                <w:rFonts w:ascii="方正书宋_GBK" w:eastAsia="方正书宋_GBK"/>
              </w:rPr>
              <w:t>2、充分调动农村干部的工作热情</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14、人大工作经费绩效目标表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67663"/>
      <w:r>
        <w:rPr>
          <w:rFonts w:ascii="方正仿宋_GBK" w:eastAsia="方正仿宋_GBK"/>
          <w:b/>
          <w:sz w:val="28"/>
        </w:rPr>
        <w:instrText xml:space="preserve">14、人大工作经费绩效目标表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904-1701-JBN-SG0Q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用于人大工作经费支出。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1、加强乡镇人大履职能力。</w:t>
            </w:r>
          </w:p>
          <w:p>
            <w:pPr>
              <w:spacing w:line="300" w:lineRule="exact"/>
              <w:jc w:val="left"/>
              <w:rPr>
                <w:rFonts w:ascii="方正书宋_GBK" w:eastAsia="方正书宋_GBK"/>
              </w:rPr>
            </w:pPr>
            <w:r>
              <w:rPr>
                <w:rFonts w:ascii="方正书宋_GBK" w:eastAsia="方正书宋_GBK"/>
              </w:rPr>
              <w:t>2、保障乡镇人大工作及时开展。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非常及时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人大选举、人大会议等集中活动完成情况。（实际完成工作/计划完成工作）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人大代表及相关人员的满意度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人大代表，人民群众对人大工作的满意率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15、团委综合事务管理经费绩效目标表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67664"/>
      <w:r>
        <w:rPr>
          <w:rFonts w:ascii="方正仿宋_GBK" w:eastAsia="方正仿宋_GBK"/>
          <w:b/>
          <w:sz w:val="28"/>
        </w:rPr>
        <w:instrText xml:space="preserve">15、团委综合事务管理经费绩效目标表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904-1701-JBN-SVRM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用于团委开展工作的日常开支。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1、加强乡镇团委工作力量。</w:t>
            </w:r>
          </w:p>
          <w:p>
            <w:pPr>
              <w:spacing w:line="300" w:lineRule="exact"/>
              <w:jc w:val="left"/>
              <w:rPr>
                <w:rFonts w:ascii="方正书宋_GBK" w:eastAsia="方正书宋_GBK"/>
              </w:rPr>
            </w:pPr>
            <w:r>
              <w:rPr>
                <w:rFonts w:ascii="方正书宋_GBK" w:eastAsia="方正书宋_GBK"/>
              </w:rPr>
              <w:t>2、保障共青团工作顺利开展。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政治任务实现率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实际完成的政治任务占计划实现的政治任务的比例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16、退役军人公益性岗位人员工资绩效目标表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1367665"/>
      <w:r>
        <w:rPr>
          <w:rFonts w:ascii="方正仿宋_GBK" w:eastAsia="方正仿宋_GBK"/>
          <w:b/>
          <w:sz w:val="28"/>
        </w:rPr>
        <w:instrText xml:space="preserve">16、退役军人公益性岗位人员工资绩效目标表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904-1701-JBN-LACU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22.18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22.18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1、及时足额落实资金，保障再就业退役军人福利。</w:t>
            </w:r>
          </w:p>
          <w:p>
            <w:pPr>
              <w:spacing w:line="300" w:lineRule="exact"/>
              <w:jc w:val="left"/>
              <w:rPr>
                <w:rFonts w:ascii="方正书宋_GBK" w:eastAsia="方正书宋_GBK"/>
              </w:rPr>
            </w:pPr>
            <w:r>
              <w:rPr>
                <w:rFonts w:ascii="方正书宋_GBK" w:eastAsia="方正书宋_GBK"/>
              </w:rPr>
              <w:t>2、维护社会稳定。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实际发放的工资额占计划发放金额的比率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工资发放覆盖率(%)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已发放人数占应发放人数的比率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17、维稳经费绩效目标表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1367666"/>
      <w:r>
        <w:rPr>
          <w:rFonts w:ascii="方正仿宋_GBK" w:eastAsia="方正仿宋_GBK"/>
          <w:b/>
          <w:sz w:val="28"/>
        </w:rPr>
        <w:instrText xml:space="preserve">17、维稳经费绩效目标表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904-0601-JBN-T6MX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用于支付维稳差旅费等相关支出。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1、预防减少不稳定因素的发生。</w:t>
            </w:r>
          </w:p>
          <w:p>
            <w:pPr>
              <w:spacing w:line="300" w:lineRule="exact"/>
              <w:jc w:val="left"/>
              <w:rPr>
                <w:rFonts w:ascii="方正书宋_GBK" w:eastAsia="方正书宋_GBK"/>
              </w:rPr>
            </w:pPr>
            <w:r>
              <w:rPr>
                <w:rFonts w:ascii="方正书宋_GBK" w:eastAsia="方正书宋_GBK"/>
              </w:rPr>
              <w:t>2、有效化解不稳定隐患、群体性事件和突发事件，维护社会稳定。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重大安保任务完成率(%)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完成的安保任务占任务总数的比率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公众安全感指数(%)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对治安管理满意的人数査调查总人数的比率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18、选任专职人民调解员经费绩效目标表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1367667"/>
      <w:r>
        <w:rPr>
          <w:rFonts w:ascii="方正仿宋_GBK" w:eastAsia="方正仿宋_GBK"/>
          <w:b/>
          <w:sz w:val="28"/>
        </w:rPr>
        <w:instrText xml:space="preserve">18、选任专职人民调解员经费绩效目标表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904-0601-JBN-V966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接受人民调解服务的重点人群对专职调解员提供服务的满意程度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19、镇政府维修改造工程绩效目标表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31367668"/>
      <w:r>
        <w:rPr>
          <w:rFonts w:ascii="方正仿宋_GBK" w:eastAsia="方正仿宋_GBK"/>
          <w:b/>
          <w:sz w:val="28"/>
        </w:rPr>
        <w:instrText xml:space="preserve">19、镇政府维修改造工程绩效目标表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904-1701-JBN-8GRV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镇政府维修改造工程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用于镇政府日常维修维护支出。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1、搞好服务保障。</w:t>
            </w:r>
          </w:p>
          <w:p>
            <w:pPr>
              <w:spacing w:line="300" w:lineRule="exact"/>
              <w:jc w:val="left"/>
              <w:rPr>
                <w:rFonts w:ascii="方正书宋_GBK" w:eastAsia="方正书宋_GBK"/>
              </w:rPr>
            </w:pPr>
            <w:r>
              <w:rPr>
                <w:rFonts w:ascii="方正书宋_GBK" w:eastAsia="方正书宋_GBK"/>
              </w:rPr>
              <w:t>2、为广大干部职工提供安全、快捷、细致、周到的工作环境。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工程量完成率（%）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实际完成工程量占计划完成工程量的比率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20、政府机关运转经费绩效目标表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31367669"/>
      <w:r>
        <w:rPr>
          <w:rFonts w:ascii="方正仿宋_GBK" w:eastAsia="方正仿宋_GBK"/>
          <w:b/>
          <w:sz w:val="28"/>
        </w:rPr>
        <w:instrText xml:space="preserve">20、政府机关运转经费绩效目标表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904-1701-JBN-1YQ9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54.83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54.83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用于政府机关日常运转支出。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1、搞好服务保障。</w:t>
            </w:r>
          </w:p>
          <w:p>
            <w:pPr>
              <w:spacing w:line="300" w:lineRule="exact"/>
              <w:jc w:val="left"/>
              <w:rPr>
                <w:rFonts w:ascii="方正书宋_GBK" w:eastAsia="方正书宋_GBK"/>
              </w:rPr>
            </w:pPr>
            <w:r>
              <w:rPr>
                <w:rFonts w:ascii="方正书宋_GBK" w:eastAsia="方正书宋_GBK"/>
              </w:rPr>
              <w:t>2、为广大干部职工提供安全、快捷、细致、周到的工作环境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业务处理及时性(％)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及时处理业务数占总处理数的比率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21、中央补助地方美术馆、公共图书馆、文化馆（站）免费开放专项资金绩效目标表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 w:name="_Toc31367670"/>
      <w:r>
        <w:rPr>
          <w:rFonts w:ascii="方正仿宋_GBK" w:eastAsia="方正仿宋_GBK"/>
          <w:b/>
          <w:sz w:val="28"/>
        </w:rPr>
        <w:instrText xml:space="preserve">21、中央补助地方美术馆、公共图书馆、文化馆（站）免费开放专项资金绩效目标表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904-1401-JBN-TIIW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用于乡镇美术馆、公共图书馆、文化馆（站）专项资金支出。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保障日常运转经费完成率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保障日常运转经费完成情况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保财教[2019]78号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组织公益性活动完成率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举办公益性讲座和展览宣传完成情况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保财教[2019]78号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公共文化场馆（站）免费率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按规定实行免费开放公共文化场馆的覆盖情况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保财教[2019]78号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22、中央补助地方农村文化建设区级配套资金绩效目标表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 w:name="_Toc31367671"/>
      <w:r>
        <w:rPr>
          <w:rFonts w:ascii="方正仿宋_GBK" w:eastAsia="方正仿宋_GBK"/>
          <w:b/>
          <w:sz w:val="28"/>
        </w:rPr>
        <w:instrText xml:space="preserve">22、中央补助地方农村文化建设区级配套资金绩效目标表</w:instrText>
      </w:r>
      <w:bookmarkEnd w:id="21"/>
      <w:r>
        <w:rPr>
          <w:rFonts w:ascii="方正仿宋_GBK" w:eastAsia="方正仿宋_GBK"/>
          <w:b/>
          <w:sz w:val="28"/>
        </w:rPr>
        <w:instrText xml:space="preserve"> \f C \l 1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904002遂城镇（行政）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904-1401-JBN-61CX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4.09</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仓储设施设备及环境完好率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设施设备软硬件运行使用的良好的数量占总数量的百分比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受益群众满意率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农村受益群众满意程度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w:t>
      </w:r>
      <w:r>
        <w:rPr>
          <w:rFonts w:hint="eastAsia" w:ascii="仿宋" w:hAnsi="仿宋" w:eastAsia="仿宋"/>
          <w:sz w:val="32"/>
          <w:szCs w:val="32"/>
        </w:rPr>
        <w:t>2.78</w:t>
      </w:r>
      <w:r>
        <w:rPr>
          <w:rFonts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22" w:name="_Toc31289626"/>
      <w:r>
        <w:rPr>
          <w:rFonts w:ascii="方正小标宋_GBK" w:eastAsia="方正小标宋_GBK"/>
          <w:sz w:val="32"/>
        </w:rPr>
        <w:instrText xml:space="preserve">部门政府采购预算</w:instrText>
      </w:r>
      <w:bookmarkEnd w:id="22"/>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904保定市徐水区遂城镇人民政府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遂城镇（行政）小计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2.78</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2.78</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54.83</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54.83</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54.83</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钢木床类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A060101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54.83</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钢木床类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A060101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上年末我部门固定资产总金额为238.25万元（详见下表）。</w:t>
      </w:r>
      <w:r>
        <w:rPr>
          <w:rFonts w:ascii="仿宋" w:hAnsi="仿宋" w:eastAsia="仿宋"/>
          <w:sz w:val="32"/>
          <w:szCs w:val="32"/>
        </w:rPr>
        <w:t xml:space="preserve"> 本年度拟购置固定资产总额为</w:t>
      </w:r>
      <w:r>
        <w:rPr>
          <w:rFonts w:hint="eastAsia" w:ascii="仿宋" w:hAnsi="仿宋" w:eastAsia="仿宋"/>
          <w:sz w:val="32"/>
          <w:szCs w:val="32"/>
        </w:rPr>
        <w:t>2.78</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238.25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117.75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2688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36.5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GRkNGUyM2Q3ODAyMjk3YzczMGFkNzcyMzU1MzMifQ=="/>
  </w:docVars>
  <w:rsids>
    <w:rsidRoot w:val="00055F1F"/>
    <w:rsid w:val="00013B8A"/>
    <w:rsid w:val="00043100"/>
    <w:rsid w:val="00044FBC"/>
    <w:rsid w:val="00055F1F"/>
    <w:rsid w:val="000577EF"/>
    <w:rsid w:val="00057F18"/>
    <w:rsid w:val="000A445D"/>
    <w:rsid w:val="000C178B"/>
    <w:rsid w:val="00131DEC"/>
    <w:rsid w:val="00136AB3"/>
    <w:rsid w:val="001462BD"/>
    <w:rsid w:val="00152380"/>
    <w:rsid w:val="001638BE"/>
    <w:rsid w:val="00172C7A"/>
    <w:rsid w:val="00181777"/>
    <w:rsid w:val="001A093A"/>
    <w:rsid w:val="001B4688"/>
    <w:rsid w:val="001B6235"/>
    <w:rsid w:val="001E2FEE"/>
    <w:rsid w:val="001F4875"/>
    <w:rsid w:val="00212335"/>
    <w:rsid w:val="00284112"/>
    <w:rsid w:val="002918C6"/>
    <w:rsid w:val="00296524"/>
    <w:rsid w:val="002E01F6"/>
    <w:rsid w:val="002F1ACB"/>
    <w:rsid w:val="002F530F"/>
    <w:rsid w:val="00305E97"/>
    <w:rsid w:val="00310532"/>
    <w:rsid w:val="0032782B"/>
    <w:rsid w:val="00331B73"/>
    <w:rsid w:val="00340B3D"/>
    <w:rsid w:val="0034253A"/>
    <w:rsid w:val="00367A30"/>
    <w:rsid w:val="003A06D2"/>
    <w:rsid w:val="003A6366"/>
    <w:rsid w:val="003C2317"/>
    <w:rsid w:val="003C442E"/>
    <w:rsid w:val="003D1092"/>
    <w:rsid w:val="003D37CD"/>
    <w:rsid w:val="003E5531"/>
    <w:rsid w:val="003E6AF3"/>
    <w:rsid w:val="0040243C"/>
    <w:rsid w:val="00406BD1"/>
    <w:rsid w:val="00407FAA"/>
    <w:rsid w:val="00426C19"/>
    <w:rsid w:val="00450FD9"/>
    <w:rsid w:val="00453CE0"/>
    <w:rsid w:val="00455EF3"/>
    <w:rsid w:val="00470736"/>
    <w:rsid w:val="00470BBB"/>
    <w:rsid w:val="0048611E"/>
    <w:rsid w:val="004B6929"/>
    <w:rsid w:val="004E2F43"/>
    <w:rsid w:val="004E3572"/>
    <w:rsid w:val="004F3C52"/>
    <w:rsid w:val="00510A1E"/>
    <w:rsid w:val="005158E2"/>
    <w:rsid w:val="00524204"/>
    <w:rsid w:val="00550049"/>
    <w:rsid w:val="00570142"/>
    <w:rsid w:val="00586C35"/>
    <w:rsid w:val="005B1B6F"/>
    <w:rsid w:val="005B6CCB"/>
    <w:rsid w:val="005C54AA"/>
    <w:rsid w:val="005C7B89"/>
    <w:rsid w:val="005E69FD"/>
    <w:rsid w:val="0062788A"/>
    <w:rsid w:val="00641F8A"/>
    <w:rsid w:val="0066383B"/>
    <w:rsid w:val="006B5117"/>
    <w:rsid w:val="006B7306"/>
    <w:rsid w:val="006C62DF"/>
    <w:rsid w:val="006F5104"/>
    <w:rsid w:val="006F6549"/>
    <w:rsid w:val="00735B02"/>
    <w:rsid w:val="007657C8"/>
    <w:rsid w:val="00767A77"/>
    <w:rsid w:val="00771E49"/>
    <w:rsid w:val="00782208"/>
    <w:rsid w:val="00791938"/>
    <w:rsid w:val="007C7FD7"/>
    <w:rsid w:val="007F3746"/>
    <w:rsid w:val="00814493"/>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A16957"/>
    <w:rsid w:val="00A6155C"/>
    <w:rsid w:val="00A8079E"/>
    <w:rsid w:val="00A90328"/>
    <w:rsid w:val="00A92D66"/>
    <w:rsid w:val="00AA4262"/>
    <w:rsid w:val="00AB1B14"/>
    <w:rsid w:val="00AB5A90"/>
    <w:rsid w:val="00AB7449"/>
    <w:rsid w:val="00AC43E7"/>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CE2494"/>
    <w:rsid w:val="00D01A78"/>
    <w:rsid w:val="00D02F97"/>
    <w:rsid w:val="00D423E9"/>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C28DC"/>
    <w:rsid w:val="00F000B1"/>
    <w:rsid w:val="00F012D3"/>
    <w:rsid w:val="00F044C3"/>
    <w:rsid w:val="00F10D04"/>
    <w:rsid w:val="00F169E3"/>
    <w:rsid w:val="00F35D4B"/>
    <w:rsid w:val="00F3746B"/>
    <w:rsid w:val="00F572CB"/>
    <w:rsid w:val="00F621AF"/>
    <w:rsid w:val="00F8024E"/>
    <w:rsid w:val="00F82447"/>
    <w:rsid w:val="00F868E5"/>
    <w:rsid w:val="00FA60E0"/>
    <w:rsid w:val="00FB2F32"/>
    <w:rsid w:val="00FE0F1F"/>
    <w:rsid w:val="00FF61F3"/>
    <w:rsid w:val="25602E37"/>
    <w:rsid w:val="4E772B4F"/>
    <w:rsid w:val="533217FA"/>
    <w:rsid w:val="5E6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rPr>
      <w:rFonts w:ascii="等线" w:hAnsi="等线" w:eastAsia="等线" w:cs="Times New Roman"/>
    </w:rPr>
  </w:style>
  <w:style w:type="character" w:styleId="8">
    <w:name w:val="page number"/>
    <w:semiHidden/>
    <w:unhideWhenUsed/>
    <w:qFormat/>
    <w:uiPriority w:val="99"/>
  </w:style>
  <w:style w:type="character" w:styleId="9">
    <w:name w:val="Hyperlink"/>
    <w:unhideWhenUsed/>
    <w:qFormat/>
    <w:uiPriority w:val="99"/>
    <w:rPr>
      <w:color w:val="0563C1"/>
      <w:u w:val="single"/>
    </w:rPr>
  </w:style>
  <w:style w:type="character" w:customStyle="1" w:styleId="10">
    <w:name w:val="页眉 字符1"/>
    <w:basedOn w:val="7"/>
    <w:link w:val="4"/>
    <w:qFormat/>
    <w:uiPriority w:val="99"/>
    <w:rPr>
      <w:sz w:val="18"/>
      <w:szCs w:val="18"/>
    </w:rPr>
  </w:style>
  <w:style w:type="character" w:customStyle="1" w:styleId="11">
    <w:name w:val="页脚 字符1"/>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character" w:customStyle="1" w:styleId="13">
    <w:name w:val="页眉 字符"/>
    <w:qFormat/>
    <w:uiPriority w:val="99"/>
    <w:rPr>
      <w:kern w:val="2"/>
      <w:sz w:val="18"/>
      <w:szCs w:val="18"/>
    </w:rPr>
  </w:style>
  <w:style w:type="character" w:customStyle="1" w:styleId="14">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2B69-3FD6-4A5A-B90B-F5A5A1913E30}">
  <ds:schemaRefs/>
</ds:datastoreItem>
</file>

<file path=docProps/app.xml><?xml version="1.0" encoding="utf-8"?>
<Properties xmlns="http://schemas.openxmlformats.org/officeDocument/2006/extended-properties" xmlns:vt="http://schemas.openxmlformats.org/officeDocument/2006/docPropsVTypes">
  <Template>Normal</Template>
  <Pages>34</Pages>
  <Words>11318</Words>
  <Characters>12863</Characters>
  <Lines>110</Lines>
  <Paragraphs>31</Paragraphs>
  <TotalTime>19</TotalTime>
  <ScaleCrop>false</ScaleCrop>
  <LinksUpToDate>false</LinksUpToDate>
  <CharactersWithSpaces>12956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2020-02-11T03:07:00Z</dcterms:created>
  <dc:creator>Windows 用户</dc:creator>
  <cp:lastModifiedBy>雪儿~影</cp:lastModifiedBy>
  <cp:lastPrinted>2019-02-19T07:03:00Z</cp:lastPrinted>
  <dcterms:modified xsi:type="dcterms:W3CDTF">2024-06-04T07:50:49Z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F31CF418B7134C1A94DEE35D8690E667_13</vt:lpwstr>
  </property>
</Properties>
</file>