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lang w:val="en-US" w:eastAsia="zh-CN"/>
        </w:rPr>
        <w:t>河北</w:t>
      </w:r>
      <w:r>
        <w:rPr>
          <w:rFonts w:hint="eastAsia" w:ascii="宋体" w:hAnsi="宋体" w:eastAsia="宋体"/>
          <w:b/>
          <w:sz w:val="44"/>
          <w:szCs w:val="44"/>
        </w:rPr>
        <w:t>徐水经济开发区管理委员会</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bookmarkStart w:id="18" w:name="_GoBack"/>
      <w:bookmarkEnd w:id="18"/>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根据《河北徐水经济开发区管理委员会职能配置、内设机构和人员编制规定》，河北徐水经济开发区管理委员会的主要职责是：</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根据保定市徐水区机构编制委员会文件《关于印发中共河北徐水经济开发区工作委员会河北徐水经济开发区管理委员会主要职责内设机构和人员控制数规定的通知》（徐机编</w:t>
      </w:r>
      <w:r>
        <w:rPr>
          <w:rFonts w:ascii="仿宋" w:hAnsi="仿宋" w:eastAsia="仿宋"/>
          <w:sz w:val="32"/>
          <w:szCs w:val="32"/>
        </w:rPr>
        <w:t>[2017]1号），现将我部门概况说明如下：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中共河北徐水经济开发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徐水区委交办的其他任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河北徐水经济开发区管理委员会主要职责是：负责辖区的总体规划和经济、社会发展规划，经批准后组织实施；负责辖区区域性发展规划、国土利用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作；负责辖区内环境保护和安全生产监督管理工作；负责辖区内食品药品安全监督管理工作；负责辖区人力资源和社会保障工作；负责协调辖区内上级有关部门派驻机构工作；负责徐水区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河北徐水经济开发区管理委员会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副处级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公用事业服务中心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500" w:lineRule="exact"/>
        <w:ind w:firstLine="640" w:firstLineChars="200"/>
        <w:rPr>
          <w:rFonts w:ascii="仿宋" w:hAnsi="仿宋" w:eastAsia="仿宋"/>
          <w:sz w:val="32"/>
          <w:szCs w:val="32"/>
        </w:rPr>
      </w:pPr>
      <w:r>
        <w:rPr>
          <w:rFonts w:ascii="仿宋" w:hAnsi="仿宋" w:eastAsia="仿宋"/>
          <w:sz w:val="32"/>
          <w:szCs w:val="32"/>
        </w:rPr>
        <w:t>2022年预算收入为26079.34万元,其中：一般公共预算收入1378.13万元，基金预算收入24701.17万元，财政专户收入</w:t>
      </w:r>
      <w:r>
        <w:rPr>
          <w:rFonts w:hint="eastAsia" w:ascii="仿宋" w:hAnsi="仿宋" w:eastAsia="仿宋"/>
          <w:sz w:val="32"/>
          <w:szCs w:val="32"/>
        </w:rPr>
        <w:t>0</w:t>
      </w:r>
      <w:r>
        <w:rPr>
          <w:rFonts w:ascii="仿宋" w:hAnsi="仿宋" w:eastAsia="仿宋"/>
          <w:sz w:val="32"/>
          <w:szCs w:val="32"/>
        </w:rPr>
        <w:t>万元，其他来源收</w:t>
      </w:r>
      <w:r>
        <w:rPr>
          <w:rFonts w:hint="eastAsia" w:ascii="仿宋" w:hAnsi="仿宋" w:eastAsia="仿宋"/>
          <w:sz w:val="32"/>
          <w:szCs w:val="32"/>
        </w:rPr>
        <w:t>入</w:t>
      </w:r>
      <w:r>
        <w:rPr>
          <w:rFonts w:ascii="仿宋" w:hAnsi="仿宋" w:eastAsia="仿宋"/>
          <w:sz w:val="32"/>
          <w:szCs w:val="32"/>
        </w:rPr>
        <w:t>0.04万元。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500" w:lineRule="exact"/>
        <w:ind w:firstLine="640" w:firstLineChars="200"/>
        <w:rPr>
          <w:rFonts w:ascii="仿宋" w:hAnsi="仿宋" w:eastAsia="仿宋"/>
          <w:sz w:val="32"/>
          <w:szCs w:val="32"/>
        </w:rPr>
      </w:pPr>
      <w:r>
        <w:rPr>
          <w:rFonts w:ascii="仿宋" w:hAnsi="仿宋" w:eastAsia="仿宋"/>
          <w:sz w:val="32"/>
          <w:szCs w:val="32"/>
        </w:rPr>
        <w:t>2022年部门支出预算：26079.34万元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870.17</w:t>
      </w:r>
      <w:r>
        <w:rPr>
          <w:rFonts w:hint="eastAsia" w:ascii="仿宋" w:hAnsi="仿宋" w:eastAsia="仿宋"/>
          <w:sz w:val="32"/>
          <w:szCs w:val="32"/>
        </w:rPr>
        <w:t>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其中：人员经费756.25万元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日常公用经费113.92万元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25209.17万元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其中：本级支出25209.17万元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26079.34</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rPr>
        <w:t>3476.81</w:t>
      </w:r>
      <w:r>
        <w:rPr>
          <w:rFonts w:ascii="仿宋" w:hAnsi="仿宋" w:eastAsia="仿宋"/>
          <w:sz w:val="32"/>
          <w:szCs w:val="32"/>
        </w:rPr>
        <w:t>万元。其中:基本支出增加</w:t>
      </w:r>
      <w:r>
        <w:rPr>
          <w:rFonts w:hint="eastAsia" w:ascii="仿宋" w:hAnsi="仿宋" w:eastAsia="仿宋"/>
          <w:sz w:val="32"/>
          <w:szCs w:val="32"/>
        </w:rPr>
        <w:t>519.11</w:t>
      </w:r>
      <w:r>
        <w:rPr>
          <w:rFonts w:ascii="仿宋" w:hAnsi="仿宋" w:eastAsia="仿宋"/>
          <w:sz w:val="32"/>
          <w:szCs w:val="32"/>
        </w:rPr>
        <w:t>万元，主要原因是</w:t>
      </w:r>
      <w:r>
        <w:rPr>
          <w:rFonts w:hint="eastAsia" w:ascii="仿宋" w:hAnsi="仿宋" w:eastAsia="仿宋"/>
          <w:sz w:val="32"/>
          <w:szCs w:val="32"/>
        </w:rPr>
        <w:t>本年度人员调入增加</w:t>
      </w:r>
      <w:r>
        <w:rPr>
          <w:rFonts w:ascii="仿宋" w:hAnsi="仿宋" w:eastAsia="仿宋"/>
          <w:sz w:val="32"/>
          <w:szCs w:val="32"/>
        </w:rPr>
        <w:t>；项目支出减少</w:t>
      </w:r>
      <w:r>
        <w:rPr>
          <w:rFonts w:hint="eastAsia" w:ascii="仿宋" w:hAnsi="仿宋" w:eastAsia="仿宋"/>
          <w:sz w:val="32"/>
          <w:szCs w:val="32"/>
        </w:rPr>
        <w:t>3995.92</w:t>
      </w:r>
      <w:r>
        <w:rPr>
          <w:rFonts w:ascii="仿宋" w:hAnsi="仿宋" w:eastAsia="仿宋"/>
          <w:sz w:val="32"/>
          <w:szCs w:val="32"/>
        </w:rPr>
        <w:t>万元，主要原因是</w:t>
      </w:r>
      <w:r>
        <w:rPr>
          <w:rFonts w:hint="eastAsia" w:ascii="仿宋" w:hAnsi="仿宋" w:eastAsia="仿宋"/>
          <w:sz w:val="32"/>
          <w:szCs w:val="32"/>
        </w:rPr>
        <w:t>本年度预算项目减少，上解</w:t>
      </w:r>
      <w:r>
        <w:rPr>
          <w:rFonts w:ascii="仿宋" w:hAnsi="仿宋" w:eastAsia="仿宋"/>
          <w:sz w:val="32"/>
          <w:szCs w:val="32"/>
        </w:rPr>
        <w:t>棚改贷款回购资金</w:t>
      </w:r>
      <w:r>
        <w:rPr>
          <w:rFonts w:hint="eastAsia" w:ascii="仿宋" w:hAnsi="仿宋" w:eastAsia="仿宋"/>
          <w:sz w:val="32"/>
          <w:szCs w:val="32"/>
        </w:rPr>
        <w:t>比上年减少445.72万元，偿还政府隐性债务比去年减少3812.69万元</w:t>
      </w:r>
      <w:r>
        <w:rPr>
          <w:rFonts w:ascii="仿宋" w:hAnsi="仿宋" w:eastAsia="仿宋"/>
          <w:sz w:val="32"/>
          <w:szCs w:val="32"/>
        </w:rPr>
        <w:t>。</w:t>
      </w:r>
    </w:p>
    <w:p>
      <w:pPr>
        <w:spacing w:line="500" w:lineRule="exact"/>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500" w:lineRule="exact"/>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113.92</w:t>
      </w:r>
      <w:r>
        <w:rPr>
          <w:rFonts w:ascii="仿宋" w:hAnsi="仿宋" w:eastAsia="仿宋"/>
          <w:sz w:val="32"/>
          <w:szCs w:val="32"/>
        </w:rPr>
        <w:t>万元，其中办公费</w:t>
      </w:r>
      <w:r>
        <w:rPr>
          <w:rFonts w:hint="eastAsia" w:ascii="仿宋" w:hAnsi="仿宋" w:eastAsia="仿宋"/>
          <w:sz w:val="32"/>
          <w:szCs w:val="32"/>
        </w:rPr>
        <w:t>63.97</w:t>
      </w:r>
      <w:r>
        <w:rPr>
          <w:rFonts w:ascii="仿宋" w:hAnsi="仿宋" w:eastAsia="仿宋"/>
          <w:sz w:val="32"/>
          <w:szCs w:val="32"/>
        </w:rPr>
        <w:t>万元，邮电费</w:t>
      </w:r>
      <w:r>
        <w:rPr>
          <w:rFonts w:hint="eastAsia" w:ascii="仿宋" w:hAnsi="仿宋" w:eastAsia="仿宋"/>
          <w:sz w:val="32"/>
          <w:szCs w:val="32"/>
        </w:rPr>
        <w:t>13.82</w:t>
      </w:r>
      <w:r>
        <w:rPr>
          <w:rFonts w:ascii="仿宋" w:hAnsi="仿宋" w:eastAsia="仿宋"/>
          <w:sz w:val="32"/>
          <w:szCs w:val="32"/>
        </w:rPr>
        <w:t>万元，</w:t>
      </w:r>
      <w:r>
        <w:rPr>
          <w:rFonts w:hint="eastAsia" w:ascii="仿宋" w:hAnsi="仿宋" w:eastAsia="仿宋"/>
          <w:sz w:val="32"/>
          <w:szCs w:val="32"/>
        </w:rPr>
        <w:t>会议费、培训费1.36万元，公务接待费3.78万元，</w:t>
      </w:r>
      <w:r>
        <w:rPr>
          <w:rFonts w:ascii="仿宋" w:hAnsi="仿宋" w:eastAsia="仿宋"/>
          <w:sz w:val="32"/>
          <w:szCs w:val="32"/>
        </w:rPr>
        <w:t>工会经费、福利费</w:t>
      </w:r>
      <w:r>
        <w:rPr>
          <w:rFonts w:hint="eastAsia" w:ascii="仿宋" w:hAnsi="仿宋" w:eastAsia="仿宋"/>
          <w:sz w:val="32"/>
          <w:szCs w:val="32"/>
        </w:rPr>
        <w:t>10.71</w:t>
      </w:r>
      <w:r>
        <w:rPr>
          <w:rFonts w:ascii="仿宋" w:hAnsi="仿宋" w:eastAsia="仿宋"/>
          <w:sz w:val="32"/>
          <w:szCs w:val="32"/>
        </w:rPr>
        <w:t>万元，公务用车运行维护费</w:t>
      </w:r>
      <w:r>
        <w:rPr>
          <w:rFonts w:hint="eastAsia" w:ascii="仿宋" w:hAnsi="仿宋" w:eastAsia="仿宋"/>
          <w:sz w:val="32"/>
          <w:szCs w:val="32"/>
        </w:rPr>
        <w:t>4.86</w:t>
      </w:r>
      <w:r>
        <w:rPr>
          <w:rFonts w:ascii="仿宋" w:hAnsi="仿宋" w:eastAsia="仿宋"/>
          <w:sz w:val="32"/>
          <w:szCs w:val="32"/>
        </w:rPr>
        <w:t>万元</w:t>
      </w:r>
      <w:r>
        <w:rPr>
          <w:rFonts w:hint="eastAsia" w:ascii="仿宋" w:hAnsi="仿宋" w:eastAsia="仿宋"/>
          <w:sz w:val="32"/>
          <w:szCs w:val="32"/>
        </w:rPr>
        <w:t>，其他交通费用15.42万元。</w:t>
      </w:r>
    </w:p>
    <w:p>
      <w:pPr>
        <w:jc w:val="center"/>
        <w:outlineLvl w:val="0"/>
        <w:rPr>
          <w:rFonts w:hint="default" w:ascii="方正小标宋_GBK" w:eastAsia="方正小标宋_GBK"/>
          <w:sz w:val="44"/>
          <w:lang w:val="en-US" w:eastAsia="zh-CN"/>
        </w:rPr>
      </w:pPr>
      <w:r>
        <w:rPr>
          <w:rFonts w:hint="eastAsia" w:ascii="方正小标宋_GBK" w:eastAsia="方正小标宋_GBK"/>
          <w:sz w:val="44"/>
        </w:rPr>
        <w:t>第四部分：财政拨款“三公”经费预算情况及增减变化原因</w:t>
      </w:r>
      <w:r>
        <w:rPr>
          <w:rFonts w:hint="eastAsia" w:ascii="方正小标宋_GBK" w:eastAsia="方正小标宋_GBK"/>
          <w:sz w:val="44"/>
          <w:lang w:val="en-US" w:eastAsia="zh-CN"/>
        </w:rPr>
        <w:t>详见下表</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61.8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4.86</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-56.94</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特警、综合执法车辆不再列入公车运维费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3.78</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-4.22</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按上级政策，公务接待预算标准降低，落实过紧日子要求</w:t>
                  </w:r>
                </w:p>
              </w:tc>
            </w:tr>
            <w:tr>
              <w:tblPrEx>
                <w:tblCellMar>
                  <w:top w:w="0" w:type="dxa"/>
                  <w:left w:w="108" w:type="dxa"/>
                  <w:bottom w:w="0" w:type="dxa"/>
                  <w:right w:w="108" w:type="dxa"/>
                </w:tblCellMar>
              </w:tblPrEx>
              <w:trPr>
                <w:trHeight w:val="669"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69.8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8.64</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-61.16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主要原因是口径变化，特警和执法车辆本年度不再列入公车运维费；另外积极响应上级政策落实过紧日子要求。</w:t>
                  </w: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立足“思想高站位、规划高起点、建设高标准、发展可持续”的原则，结合徐水经济开发区现状和发展要求，依托徐水独有的区位、交通等优势，主动承接京、津工业区的辐射，大力引进多元化投资，围绕汽车及零部件产业、新型储能设备产业、机电设备制造产业、新材料、新能源及高端制造业产业和现代都市产业五大产业，做大做强开发区产业集群，实现产业与城市相融合、共发展，把开发区建成“环境优美、功能完善、生活富足、安居乐业”的现代化新社区。</w:t>
      </w:r>
    </w:p>
    <w:p>
      <w:pPr>
        <w:spacing w:line="500" w:lineRule="exact"/>
        <w:ind w:firstLine="640" w:firstLineChars="200"/>
        <w:rPr>
          <w:rFonts w:ascii="仿宋" w:hAnsi="仿宋" w:eastAsia="仿宋"/>
          <w:sz w:val="32"/>
          <w:szCs w:val="32"/>
        </w:rPr>
      </w:pPr>
      <w:r>
        <w:rPr>
          <w:rFonts w:ascii="仿宋" w:hAnsi="仿宋" w:eastAsia="仿宋"/>
          <w:sz w:val="32"/>
          <w:szCs w:val="32"/>
        </w:rPr>
        <w:t>2022年河北徐水经济开发区管委会将进一步围绕园区中心工作和区政府重要部署，进行园区项目建设和经济发展工作。进一步创新管理体制，壮大主导产业，提升服务功能，争创全国知名品牌示范区、新型工业化和战略新兴产业示范基地，努力将开发区建设成为国际合作之城、开放繁荣之城和低碳宜居之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（一）维护园区治安和谐稳定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绩效目标：严厉打击各类违法犯罪，及时处置各类突发事件，巡逻防控交通管理，给开发区创造一个安全稳定的环境。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绩效指标：控制案发，增强出勤率，每日不间断巡逻防控，确保园区所有范围的治安整治与交通整治平稳运行。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（二）服务群众生活，促进社区发展</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绩效目标：着力加强园区失地农民社区居委会组织建设、队伍建设、制度建设、设施建设等，提高失地居民丧葬文明素质和社会文明程度，维护失地农民的根本利益，保障失地农民的基本生活，解除后顾之忧。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绩效指标：失地居民对釜阳花园小区的建设感到满意；文明祭祀得到宣传，土地利用更加规范整洁；确保符合政策的</w:t>
      </w:r>
      <w:r>
        <w:rPr>
          <w:rFonts w:ascii="仿宋" w:hAnsi="仿宋" w:eastAsia="仿宋"/>
          <w:sz w:val="32"/>
          <w:szCs w:val="32"/>
        </w:rPr>
        <w:t>60岁以上的失地农民养老补助和完全失地农民口粮补贴100%发放到位。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（三）提高政府公信力及形象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绩效目标：通过及时上解</w:t>
      </w:r>
      <w:r>
        <w:rPr>
          <w:rFonts w:ascii="仿宋" w:hAnsi="仿宋" w:eastAsia="仿宋"/>
          <w:sz w:val="32"/>
          <w:szCs w:val="32"/>
        </w:rPr>
        <w:t>2022年园区棚改贷回购资本金和政府隐形债务的化解，提高政府信誉，树立政府的权威与良好形象，推进城市建设步伐，改善居民居住生活条件，破解城市建设资金不足的瓶颈。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绩效指标：按照相关协议政策要求，确保</w:t>
      </w:r>
      <w:r>
        <w:rPr>
          <w:rFonts w:ascii="仿宋" w:hAnsi="仿宋" w:eastAsia="仿宋"/>
          <w:sz w:val="32"/>
          <w:szCs w:val="32"/>
        </w:rPr>
        <w:t>2022年棚改贷款回购资本金和政府隐性债务，按时足额偿还，提高政府公信力，加大资金使用效益最大化，促进地方经济增长情况。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（四）推进城乡建设，优化园区环境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绩效目标：通过路灯亮化和园区道路管网建设，打造园区整体形象，打造良好的投资环境，提高开发区品位，优化开发区建设环境。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绩效指标：园区路灯日常巡查维修及时率达到</w:t>
      </w:r>
      <w:r>
        <w:rPr>
          <w:rFonts w:ascii="仿宋" w:hAnsi="仿宋" w:eastAsia="仿宋"/>
          <w:sz w:val="32"/>
          <w:szCs w:val="32"/>
        </w:rPr>
        <w:t>90%以上，提升了园区的投资环境。道路管网建成后，既保证了货物运输的便利，又减小交通拥堵的几率；雨水、污水及时排走，供水及时达到，为园区企业提供一个良好的生产环境。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（五）加强纪检监察，强化队伍建设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绩效目标：确保徐水经济开发区纪检监察工作的顺利进行，提升开发区整体形象。</w:t>
      </w:r>
      <w:r>
        <w:rPr>
          <w:rFonts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绩效指标：按照上级纪检监察机关的要求，及时报告开发区管委会纪检监察工作情况，并有针对性地开展专项治理工作。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（六）防治环境污染，保持园区社会稳定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1.切实做好大气污染防治工作，加强生态环境保护，有效防治大气污染，切实保障空气环境质量。2.保持园区内社会稳定，积极协调处理各种矛盾信访隐患。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1.根据《中华人民共和国大气污染防治法》以及上级政府关于农作物秸秆以及垃圾禁烧工作的总体安排部署，按照“属地管理，源头控制”的原则，特别在夏收、秋收两季对园区内各地块划定区域，明确责任，对京昆高速、荣乌高速、园区内道路两侧等重点路段进行全天</w:t>
      </w:r>
      <w:r>
        <w:rPr>
          <w:rFonts w:hint="eastAsia" w:ascii="仿宋" w:hAnsi="仿宋" w:eastAsia="仿宋"/>
          <w:sz w:val="32"/>
          <w:szCs w:val="32"/>
          <w:lang w:val="en-US" w:eastAsia="zh-CN"/>
        </w:rPr>
        <w:t>候</w:t>
      </w:r>
      <w:r>
        <w:rPr>
          <w:rFonts w:ascii="仿宋" w:hAnsi="仿宋" w:eastAsia="仿宋"/>
          <w:sz w:val="32"/>
          <w:szCs w:val="32"/>
        </w:rPr>
        <w:t>看护，对道路两侧堆放的秸秆以及垃圾进行及时清运。2.对园区内临时发生的上访尤其是农民工欠薪等特殊案件进行及时处置，以维护全区稳定大局。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（七）改善卫生环境，提升园区生活质量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绩效目标：确保徐水经济开发区内环境卫生整洁，提升开发区整体形象。为入园企业营造良好的投资环境，给园区职工一个干净卫生的居住环境。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绩效指标：采用压缩式垃圾车密闭运输，将园区内垃圾做到日产日清，垃圾运到区政府指定的垃圾处理场，确保园区环境干净、整洁。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（八）综合治理园区容貌，规范环境秩序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绩效目标：以严厉打击摊点占道、黑出租、违法占地、施工外部环境等为突破点，强化违法经营综合整治力度。取缔店外经营、拆除违法违章建筑，规范建筑工地环境整治。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绩效指标：开发区综合执法中队通过日夜不断巡逻，加大对园区综合整治力度，对园区占道经营、非法广告、渣土运输车辆等等严厉打击，建章立制，规范园区环境秩序，改善园区面貌，提升园区形象。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（九）促进区域经济发展，创造经济效益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绩效目标：优化建设环境，健全工作机制，加大园区招商力度，集中要素资源，调动各方面积极性，全力推进项目落地建设。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全面贯彻落实科学发展观，坚持把项目建设作为推动又好又快发展的主要抓手，优化建设环境，设立招商中心，切实加强园区招商力度，争取更多新型战略展企业落户园区，为园区创造更多的经济效益。</w:t>
      </w:r>
    </w:p>
    <w:p>
      <w:pPr>
        <w:spacing w:beforeLines="50" w:afterLines="50" w:line="500" w:lineRule="exact"/>
        <w:ind w:firstLine="640" w:firstLineChars="200"/>
        <w:jc w:val="left"/>
        <w:outlineLvl w:val="1"/>
        <w:rPr>
          <w:rFonts w:ascii="仿宋" w:hAnsi="仿宋" w:eastAsia="仿宋"/>
          <w:sz w:val="32"/>
          <w:szCs w:val="32"/>
        </w:rPr>
      </w:pPr>
      <w:bookmarkStart w:id="0" w:name="_Toc67038680"/>
      <w:r>
        <w:rPr>
          <w:rFonts w:ascii="仿宋" w:hAnsi="仿宋" w:eastAsia="仿宋"/>
          <w:sz w:val="32"/>
          <w:szCs w:val="32"/>
        </w:rPr>
        <w:t>三、工作保障措施</w:t>
      </w:r>
      <w:bookmarkEnd w:id="0"/>
    </w:p>
    <w:p>
      <w:pPr>
        <w:spacing w:line="500" w:lineRule="exact"/>
        <w:ind w:firstLine="640" w:firstLineChars="200"/>
        <w:rPr>
          <w:rFonts w:ascii="仿宋" w:hAnsi="仿宋" w:eastAsia="仿宋"/>
          <w:sz w:val="32"/>
          <w:szCs w:val="32"/>
        </w:rPr>
      </w:pPr>
      <w:r>
        <w:rPr>
          <w:rFonts w:hint="eastAsia" w:ascii="仿宋" w:hAnsi="仿宋" w:eastAsia="仿宋"/>
          <w:sz w:val="32"/>
          <w:szCs w:val="32"/>
        </w:rPr>
        <w:t>1.完善制度建设。按照中央和我省有关意见精神，建立健全部门预算绩效管理体系，提高单位预算编制质量，科学设定整体绩效目标和分类目标，对预算绩效目标实现程度和执行进度双“监控”，年终对执行情况开展绩效评价，将评价结果纳入各部门和领导年度考核内容，通过建立全方位、全过程、全覆盖的预算绩效管理，努力实现预算和绩效管理一体化。通过制</w:t>
      </w:r>
      <w:r>
        <w:rPr>
          <w:rFonts w:hint="eastAsia" w:ascii="仿宋" w:hAnsi="仿宋" w:eastAsia="仿宋"/>
          <w:sz w:val="32"/>
          <w:szCs w:val="32"/>
          <w:lang w:val="en-US" w:eastAsia="zh-CN"/>
        </w:rPr>
        <w:t>订</w:t>
      </w:r>
      <w:r>
        <w:rPr>
          <w:rFonts w:hint="eastAsia" w:ascii="仿宋" w:hAnsi="仿宋" w:eastAsia="仿宋"/>
          <w:sz w:val="32"/>
          <w:szCs w:val="32"/>
        </w:rPr>
        <w:t>完善预算绩效管理制度、资金管理办法、工作保障制度等，为全年预算绩效目标的实现奠定制度基础。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加强支出管理。按照省财政厅预算管理相关规定和专项资金管理办法，一是编细编实部门年度经费预算。二是加大对预算经费支出进度的调控管理，对重点经费使用实行全程监控，按预算计划确定支出进度，确保6月底和10月底完成支出进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加强绩效运行监控。按要求对纳入绩效评价的专项项目资金，开展预算绩效运行监控工作，同时要加强项目经费支出管理，严格落实中央八项规定实施细则和我省实施办法，严格执行财经纪律和经费管理办法，以绩效为导向，合理安排专项资金，对评价中发现的问题及时整改，调整优化支出结构，确保完成项目设定的产出指标和绩效指标，提高财政资金使用效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4.做好绩效自评。一是加强绩效评价工作的组织领导。二是健全绩效管理各项制度。三是科学制</w:t>
      </w:r>
      <w:r>
        <w:rPr>
          <w:rFonts w:hint="eastAsia" w:ascii="仿宋" w:hAnsi="仿宋" w:eastAsia="仿宋"/>
          <w:sz w:val="32"/>
          <w:szCs w:val="32"/>
          <w:lang w:val="en-US" w:eastAsia="zh-CN"/>
        </w:rPr>
        <w:t>订</w:t>
      </w:r>
      <w:r>
        <w:rPr>
          <w:rFonts w:hint="eastAsia" w:ascii="仿宋" w:hAnsi="仿宋" w:eastAsia="仿宋"/>
          <w:sz w:val="32"/>
          <w:szCs w:val="32"/>
        </w:rPr>
        <w:t>和设立绩效预算计划。四是加强预算项目经费的绩效监控和风险评估。五是充分运用绩效成果，为今后年度经费预算编制提供依据。通过对财政专项资金绩效自评，进一步树立了专项资金使用与绩效考核相结合的意识，特别是把绩效评价结果作为今后年度预算编制和安排项目的重要依据，对改进预算管理、提高预算运行质量和资金使用效益提供了依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规范财务资产管理。一是完善规范机关经费的使用、审批与报销环节，实行经费先审后批制度。二是严把经费开支报销关，对无预算、超标准开支、审批手续不全、未使用公务卡以及不合法的单据，一律不予报销，保证经费开支的合理、合法。三是严格经费预算管理，突出经费保障重点，强化服务保障功能；加强经费支出管理，合理分配经费，提高经费绩效管理水平和经费保障能力。四是严格“三公”经费和会议、培训费支出管理。五是加强资产管理，完善资产管理信息系统，对机关所有资产数据进行核实、整理，编报资产报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加强内部监督。建立健全内部控制制度，规范工作流程，梳理内部文件流转程序，做好归档保管工作；加强会计档案管理，落实保管查阅制度。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7.加强宣传培训调研等。抓好新</w:t>
      </w:r>
      <w:r>
        <w:rPr>
          <w:rFonts w:hint="eastAsia" w:ascii="仿宋" w:hAnsi="仿宋" w:eastAsia="仿宋"/>
          <w:sz w:val="32"/>
          <w:szCs w:val="32"/>
          <w:lang w:eastAsia="zh-CN"/>
        </w:rPr>
        <w:t>《中华人民共和国会计法》</w:t>
      </w:r>
      <w:r>
        <w:rPr>
          <w:rFonts w:hint="eastAsia" w:ascii="仿宋" w:hAnsi="仿宋" w:eastAsia="仿宋"/>
          <w:sz w:val="32"/>
          <w:szCs w:val="32"/>
        </w:rPr>
        <w:t>的贯彻落实。根据新</w:t>
      </w:r>
      <w:r>
        <w:rPr>
          <w:rFonts w:hint="eastAsia" w:ascii="仿宋" w:hAnsi="仿宋" w:eastAsia="仿宋"/>
          <w:sz w:val="32"/>
          <w:szCs w:val="32"/>
          <w:lang w:eastAsia="zh-CN"/>
        </w:rPr>
        <w:t>《中华人民共和国会计法》</w:t>
      </w:r>
      <w:r>
        <w:rPr>
          <w:rFonts w:hint="eastAsia" w:ascii="仿宋" w:hAnsi="仿宋" w:eastAsia="仿宋"/>
          <w:sz w:val="32"/>
          <w:szCs w:val="32"/>
        </w:rPr>
        <w:t>精神和省财政厅的具体要求，做好宣传贯彻、修订完善配套规章制度、后续衔接等有关工作。加强人员培训，提高本部门职工业务素质；加强调研，提出优化财政资金配置、提高资金使用效益的意见；加大宣传力度，强化预算绩效管理意识，促进预算绩效管理水平进一步提升。</w:t>
      </w:r>
    </w:p>
    <w:p>
      <w:pPr>
        <w:spacing w:beforeLines="50" w:afterLines="50" w:line="500" w:lineRule="exact"/>
        <w:ind w:firstLine="640" w:firstLineChars="200"/>
        <w:jc w:val="left"/>
        <w:outlineLvl w:val="1"/>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0"/>
        <w:outlineLvl w:val="3"/>
      </w:pPr>
      <w:bookmarkStart w:id="1" w:name="_Toc_4_4_0000000004"/>
      <w:r>
        <w:rPr>
          <w:rFonts w:hint="eastAsia"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uk-UA"/>
        </w:rPr>
        <w:t>开发区环境卫生整治维护费绩效目标表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13062522P00456510148G</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开发区环境卫生整治维护费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该项目为开发区长期实施项目，主要用于徐水经济开发区内的环境卫生整理。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确保徐水经济开发区内环境整洁，提升开发区整体形象，为园区经济建设提档升级保驾护航。</w:t>
            </w:r>
            <w:r>
              <w:rPr>
                <w:rFonts w:hint="eastAsia"/>
              </w:rPr>
              <w:tab/>
            </w:r>
            <w:r>
              <w:rPr>
                <w:rFonts w:hint="eastAsia"/>
              </w:rPr>
              <w:tab/>
            </w:r>
            <w:r>
              <w:rPr>
                <w:rFonts w:hint="eastAsia"/>
              </w:rPr>
              <w:tab/>
            </w:r>
          </w:p>
          <w:p>
            <w:pPr>
              <w:pStyle w:val="18"/>
            </w:pPr>
            <w:r>
              <w:rPr>
                <w:rFonts w:hint="eastAsia"/>
              </w:rPr>
              <w:t>2.</w:t>
            </w:r>
            <w:r>
              <w:rPr>
                <w:rFonts w:hint="eastAsia"/>
                <w:lang w:val="uk-UA"/>
              </w:rPr>
              <w:t>完成开发区环境卫生整治任务</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卫生集中整治数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反映园区年内集中整治卫生环境次数情况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反映园区年内集中整治卫生环境验收合格情况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卫生集中整治及时率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反映园区整治卫生环境的及时程度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开发区环境卫生整治成本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园区整体形象提升率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反映园区集中整治卫生环境对园区整体形象的提升程度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入驻企业满意度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反映入驻企业对园区形象的满意程度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2" w:name="_Toc_4_4_0000000005"/>
      <w:r>
        <w:rPr>
          <w:rFonts w:hint="eastAsia"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uk-UA"/>
        </w:rPr>
        <w:t>开发区垃圾清运费用绩效目标表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13062522P00456510154X</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开发区垃圾清运费用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216.25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216.25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该项资金主要用于釜阳花园小区和哈弗城</w:t>
            </w:r>
            <w:r>
              <w:rPr>
                <w:rFonts w:hint="eastAsia"/>
              </w:rPr>
              <w:t>D1</w:t>
            </w:r>
            <w:r>
              <w:rPr>
                <w:rFonts w:hint="eastAsia"/>
                <w:lang w:val="uk-UA"/>
              </w:rPr>
              <w:t>区居民生活垃圾的清运及处理。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解决居民生活垃圾处理问题，保障园区干净整洁的生活环境。</w:t>
            </w:r>
          </w:p>
          <w:p>
            <w:pPr>
              <w:pStyle w:val="18"/>
            </w:pPr>
            <w:r>
              <w:rPr>
                <w:rFonts w:hint="eastAsia"/>
              </w:rPr>
              <w:t>2.</w:t>
            </w:r>
            <w:r>
              <w:rPr>
                <w:rFonts w:hint="eastAsia"/>
                <w:lang w:val="uk-UA"/>
              </w:rPr>
              <w:t>完成釜阳花园</w:t>
            </w:r>
            <w:r>
              <w:rPr>
                <w:rFonts w:hint="eastAsia"/>
              </w:rPr>
              <w:t>A</w:t>
            </w:r>
            <w:r>
              <w:rPr>
                <w:rFonts w:hint="eastAsia"/>
                <w:lang w:val="uk-UA"/>
              </w:rPr>
              <w:t>区、</w:t>
            </w:r>
            <w:r>
              <w:rPr>
                <w:rFonts w:hint="eastAsia"/>
              </w:rPr>
              <w:t>B</w:t>
            </w:r>
            <w:r>
              <w:rPr>
                <w:rFonts w:hint="eastAsia"/>
                <w:lang w:val="uk-UA"/>
              </w:rPr>
              <w:t>区、</w:t>
            </w:r>
            <w:r>
              <w:rPr>
                <w:rFonts w:hint="eastAsia"/>
              </w:rPr>
              <w:t>C</w:t>
            </w:r>
            <w:r>
              <w:rPr>
                <w:rFonts w:hint="eastAsia"/>
                <w:lang w:val="uk-UA"/>
              </w:rPr>
              <w:t>区和哈弗城</w:t>
            </w:r>
            <w:r>
              <w:rPr>
                <w:rFonts w:hint="eastAsia"/>
              </w:rPr>
              <w:t>D1</w:t>
            </w:r>
            <w:r>
              <w:rPr>
                <w:rFonts w:hint="eastAsia"/>
                <w:lang w:val="uk-UA"/>
              </w:rPr>
              <w:t>区一期、二期居民生活垃圾清运及处理，确保园区环境干净整洁。</w:t>
            </w:r>
          </w:p>
          <w:p>
            <w:pPr>
              <w:pStyle w:val="18"/>
            </w:pPr>
            <w:r>
              <w:rPr>
                <w:rFonts w:hint="eastAsia"/>
              </w:rPr>
              <w:t>3.</w:t>
            </w:r>
            <w:r>
              <w:rPr>
                <w:rFonts w:hint="eastAsia"/>
                <w:lang w:val="uk-UA"/>
              </w:rPr>
              <w:t>按合同约定每季度支付</w:t>
            </w:r>
            <w:r>
              <w:rPr>
                <w:rFonts w:hint="eastAsia"/>
              </w:rPr>
              <w:t>54.06</w:t>
            </w:r>
            <w:r>
              <w:rPr>
                <w:rFonts w:hint="eastAsia"/>
                <w:lang w:val="uk-UA"/>
              </w:rPr>
              <w:t>万元。</w:t>
            </w:r>
            <w:r>
              <w:rPr>
                <w:rFonts w:hint="eastAsia"/>
              </w:rPr>
              <w:t>2022</w:t>
            </w:r>
            <w:r>
              <w:rPr>
                <w:rFonts w:hint="eastAsia"/>
                <w:lang w:val="uk-UA"/>
              </w:rPr>
              <w:t>年</w:t>
            </w:r>
            <w:r>
              <w:rPr>
                <w:rFonts w:hint="eastAsia"/>
              </w:rPr>
              <w:t>11</w:t>
            </w:r>
            <w:r>
              <w:rPr>
                <w:rFonts w:hint="eastAsia"/>
                <w:lang w:val="uk-UA"/>
              </w:rPr>
              <w:t>月底前支付完毕。</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清运垃圾场地数量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反映清运垃圾场地数量情况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清运垃圾质量达标率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反映清运垃圾质量达标情况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垃圾清运及时率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反映清运垃圾的及时程度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开发区垃圾清运成本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≤216.25</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垃圾堆积情况发生数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园区内明显垃圾堆积情况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3" w:name="_Toc_4_4_0000000006"/>
      <w:r>
        <w:rPr>
          <w:rFonts w:hint="eastAsia"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uk-UA"/>
        </w:rPr>
        <w:t>开发区路灯电费及维修、养护费用绩效目标表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13062522P00456510176W</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开发区路灯电费及维修、养护费用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416.69</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416.69</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该项目主要用于园区路灯亮化、维护、维修相关费用。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通过该项目实施，保障了出行安全，提升了园区整体形象。</w:t>
            </w:r>
            <w:r>
              <w:rPr>
                <w:rFonts w:hint="eastAsia"/>
              </w:rPr>
              <w:tab/>
            </w:r>
          </w:p>
          <w:p>
            <w:pPr>
              <w:pStyle w:val="18"/>
            </w:pPr>
            <w:r>
              <w:rPr>
                <w:rFonts w:hint="eastAsia"/>
              </w:rPr>
              <w:t>2.</w:t>
            </w:r>
            <w:r>
              <w:rPr>
                <w:rFonts w:hint="eastAsia"/>
                <w:lang w:val="uk-UA"/>
              </w:rPr>
              <w:t>完成园区内路灯维修、养护工作。</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维修、养护路灯数量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反映维修、养护路灯数量情况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路灯亮灯率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路灯亮灯率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维修、养护及时率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反映路灯箱变、路灯、灯基等维修、养护及时程度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≤416.7</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园区出行安全保障率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反映园区内出行安全的保障程度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居民满意度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反映园区内居民对园区出行环境的满意程度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4" w:name="_Toc_4_4_0000000007"/>
      <w:r>
        <w:rPr>
          <w:rFonts w:hint="eastAsia"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uk-UA"/>
        </w:rPr>
        <w:t>开发区市政维修、环卫保洁、绿化养护项目绩效目标表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13062522P00456510152N</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开发区市政维修、环卫保洁、绿化养护项目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865.64</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865.64</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用于开发区范围内市政设施的维修、道路的环卫保洁和道路两侧绿化带的养护费用。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40%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40%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维护园区干净整洁的整体形象，保障公共设施正常运转。</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≥30</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环卫保洁道路数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环卫保洁道路数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≥15</w:t>
            </w:r>
            <w:r>
              <w:rPr>
                <w:rFonts w:hint="eastAsia"/>
                <w:lang w:val="uk-UA"/>
              </w:rPr>
              <w:t>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绿化养护面积</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绿化养护面积</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w:t>
            </w:r>
            <w:r>
              <w:rPr>
                <w:rFonts w:hint="eastAsia"/>
                <w:lang w:val="uk-UA"/>
              </w:rPr>
              <w:t>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市政设施维修验收合格率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总体控制在预算成本以内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≤865.64</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园区整体形象提升率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园区整体形象提升性</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5" w:name="_Toc_4_4_0000000008"/>
      <w:r>
        <w:rPr>
          <w:rFonts w:hint="eastAsia"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uk-UA"/>
        </w:rPr>
        <w:t>项目专项资金绩效目标表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13062522P00456510147W</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126.00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126.00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该项资金主要用于全区重点项目工作争取和推进工作，主要侧重于徐水经济开发区内重点项目工作，用于维持开发区管委会的正常运转。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90%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全面贯彻落实科学发展观，坚持把项目建设作为推动又好又快发展的主要抓手，突出工作重点。优化建设环境，健全工作机制，集中要素资源，调动各方面积极性，全力推进项目建设。参照</w:t>
            </w:r>
            <w:r>
              <w:rPr>
                <w:rFonts w:hint="eastAsia"/>
              </w:rPr>
              <w:t>2021</w:t>
            </w:r>
            <w:r>
              <w:rPr>
                <w:rFonts w:hint="eastAsia"/>
                <w:lang w:val="uk-UA"/>
              </w:rPr>
              <w:t>年支出时限，预计</w:t>
            </w:r>
            <w:r>
              <w:rPr>
                <w:rFonts w:hint="eastAsia"/>
              </w:rPr>
              <w:t>2022</w:t>
            </w:r>
            <w:r>
              <w:rPr>
                <w:rFonts w:hint="eastAsia"/>
                <w:lang w:val="uk-UA"/>
              </w:rPr>
              <w:t>年第一季度支付</w:t>
            </w:r>
            <w:r>
              <w:rPr>
                <w:rFonts w:hint="eastAsia"/>
              </w:rPr>
              <w:t>20%</w:t>
            </w:r>
            <w:r>
              <w:rPr>
                <w:rFonts w:hint="eastAsia"/>
                <w:lang w:val="uk-UA"/>
              </w:rPr>
              <w:t>，第二季度支付</w:t>
            </w:r>
            <w:r>
              <w:rPr>
                <w:rFonts w:hint="eastAsia"/>
              </w:rPr>
              <w:t>60%</w:t>
            </w:r>
            <w:r>
              <w:rPr>
                <w:rFonts w:hint="eastAsia"/>
                <w:lang w:val="uk-UA"/>
              </w:rPr>
              <w:t>，第三季度支付</w:t>
            </w:r>
            <w:r>
              <w:rPr>
                <w:rFonts w:hint="eastAsia"/>
              </w:rPr>
              <w:t>90%</w:t>
            </w:r>
            <w:r>
              <w:rPr>
                <w:rFonts w:hint="eastAsia"/>
                <w:lang w:val="uk-UA"/>
              </w:rPr>
              <w:t>，第四季度支付</w:t>
            </w:r>
            <w:r>
              <w:rPr>
                <w:rFonts w:hint="eastAsia"/>
              </w:rPr>
              <w:t>100%</w:t>
            </w:r>
            <w:r>
              <w:rPr>
                <w:rFonts w:hint="eastAsia"/>
                <w:lang w:val="uk-U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18"/>
            </w:pP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园区个数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园区个数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此项目资金支付未超出预算成本</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≤126</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投资环境提升率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投资环境提升率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园区企业满意度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园区企业满意度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6" w:name="_Toc_4_4_0000000009"/>
      <w:r>
        <w:rPr>
          <w:rFonts w:hint="eastAsia"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val="uk-UA"/>
        </w:rPr>
        <w:t>园区福泽园及恩泽园托管费绩效目标表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13062522P00456510150F</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园区福泽园及恩泽园托管费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该项资金主要用开发区拆迁村中去世居民墓地安葬。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55%</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通过该项目实施，保障了园区可持续性发展。</w:t>
            </w:r>
            <w:r>
              <w:rPr>
                <w:rFonts w:hint="eastAsia"/>
              </w:rPr>
              <w:tab/>
            </w:r>
            <w:r>
              <w:rPr>
                <w:rFonts w:hint="eastAsia"/>
              </w:rPr>
              <w:tab/>
            </w:r>
            <w:r>
              <w:rPr>
                <w:rFonts w:hint="eastAsia"/>
              </w:rPr>
              <w:tab/>
            </w:r>
            <w:r>
              <w:rPr>
                <w:rFonts w:hint="eastAsia"/>
              </w:rPr>
              <w:tab/>
            </w:r>
            <w:r>
              <w:rPr>
                <w:rFonts w:hint="eastAsia"/>
              </w:rPr>
              <w:tab/>
            </w:r>
          </w:p>
          <w:p>
            <w:pPr>
              <w:pStyle w:val="18"/>
            </w:pPr>
          </w:p>
          <w:p>
            <w:pPr>
              <w:pStyle w:val="18"/>
            </w:pPr>
            <w:r>
              <w:rPr>
                <w:rFonts w:hint="eastAsia"/>
              </w:rPr>
              <w:t>2.</w:t>
            </w:r>
            <w:r>
              <w:rPr>
                <w:rFonts w:hint="eastAsia"/>
                <w:lang w:val="uk-UA"/>
              </w:rPr>
              <w:t>完成六个整体拆除村和五个部分拆除村中去世村民的安葬任务。</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托管公墓数量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反映开发区托管公墓数量情况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公墓正常使用率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反映福泽园与恩泽园公墓正常使用情况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反映公墓管理人员巡视的及时程度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园区可持续运行时间</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反映园区福泽园与恩泽园可持续运行情况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年</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拆迁村居民满意度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w:t>
            </w:r>
            <w:r>
              <w:rPr>
                <w:rFonts w:hint="eastAsia"/>
              </w:rPr>
              <w:t>6</w:t>
            </w:r>
            <w:r>
              <w:rPr>
                <w:rFonts w:hint="eastAsia"/>
                <w:lang w:val="uk-UA"/>
              </w:rPr>
              <w:t>个拆迁村居民对公墓管理的满意程度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7" w:name="_Toc_4_4_0000000010"/>
      <w:r>
        <w:rPr>
          <w:rFonts w:hint="eastAsia" w:ascii="方正仿宋_GBK" w:hAnsi="方正仿宋_GBK" w:eastAsia="方正仿宋_GBK" w:cs="方正仿宋_GBK"/>
          <w:color w:val="000000"/>
          <w:sz w:val="28"/>
        </w:rPr>
        <w:t>7.2022</w:t>
      </w:r>
      <w:r>
        <w:rPr>
          <w:rFonts w:hint="eastAsia" w:ascii="方正仿宋_GBK" w:hAnsi="方正仿宋_GBK" w:eastAsia="方正仿宋_GBK" w:cs="方正仿宋_GBK"/>
          <w:color w:val="000000"/>
          <w:sz w:val="28"/>
          <w:lang w:val="uk-UA"/>
        </w:rPr>
        <w:t>年度账户利息绩效目标表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13062522P00459810018A</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2022</w:t>
            </w:r>
            <w:r>
              <w:rPr>
                <w:rFonts w:hint="eastAsia"/>
                <w:lang w:val="uk-UA"/>
              </w:rPr>
              <w:t>年度账户利息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0.04</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0.04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该项资金主要用于开发区办公方面的支出。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25%</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为完成本单位日常行政管理方面的费用开支，以及用于设备设施等维持性费用支出，和直接用于公务活动支出。</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绩效评价次数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按季度评价资金使用程度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正常运行率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日常工作及设备设施的正常运转情况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控制资金支出</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资金支出进度占预算全额的比例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预算执行率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按照支出进度要求和预算构成执行</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有效的改善职工作环境，有利于提高工作效率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8" w:name="_Toc_4_4_0000000011"/>
      <w:r>
        <w:rPr>
          <w:rFonts w:hint="eastAsia"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val="uk-UA"/>
        </w:rPr>
        <w:t>偿还</w:t>
      </w:r>
      <w:r>
        <w:rPr>
          <w:rFonts w:hint="eastAsia"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lang w:val="uk-UA"/>
        </w:rPr>
        <w:t>年隐性债务资金绩效目标表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13062522P0028YH10007P</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偿还</w:t>
            </w:r>
            <w:r>
              <w:rPr>
                <w:rFonts w:hint="eastAsia"/>
              </w:rPr>
              <w:t>2022</w:t>
            </w:r>
            <w:r>
              <w:rPr>
                <w:rFonts w:hint="eastAsia"/>
                <w:lang w:val="uk-UA"/>
              </w:rPr>
              <w:t>年隐性债务资金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1462.31</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1462.31</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主要用于偿还政府地债系统中剩余隐性债务</w:t>
            </w:r>
            <w:r>
              <w:rPr>
                <w:rFonts w:hint="eastAsia"/>
              </w:rPr>
              <w:t>2016</w:t>
            </w:r>
            <w:r>
              <w:rPr>
                <w:rFonts w:hint="eastAsia"/>
                <w:lang w:val="uk-UA"/>
              </w:rPr>
              <w:t>年土地组卷（</w:t>
            </w:r>
            <w:r>
              <w:rPr>
                <w:rFonts w:hint="eastAsia"/>
              </w:rPr>
              <w:t>2311</w:t>
            </w:r>
            <w:r>
              <w:rPr>
                <w:rFonts w:hint="eastAsia"/>
                <w:lang w:val="uk-UA"/>
              </w:rPr>
              <w:t>亩土地指标）项目。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该项目自执行以来，一直按照偿还计划实施，为园区招商引资打下了良好的基础，保障了园区的可持续运行。</w:t>
            </w:r>
          </w:p>
          <w:p>
            <w:pPr>
              <w:pStyle w:val="18"/>
            </w:pPr>
            <w:r>
              <w:rPr>
                <w:rFonts w:hint="eastAsia"/>
              </w:rPr>
              <w:t>2.</w:t>
            </w:r>
            <w:r>
              <w:rPr>
                <w:rFonts w:hint="eastAsia"/>
                <w:lang w:val="uk-UA"/>
              </w:rPr>
              <w:t>完成偿还任务</w:t>
            </w:r>
          </w:p>
          <w:p>
            <w:pPr>
              <w:pStyle w:val="18"/>
            </w:pPr>
            <w:r>
              <w:rPr>
                <w:rFonts w:hint="eastAsia"/>
              </w:rPr>
              <w:t>3.2022</w:t>
            </w:r>
            <w:r>
              <w:rPr>
                <w:rFonts w:hint="eastAsia"/>
                <w:lang w:val="uk-UA"/>
              </w:rPr>
              <w:t>年</w:t>
            </w:r>
            <w:r>
              <w:rPr>
                <w:rFonts w:hint="eastAsia"/>
              </w:rPr>
              <w:t>11</w:t>
            </w:r>
            <w:r>
              <w:rPr>
                <w:rFonts w:hint="eastAsia"/>
                <w:lang w:val="uk-UA"/>
              </w:rPr>
              <w:t>月底前完成偿还隐性债务</w:t>
            </w:r>
            <w:r>
              <w:rPr>
                <w:rFonts w:hint="eastAsia"/>
              </w:rPr>
              <w:t>1462.3082</w:t>
            </w:r>
            <w:r>
              <w:rPr>
                <w:rFonts w:hint="eastAsia"/>
                <w:lang w:val="uk-UA"/>
              </w:rPr>
              <w:t>万元。</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偿还次数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反映开发区偿还隐性债务次数情况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w:t>
            </w: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应偿尽偿率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反映实际偿还金额占应偿还金额比例情况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偿还及时率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反映开发区偿还隐性债务的及时程度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≤1462.31</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园区可持续运行时间</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反映偿还隐性债务后，园区可持续运行时间情况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年</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9" w:name="_Toc_4_4_0000000012"/>
      <w:r>
        <w:rPr>
          <w:rFonts w:hint="eastAsia"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val="uk-UA"/>
        </w:rPr>
        <w:t>纪检保障经费（运转保障）绩效目标表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13062522P004567101161</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2.20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该项资金主要用于开发区纪检办公运转。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rPr>
                <w:lang w:val="uk-UA"/>
              </w:rPr>
            </w:pPr>
            <w:r>
              <w:rPr>
                <w:rFonts w:hint="eastAsia"/>
              </w:rPr>
              <w:t>1.</w:t>
            </w:r>
            <w:r>
              <w:rPr>
                <w:rFonts w:hint="eastAsia"/>
                <w:lang w:val="uk-UA"/>
              </w:rPr>
              <w:t>贯彻党的纪律检查职能。该项经费主要用于开发区纪检办公运转，通过纪检监督，改善了园区投资环境，投诉明显降低。第一季度完成15％，第二季度完成60％，第三季度完成75％，第四季度完成100％。</w:t>
            </w:r>
          </w:p>
        </w:tc>
      </w:tr>
    </w:tbl>
    <w:p>
      <w:pPr>
        <w:spacing w:line="2" w:lineRule="exact"/>
        <w:jc w:val="center"/>
        <w:rPr>
          <w:rFonts w:ascii="Times New Roman" w:hAnsi="Times New Roman" w:eastAsia="Times New Roman" w:cs="Times New Roman"/>
          <w:lang w:val="uk-UA" w:eastAsia="uk-UA"/>
        </w:rPr>
      </w:pPr>
      <w:r>
        <w:rPr>
          <w:rFonts w:hint="eastAsia" w:ascii="方正书宋_GBK" w:hAnsi="方正书宋_GBK" w:eastAsia="方正书宋_GBK" w:cs="方正书宋_GBK"/>
          <w:color w:val="000000"/>
          <w:lang w:val="uk-U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巡视人员到位情况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纪检巡视开展及时情况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项目支出控制在预算范围内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≤2.2</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园区投资环境提升率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通过纪检监督，改善了园区投资环境，投诉降低</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0" w:name="_Toc_4_4_0000000013"/>
      <w:r>
        <w:rPr>
          <w:rFonts w:hint="eastAsia"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val="uk-UA"/>
        </w:rPr>
        <w:t>开发区党建专项经费（运转保障）绩效目标表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13062522P004567101697</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开发区党建专项经费（运转保障）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该项资金主要用于开发区机关、企业和社区党建支出。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贯彻落实上级部门的部署要求，创建特色党建示范区，助力基层党建工作，推进党建工作科学化、规范化、制度化。</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w:t>
            </w:r>
            <w:r>
              <w:rPr>
                <w:rFonts w:hint="eastAsia"/>
                <w:lang w:val="uk-UA"/>
              </w:rPr>
              <w:t>三会一课</w:t>
            </w:r>
            <w:r>
              <w:rPr>
                <w:rFonts w:hint="eastAsia"/>
              </w:rPr>
              <w:t>”</w:t>
            </w:r>
            <w:r>
              <w:rPr>
                <w:rFonts w:hint="eastAsia"/>
                <w:lang w:val="uk-UA"/>
              </w:rPr>
              <w:t>开展次数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指导各支部按</w:t>
            </w:r>
            <w:r>
              <w:rPr>
                <w:rFonts w:hint="eastAsia"/>
              </w:rPr>
              <w:t>“</w:t>
            </w:r>
            <w:r>
              <w:rPr>
                <w:rFonts w:hint="eastAsia"/>
                <w:lang w:val="uk-UA"/>
              </w:rPr>
              <w:t>三会一课</w:t>
            </w:r>
            <w:r>
              <w:rPr>
                <w:rFonts w:hint="eastAsia"/>
              </w:rPr>
              <w:t>”</w:t>
            </w:r>
            <w:r>
              <w:rPr>
                <w:rFonts w:hint="eastAsia"/>
                <w:lang w:val="uk-UA"/>
              </w:rPr>
              <w:t>标准开展活动</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≥32</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提高党组织示范带头作用，创建市级示范点。</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w:t>
            </w:r>
            <w:r>
              <w:rPr>
                <w:rFonts w:hint="eastAsia"/>
                <w:lang w:val="uk-UA"/>
              </w:rPr>
              <w:t>两室两栏一廊</w:t>
            </w:r>
            <w:r>
              <w:rPr>
                <w:rFonts w:hint="eastAsia"/>
              </w:rPr>
              <w:t>”</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经费拨付及时率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及时保障各基层支部的经费运转，拨付及时</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党建展板、党员活动、阵地建设等方面的经费</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党建引领强化</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提高广大党员队伍的整体素质，强化学习型党组织建设，保障党的基层组织建设不断创新发展。</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1" w:name="_Toc_4_4_0000000014"/>
      <w:r>
        <w:rPr>
          <w:rFonts w:hint="eastAsia"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val="uk-UA"/>
        </w:rPr>
        <w:t>开发区综合执法经费绩效目标表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13062522P00456710159B</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12.74</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12.74</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此项资金主要用于开发区综合执法中队办公经费及车辆运行经费。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以开发区为中心，加大巡查力度，持续开展便道秩序和环境卫生综合整治工作，改善开发区城市面貌，提升整体形象。用于执法中队工作正常开展。</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巡查次数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≥240</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执法巡查人员到位情况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控制在预算成本以内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≤14.16</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开发区环境卫生整体提升率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开发区环境卫生整体提升率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执法队工作人员满意度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执法队工作人员满意度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2" w:name="_Toc_4_4_0000000015"/>
      <w:r>
        <w:rPr>
          <w:rFonts w:hint="eastAsia"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val="uk-UA"/>
        </w:rPr>
        <w:t>上解</w:t>
      </w:r>
      <w:r>
        <w:rPr>
          <w:rFonts w:hint="eastAsia"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lang w:val="uk-UA"/>
        </w:rPr>
        <w:t>年棚改贷款回购资金绩效目标表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13062522P00457810002A</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上解</w:t>
            </w:r>
            <w:r>
              <w:rPr>
                <w:rFonts w:hint="eastAsia"/>
              </w:rPr>
              <w:t>2022</w:t>
            </w:r>
            <w:r>
              <w:rPr>
                <w:rFonts w:hint="eastAsia"/>
                <w:lang w:val="uk-UA"/>
              </w:rPr>
              <w:t>年棚改贷款回购资金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17815.72</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17815.72</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该项资金主要用于上解棚改贷款回购资金。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36%</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86%</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推进城市建设步伐，改善居民居住生活条件，破解城市建设资金不足的瓶颈，提升政府信誉度。此项资金支出时限依据市财政局下达回购资金的函。</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城中村数量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上解棚改贷款涉及城中改造数量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≥6</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足额上解率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依据市财政局回购资金的函足额上解率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上解棚改贷款资本金及时率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依据市财政局回购资金的函及时上解率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预算执行率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回购资金在预算范围内上解</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政府信用保障率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认为政府公信力及形象提升的群众比例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3" w:name="_Toc_4_4_0000000016"/>
      <w:r>
        <w:rPr>
          <w:rFonts w:hint="eastAsia"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val="uk-UA"/>
        </w:rPr>
        <w:t>社区管理服务中心运转（运转保障）绩效目标表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13062522P004569100015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社区管理服务中心运转（运转保障）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78.75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78.75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用于维持社区管理服务中心的正常运转，用于维护返迁村和哈弗城社区稳定，文化活动、管理服务所需要的办公经费、电话费、物业费、水电费、取暖费等运转费用及哈弗城楼长补贴、圆点公园管理维护、空置房物业费、楼体亮化电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35%</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加强社区管理和服务。保证社区管理服务中心正常运转，丰富居民业余文化生活，维护小区稳定，美化周边环境，提高居民幸福感、获得感。</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保安保洁人数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保安保洁人数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w:t>
            </w:r>
            <w:r>
              <w:rPr>
                <w:rFonts w:hint="eastAsia"/>
                <w:lang w:val="uk-UA"/>
              </w:rPr>
              <w:t>名</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购买电量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购买电量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≥340000</w:t>
            </w:r>
            <w:r>
              <w:rPr>
                <w:rFonts w:hint="eastAsia"/>
                <w:lang w:val="uk-UA"/>
              </w:rPr>
              <w:t>度</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劳务费发放准确率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劳务费发放准确率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因欠费造成的停电次数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因欠费造成的停电次数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物业费缴纳准确率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物业费缴纳准确率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电费缴纳及时率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电费缴纳及时率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等于</w:t>
            </w: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项目支出控制在预算范围内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≤99.15</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社区文明建设提升率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社区文明建设提升率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社区工作人员满意度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社区工作人员满意度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4" w:name="_Toc_4_4_0000000017"/>
      <w:r>
        <w:rPr>
          <w:rFonts w:hint="eastAsia"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lang w:val="uk-UA"/>
        </w:rPr>
        <w:t>失地农民养老补助和口粮补贴绩效目标表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13062522P00457310008K</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失地农民养老补助和口粮补贴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3844.56</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3844.56</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用于开发区发展所占乡镇被征地农民的养老补助和口粮补贴。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解决大王店镇、正村镇和遂城镇被征地农民的基本生活和养老保障问题。</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补助及补贴覆盖镇数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失地农民养老补助和口粮补贴覆盖的镇数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发放到位率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检查资金落实到位情况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发放及时率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每季度落实资金</w:t>
            </w:r>
            <w:r>
              <w:rPr>
                <w:rFonts w:hint="eastAsia"/>
              </w:rPr>
              <w:t>1</w:t>
            </w:r>
            <w:r>
              <w:rPr>
                <w:rFonts w:hint="eastAsia"/>
                <w:lang w:val="uk-UA"/>
              </w:rPr>
              <w:t>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预算执行率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尽量降低成本</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2022</w:t>
            </w:r>
            <w:r>
              <w:rPr>
                <w:rFonts w:hint="eastAsia"/>
                <w:lang w:val="uk-UA"/>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失地农民基本生活保障率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认为基本生活和养老得到有效保障的被征地农民比例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5" w:name="_Toc_4_4_0000000018"/>
      <w:r>
        <w:rPr>
          <w:rFonts w:hint="eastAsia"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lang w:val="uk-UA"/>
        </w:rPr>
        <w:t>特警装备及勤务车辆运行费用绩效目标表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13062522P00456710161A</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特警装备及勤务车辆运行费用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该项资金主要用于驻园区巡特警大队购置更换装备、车辆运行费用。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用于维护园区社会治安。特警装备及勤务车运行，确保能完成园区应急处突、巡逻防控、治安管理、交通管理的执法任务。</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w:t>
            </w:r>
            <w:r>
              <w:rPr>
                <w:rFonts w:hint="eastAsia"/>
                <w:lang w:val="uk-UA"/>
              </w:rPr>
              <w:t>件</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车辆使用数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车辆使用数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w:t>
            </w:r>
            <w:r>
              <w:rPr>
                <w:rFonts w:hint="eastAsia"/>
                <w:lang w:val="uk-UA"/>
              </w:rPr>
              <w:t>辆</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装备购置验收合格率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车辆使用合格情况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车辆费用支付及时率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车辆费用支付及时情况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项目支出控制在预算范围内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园区治安稳定提升率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园区治安稳定提升情况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特警满意度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特警满意度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6" w:name="_Toc_4_4_0000000019"/>
      <w:r>
        <w:rPr>
          <w:rFonts w:hint="eastAsia"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lang w:val="uk-UA"/>
        </w:rPr>
        <w:t>维稳、安全生产、环境保护、防汛经费（运转保障）绩效目标表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13062522P00456710160N</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维稳、安全生产、环境保护、防汛经费（运转保障）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39.00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39.00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该项资金主要用于园区维稳、环保、防汛、安全生产等多个领域重点路段、重点区域看护人员劳务费、物资采购费、杂草粉碎清理费用等。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40%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充分发挥法律顾问在依法决策、依法行政中的重要作用，为建设法治园区提供优质高效的法律服务和法治保障。开展环保禁烧、安全生产工作、汛前河道清理、防汛物资补充等工作。充分利用环境保护日、安全生产月、水环境保护日等专题活动向园区企业居民做好政策宣传。</w:t>
            </w:r>
            <w:r>
              <w:rPr>
                <w:rFonts w:hint="eastAsia"/>
              </w:rPr>
              <w:t xml:space="preserve">                                                                                                                                                                                                                            </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安全生产、环保等培训次数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本年度开展的安全生产、环境保护培训会议等</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河道清理长度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河道清理长度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≥8.9</w:t>
            </w:r>
            <w:r>
              <w:rPr>
                <w:rFonts w:hint="eastAsia"/>
                <w:lang w:val="uk-UA"/>
              </w:rPr>
              <w:t>公里</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防汛物资购买数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防汛物资购买数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套</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培训人员到位率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河道堵塞次数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河道清理、安全隐患排查等的合格率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物资购买验收合格率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实际支出控制在预算内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≤39</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环保政策群众知晓率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环保政策群众知晓提升性</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园区汛期平稳度过保障率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园区汛期平稳度过保障性</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7" w:name="_Toc_4_4_0000000020"/>
      <w:r>
        <w:rPr>
          <w:rFonts w:hint="eastAsia"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lang w:val="uk-UA"/>
        </w:rPr>
        <w:t>园区招商经费绩效目标表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13062522P00456710158P</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104.27</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104.27</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该项资金主要用于园区招商车辆租赁、宣传片制作、企业房屋租赁等。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加大招商引资力度，围绕新一代信息技术、装备制造、新材料、整车及零部件等重点产业，注重与北京主导产业链对接、与雄安新区联动发展。努力引入一批旗舰型企业、重大高端项目</w:t>
            </w:r>
            <w:r>
              <w:rPr>
                <w:rFonts w:hint="eastAsia"/>
              </w:rPr>
              <w:t>.</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参与外出对接考察人员到位率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参与外出对接考察人员到位率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外出对接考察项目开展及时情况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控制在预算成本以内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≤104.27</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项目落地增加率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项目落地增加率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企业满意度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企业满意度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rPr>
          <w:rFonts w:ascii="Times New Roman" w:hAnsi="Times New Roman" w:eastAsia="Times New Roman" w:cs="Times New Roman"/>
          <w:lang w:eastAsia="uk-UA"/>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2022年，我部门安排政府采购预算</w:t>
      </w:r>
      <w:r>
        <w:rPr>
          <w:rFonts w:hint="eastAsia" w:ascii="仿宋" w:hAnsi="仿宋" w:eastAsia="仿宋"/>
          <w:sz w:val="32"/>
          <w:szCs w:val="32"/>
        </w:rPr>
        <w:t>328.48</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pPr>
      <w:r>
        <w:rPr>
          <w:rFonts w:hint="eastAsia" w:ascii="方正小标宋_GBK" w:hAnsi="方正小标宋_GBK" w:eastAsia="方正小标宋_GBK" w:cs="方正小标宋_GBK"/>
          <w:color w:val="000000"/>
          <w:sz w:val="32"/>
          <w:lang w:val="uk-UA"/>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5"/>
            </w:pPr>
            <w:r>
              <w:rPr>
                <w:rFonts w:hint="eastAsia"/>
              </w:rPr>
              <w:t>915</w:t>
            </w:r>
            <w:r>
              <w:rPr>
                <w:rFonts w:hint="eastAsia"/>
                <w:lang w:val="uk-UA"/>
              </w:rPr>
              <w:t>河北徐水经济开发区管理委员会</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pPr>
              <w:pStyle w:val="14"/>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2022</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w:t>
            </w:r>
            <w:r>
              <w:rPr>
                <w:rFonts w:hint="eastAsia"/>
              </w:rPr>
              <w:t xml:space="preserve">    </w:t>
            </w:r>
            <w:r>
              <w:rPr>
                <w:rFonts w:hint="eastAsia"/>
                <w:lang w:val="uk-UA"/>
              </w:rPr>
              <w:t>资金</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w:t>
            </w:r>
            <w:r>
              <w:rPr>
                <w:rFonts w:hint="eastAsia"/>
              </w:rPr>
              <w:t xml:space="preserve">  </w:t>
            </w:r>
            <w:r>
              <w:rPr>
                <w:rFonts w:hint="eastAsia"/>
                <w:lang w:val="uk-UA"/>
              </w:rPr>
              <w:t>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河北徐水经济开发区管理委员会本级小计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开发区垃圾清运费用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216.25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垃圾处理服务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C160102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开发区市政维修、环卫保洁、绿化养护项目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865.64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园林绿化管理服务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C1303</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45.83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45.83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45.83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开发区市政维修、环卫保洁、绿化养护项目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865.64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清扫服务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C160101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92.65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92.65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92.65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r>
    </w:tbl>
    <w:p>
      <w:pPr>
        <w:spacing w:line="500" w:lineRule="exact"/>
        <w:ind w:firstLine="420"/>
        <w:rPr>
          <w:rFonts w:ascii="Times New Roman" w:hAnsi="Times New Roman" w:eastAsia="Times New Roman" w:cs="Times New Roman"/>
          <w:lang w:eastAsia="uk-UA"/>
        </w:rPr>
      </w:pPr>
      <w:r>
        <w:rPr>
          <w:rFonts w:hint="eastAsia" w:ascii="方正仿宋_GBK" w:hAnsi="方正仿宋_GBK" w:eastAsia="方正仿宋_GBK" w:cs="方正仿宋_GBK"/>
          <w:color w:val="000000"/>
          <w:lang w:val="uk-UA"/>
        </w:rPr>
        <w:t>注：同一采购目录序号的物品，其单价会因配置规格不同而变动，均符合资产配置标准。涉密采购事项按照相关规定执行。</w:t>
      </w:r>
    </w:p>
    <w:p>
      <w:pPr>
        <w:sectPr>
          <w:pgSz w:w="16840" w:h="11900" w:orient="landscape"/>
          <w:pgMar w:top="1020" w:right="1361" w:bottom="1020" w:left="1361" w:header="720" w:footer="720" w:gutter="0"/>
          <w:cols w:space="720" w:num="1"/>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上年末我部门固定资产总金额为479.44万元（详见下表）。我部门本年度无国有资产购置计划，拟购置金额为</w:t>
      </w:r>
      <w:r>
        <w:rPr>
          <w:rFonts w:ascii="仿宋" w:hAnsi="仿宋" w:eastAsia="仿宋"/>
          <w:sz w:val="32"/>
          <w:szCs w:val="32"/>
        </w:rPr>
        <w:t xml:space="preserve">0。 </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479.44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456.4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GYwYTFmZGE4ZTQ2YmU5NjljNDAyNzdhNjI4MzQifQ=="/>
  </w:docVars>
  <w:rsids>
    <w:rsidRoot w:val="00055F1F"/>
    <w:rsid w:val="00013B8A"/>
    <w:rsid w:val="00031CD8"/>
    <w:rsid w:val="00044FBC"/>
    <w:rsid w:val="00055F1F"/>
    <w:rsid w:val="000577EF"/>
    <w:rsid w:val="00057F18"/>
    <w:rsid w:val="000A16D7"/>
    <w:rsid w:val="000A3353"/>
    <w:rsid w:val="000A445D"/>
    <w:rsid w:val="000C178B"/>
    <w:rsid w:val="000E16CD"/>
    <w:rsid w:val="000F28BF"/>
    <w:rsid w:val="00131DEC"/>
    <w:rsid w:val="00136AB3"/>
    <w:rsid w:val="001462BD"/>
    <w:rsid w:val="00152380"/>
    <w:rsid w:val="001638BE"/>
    <w:rsid w:val="00164810"/>
    <w:rsid w:val="00172C7A"/>
    <w:rsid w:val="00181777"/>
    <w:rsid w:val="001B4688"/>
    <w:rsid w:val="001B6235"/>
    <w:rsid w:val="001B67EC"/>
    <w:rsid w:val="001E70AA"/>
    <w:rsid w:val="001F2DBD"/>
    <w:rsid w:val="001F4875"/>
    <w:rsid w:val="001F57C5"/>
    <w:rsid w:val="00212335"/>
    <w:rsid w:val="0022228F"/>
    <w:rsid w:val="00254FE8"/>
    <w:rsid w:val="002918C6"/>
    <w:rsid w:val="00291EF3"/>
    <w:rsid w:val="00296524"/>
    <w:rsid w:val="002C5492"/>
    <w:rsid w:val="002E01F6"/>
    <w:rsid w:val="002F0924"/>
    <w:rsid w:val="002F1ACB"/>
    <w:rsid w:val="002F530F"/>
    <w:rsid w:val="002F7B8B"/>
    <w:rsid w:val="00305E97"/>
    <w:rsid w:val="00310532"/>
    <w:rsid w:val="00325DB1"/>
    <w:rsid w:val="0032782B"/>
    <w:rsid w:val="00330A6D"/>
    <w:rsid w:val="00340B3D"/>
    <w:rsid w:val="0034253A"/>
    <w:rsid w:val="00354DE5"/>
    <w:rsid w:val="003669CF"/>
    <w:rsid w:val="00367A30"/>
    <w:rsid w:val="003768D0"/>
    <w:rsid w:val="003854AC"/>
    <w:rsid w:val="003A06D2"/>
    <w:rsid w:val="003A44D9"/>
    <w:rsid w:val="003A4557"/>
    <w:rsid w:val="003A6366"/>
    <w:rsid w:val="003C2317"/>
    <w:rsid w:val="003C41B3"/>
    <w:rsid w:val="003C442E"/>
    <w:rsid w:val="003D1092"/>
    <w:rsid w:val="003D37CD"/>
    <w:rsid w:val="003E5531"/>
    <w:rsid w:val="003E555C"/>
    <w:rsid w:val="003E6AF3"/>
    <w:rsid w:val="0040243C"/>
    <w:rsid w:val="00406BD1"/>
    <w:rsid w:val="00426C19"/>
    <w:rsid w:val="00450FD9"/>
    <w:rsid w:val="00453CE0"/>
    <w:rsid w:val="00470736"/>
    <w:rsid w:val="00470BBB"/>
    <w:rsid w:val="004731C3"/>
    <w:rsid w:val="0048611E"/>
    <w:rsid w:val="0048717D"/>
    <w:rsid w:val="004B0C8F"/>
    <w:rsid w:val="004B6929"/>
    <w:rsid w:val="004E2F43"/>
    <w:rsid w:val="004E3572"/>
    <w:rsid w:val="004F3C52"/>
    <w:rsid w:val="00510A1E"/>
    <w:rsid w:val="005158E2"/>
    <w:rsid w:val="00516CAF"/>
    <w:rsid w:val="00524204"/>
    <w:rsid w:val="0054684A"/>
    <w:rsid w:val="00550049"/>
    <w:rsid w:val="00553F7E"/>
    <w:rsid w:val="00565F09"/>
    <w:rsid w:val="00570142"/>
    <w:rsid w:val="00586C35"/>
    <w:rsid w:val="005910BB"/>
    <w:rsid w:val="005B1B6F"/>
    <w:rsid w:val="005B6CCB"/>
    <w:rsid w:val="005C54AA"/>
    <w:rsid w:val="005C7B89"/>
    <w:rsid w:val="006265F3"/>
    <w:rsid w:val="00626C93"/>
    <w:rsid w:val="0062788A"/>
    <w:rsid w:val="00641F8A"/>
    <w:rsid w:val="0065690A"/>
    <w:rsid w:val="0066383B"/>
    <w:rsid w:val="006A6FA2"/>
    <w:rsid w:val="006B5117"/>
    <w:rsid w:val="006C62DF"/>
    <w:rsid w:val="006D24A3"/>
    <w:rsid w:val="006D2FBD"/>
    <w:rsid w:val="006F5104"/>
    <w:rsid w:val="006F6549"/>
    <w:rsid w:val="00702D30"/>
    <w:rsid w:val="00722503"/>
    <w:rsid w:val="00735B02"/>
    <w:rsid w:val="00757856"/>
    <w:rsid w:val="00760940"/>
    <w:rsid w:val="007657C8"/>
    <w:rsid w:val="007666A3"/>
    <w:rsid w:val="00767A77"/>
    <w:rsid w:val="00771E49"/>
    <w:rsid w:val="00771FEC"/>
    <w:rsid w:val="00782208"/>
    <w:rsid w:val="00791938"/>
    <w:rsid w:val="007A5999"/>
    <w:rsid w:val="007C0FEC"/>
    <w:rsid w:val="007C7FD7"/>
    <w:rsid w:val="007D38EB"/>
    <w:rsid w:val="007E78D4"/>
    <w:rsid w:val="007F3746"/>
    <w:rsid w:val="00833132"/>
    <w:rsid w:val="00845460"/>
    <w:rsid w:val="00845C67"/>
    <w:rsid w:val="00857390"/>
    <w:rsid w:val="0086454E"/>
    <w:rsid w:val="008672EA"/>
    <w:rsid w:val="00875572"/>
    <w:rsid w:val="008774A1"/>
    <w:rsid w:val="008863A8"/>
    <w:rsid w:val="00891680"/>
    <w:rsid w:val="00891AB4"/>
    <w:rsid w:val="008A0099"/>
    <w:rsid w:val="008A0B5F"/>
    <w:rsid w:val="008A4F88"/>
    <w:rsid w:val="008B5402"/>
    <w:rsid w:val="008B7C55"/>
    <w:rsid w:val="008D11BC"/>
    <w:rsid w:val="0090527E"/>
    <w:rsid w:val="00905BB7"/>
    <w:rsid w:val="0090620C"/>
    <w:rsid w:val="00907E19"/>
    <w:rsid w:val="00912DA4"/>
    <w:rsid w:val="0092104D"/>
    <w:rsid w:val="009302B8"/>
    <w:rsid w:val="009305C6"/>
    <w:rsid w:val="00940FA1"/>
    <w:rsid w:val="009615EA"/>
    <w:rsid w:val="009752AE"/>
    <w:rsid w:val="00982F3D"/>
    <w:rsid w:val="00983232"/>
    <w:rsid w:val="00994035"/>
    <w:rsid w:val="009A278A"/>
    <w:rsid w:val="009B2A70"/>
    <w:rsid w:val="009B6368"/>
    <w:rsid w:val="009F3394"/>
    <w:rsid w:val="009F63C4"/>
    <w:rsid w:val="00A027B8"/>
    <w:rsid w:val="00A16957"/>
    <w:rsid w:val="00A279FE"/>
    <w:rsid w:val="00A27BE0"/>
    <w:rsid w:val="00A36E79"/>
    <w:rsid w:val="00A6155C"/>
    <w:rsid w:val="00A67F94"/>
    <w:rsid w:val="00A8079E"/>
    <w:rsid w:val="00A90328"/>
    <w:rsid w:val="00A92D66"/>
    <w:rsid w:val="00AA1B7D"/>
    <w:rsid w:val="00AA4262"/>
    <w:rsid w:val="00AB5A90"/>
    <w:rsid w:val="00AB7449"/>
    <w:rsid w:val="00AD10A0"/>
    <w:rsid w:val="00AD2246"/>
    <w:rsid w:val="00AE4AA5"/>
    <w:rsid w:val="00AE7FA9"/>
    <w:rsid w:val="00AF6105"/>
    <w:rsid w:val="00B147EB"/>
    <w:rsid w:val="00B16635"/>
    <w:rsid w:val="00B22155"/>
    <w:rsid w:val="00B57174"/>
    <w:rsid w:val="00B76AA9"/>
    <w:rsid w:val="00B80FAB"/>
    <w:rsid w:val="00B81C88"/>
    <w:rsid w:val="00BA5C83"/>
    <w:rsid w:val="00BC2FBD"/>
    <w:rsid w:val="00BC329C"/>
    <w:rsid w:val="00BC6A7D"/>
    <w:rsid w:val="00BD4829"/>
    <w:rsid w:val="00BD6002"/>
    <w:rsid w:val="00BD719F"/>
    <w:rsid w:val="00BF4076"/>
    <w:rsid w:val="00BF5442"/>
    <w:rsid w:val="00C12EC6"/>
    <w:rsid w:val="00C177A5"/>
    <w:rsid w:val="00C22C2F"/>
    <w:rsid w:val="00C25DB3"/>
    <w:rsid w:val="00C35FEE"/>
    <w:rsid w:val="00C50535"/>
    <w:rsid w:val="00C6153C"/>
    <w:rsid w:val="00C906EF"/>
    <w:rsid w:val="00C92BCA"/>
    <w:rsid w:val="00CA367D"/>
    <w:rsid w:val="00CC2292"/>
    <w:rsid w:val="00CC7D74"/>
    <w:rsid w:val="00CD5FB0"/>
    <w:rsid w:val="00D02F97"/>
    <w:rsid w:val="00D065B7"/>
    <w:rsid w:val="00D24CB6"/>
    <w:rsid w:val="00D45530"/>
    <w:rsid w:val="00D45A0E"/>
    <w:rsid w:val="00D45D23"/>
    <w:rsid w:val="00D51691"/>
    <w:rsid w:val="00D723D1"/>
    <w:rsid w:val="00D76283"/>
    <w:rsid w:val="00D80C60"/>
    <w:rsid w:val="00D8525F"/>
    <w:rsid w:val="00DA0C4D"/>
    <w:rsid w:val="00DA5DA7"/>
    <w:rsid w:val="00DB6089"/>
    <w:rsid w:val="00DB6F3D"/>
    <w:rsid w:val="00DD119E"/>
    <w:rsid w:val="00DE3935"/>
    <w:rsid w:val="00DE44C9"/>
    <w:rsid w:val="00DE6B32"/>
    <w:rsid w:val="00DF26B8"/>
    <w:rsid w:val="00E0770D"/>
    <w:rsid w:val="00E12C68"/>
    <w:rsid w:val="00E2325B"/>
    <w:rsid w:val="00E24075"/>
    <w:rsid w:val="00E270C9"/>
    <w:rsid w:val="00E35F38"/>
    <w:rsid w:val="00E4654E"/>
    <w:rsid w:val="00E46F27"/>
    <w:rsid w:val="00E509CC"/>
    <w:rsid w:val="00E50A75"/>
    <w:rsid w:val="00E56DC0"/>
    <w:rsid w:val="00E664C9"/>
    <w:rsid w:val="00E71A04"/>
    <w:rsid w:val="00E90DA6"/>
    <w:rsid w:val="00E96342"/>
    <w:rsid w:val="00EA209A"/>
    <w:rsid w:val="00EA2FEA"/>
    <w:rsid w:val="00EA56CB"/>
    <w:rsid w:val="00EA7853"/>
    <w:rsid w:val="00F000B1"/>
    <w:rsid w:val="00F012D3"/>
    <w:rsid w:val="00F04255"/>
    <w:rsid w:val="00F044C3"/>
    <w:rsid w:val="00F10D04"/>
    <w:rsid w:val="00F169E3"/>
    <w:rsid w:val="00F35D4B"/>
    <w:rsid w:val="00F3746B"/>
    <w:rsid w:val="00F572CB"/>
    <w:rsid w:val="00F621AF"/>
    <w:rsid w:val="00F7253D"/>
    <w:rsid w:val="00F8024E"/>
    <w:rsid w:val="00F82447"/>
    <w:rsid w:val="00F868E5"/>
    <w:rsid w:val="00FB2F32"/>
    <w:rsid w:val="00FC3191"/>
    <w:rsid w:val="00FE0F1F"/>
    <w:rsid w:val="00FF1562"/>
    <w:rsid w:val="00FF61F3"/>
    <w:rsid w:val="0A214432"/>
    <w:rsid w:val="0A6B75FC"/>
    <w:rsid w:val="0E8D2557"/>
    <w:rsid w:val="27733670"/>
    <w:rsid w:val="2C94068B"/>
    <w:rsid w:val="3A4F7838"/>
    <w:rsid w:val="536D7BB0"/>
    <w:rsid w:val="5EFA563D"/>
    <w:rsid w:val="7799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uiPriority="39"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semiHidden/>
    <w:unhideWhenUsed/>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semiHidden/>
    <w:unhideWhenUsed/>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qFormat/>
    <w:uiPriority w:val="0"/>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qFormat/>
    <w:uiPriority w:val="99"/>
    <w:rPr>
      <w:sz w:val="18"/>
      <w:szCs w:val="18"/>
    </w:rPr>
  </w:style>
  <w:style w:type="character" w:customStyle="1" w:styleId="12">
    <w:name w:val="页脚 Char"/>
    <w:basedOn w:val="10"/>
    <w:link w:val="3"/>
    <w:qFormat/>
    <w:uiPriority w:val="99"/>
    <w:rPr>
      <w:sz w:val="18"/>
      <w:szCs w:val="18"/>
    </w:rPr>
  </w:style>
  <w:style w:type="character" w:customStyle="1" w:styleId="13">
    <w:name w:val="批注框文本 Char"/>
    <w:basedOn w:val="10"/>
    <w:link w:val="2"/>
    <w:semiHidden/>
    <w:qFormat/>
    <w:uiPriority w:val="99"/>
    <w:rPr>
      <w:sz w:val="18"/>
      <w:szCs w:val="18"/>
    </w:rPr>
  </w:style>
  <w:style w:type="paragraph" w:customStyle="1" w:styleId="1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1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67D0-61E0-4407-A1D8-511E1EF03577}">
  <ds:schemaRefs/>
</ds:datastoreItem>
</file>

<file path=docProps/app.xml><?xml version="1.0" encoding="utf-8"?>
<Properties xmlns="http://schemas.openxmlformats.org/officeDocument/2006/extended-properties" xmlns:vt="http://schemas.openxmlformats.org/officeDocument/2006/docPropsVTypes">
  <Template>Normal</Template>
  <Pages>28</Pages>
  <Words>13756</Words>
  <Characters>15189</Characters>
  <Lines>124</Lines>
  <Paragraphs>35</Paragraphs>
  <TotalTime>1</TotalTime>
  <ScaleCrop>false</ScaleCrop>
  <LinksUpToDate>false</LinksUpToDate>
  <CharactersWithSpaces>15654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2022-07-01T02:34:00Z</dcterms:created>
  <dc:creator>Windows 用户</dc:creator>
  <cp:lastModifiedBy>Lenovo</cp:lastModifiedBy>
  <cp:lastPrinted>2021-04-14T02:06:00Z</cp:lastPrinted>
  <dcterms:modified xsi:type="dcterms:W3CDTF">2024-06-04T08:04:27Z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E5D6BB1141EB42B78CB1E1C9AB033A4E</vt:lpwstr>
  </property>
</Properties>
</file>