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保定市徐水区政协办公室</w:t>
      </w:r>
    </w:p>
    <w:p>
      <w:pPr>
        <w:spacing w:line="360" w:lineRule="auto"/>
        <w:jc w:val="center"/>
        <w:rPr>
          <w:rFonts w:ascii="仿宋" w:hAnsi="仿宋" w:eastAsia="仿宋"/>
          <w:sz w:val="32"/>
          <w:szCs w:val="32"/>
        </w:rPr>
      </w:pPr>
      <w:r>
        <w:rPr>
          <w:rFonts w:ascii="宋体" w:hAnsi="宋体" w:eastAsia="宋体"/>
          <w:b/>
          <w:sz w:val="44"/>
          <w:szCs w:val="44"/>
        </w:rPr>
        <w:t>2019年部门预算公开说明</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w:t>
      </w:r>
      <w:r>
        <w:rPr>
          <w:rFonts w:hint="eastAsia" w:ascii="仿宋_GB2312" w:hAnsi="仿宋_GB2312" w:eastAsia="仿宋_GB2312" w:cs="仿宋_GB2312"/>
          <w:sz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rPr>
          <w:rFonts w:ascii="仿宋" w:hAnsi="仿宋" w:eastAsia="仿宋"/>
          <w:b/>
          <w:sz w:val="32"/>
          <w:szCs w:val="32"/>
        </w:rPr>
      </w:pPr>
      <w:r>
        <w:rPr>
          <w:rFonts w:hint="eastAsia" w:ascii="仿宋" w:hAnsi="仿宋" w:eastAsia="仿宋"/>
          <w:b/>
          <w:sz w:val="32"/>
          <w:szCs w:val="32"/>
        </w:rPr>
        <w:t>一、部门职责</w:t>
      </w:r>
    </w:p>
    <w:p>
      <w:pPr>
        <w:pStyle w:val="17"/>
        <w:widowControl/>
        <w:spacing w:line="600" w:lineRule="exact"/>
        <w:ind w:firstLine="640"/>
        <w:jc w:val="both"/>
        <w:rPr>
          <w:rFonts w:ascii="仿宋_GB2312" w:hAnsi="仿宋" w:eastAsia="仿宋_GB2312" w:cs="仿宋_GB2312"/>
          <w:sz w:val="32"/>
          <w:szCs w:val="32"/>
        </w:rPr>
      </w:pPr>
      <w:r>
        <w:rPr>
          <w:rFonts w:hint="eastAsia" w:ascii="仿宋_GB2312" w:hAnsi="仿宋" w:eastAsia="仿宋_GB2312" w:cs="仿宋_GB2312"/>
          <w:sz w:val="32"/>
          <w:szCs w:val="32"/>
        </w:rPr>
        <w:t>根据徐水县人民政府办公室《关于印发政协徐水县委员会主要职责内设机构和人员编制规定的通知》（徐政办[2002]51号），现将我部门概况说明如下：</w:t>
      </w:r>
    </w:p>
    <w:p>
      <w:pPr>
        <w:pStyle w:val="17"/>
        <w:spacing w:line="600" w:lineRule="exact"/>
        <w:ind w:firstLine="640"/>
        <w:jc w:val="both"/>
        <w:rPr>
          <w:rFonts w:ascii="仿宋_GB2312" w:hAnsi="仿宋_GB2312" w:eastAsia="仿宋_GB2312"/>
          <w:sz w:val="32"/>
          <w:szCs w:val="32"/>
        </w:rPr>
      </w:pPr>
      <w:r>
        <w:rPr>
          <w:rFonts w:hint="eastAsia" w:ascii="仿宋_GB2312" w:hAnsi="仿宋_GB2312" w:eastAsia="仿宋_GB2312"/>
          <w:sz w:val="32"/>
          <w:szCs w:val="32"/>
        </w:rPr>
        <w:t>（一）在本行政区域内,保证宪法、法律、行政法规和区政协全体会议及其常委会</w:t>
      </w:r>
      <w:r>
        <w:rPr>
          <w:rFonts w:hint="eastAsia" w:ascii="仿宋_GB2312" w:hAnsi="仿宋_GB2312" w:eastAsia="仿宋_GB2312"/>
          <w:sz w:val="32"/>
          <w:szCs w:val="32"/>
          <w:lang w:val="en-US" w:eastAsia="zh-CN"/>
        </w:rPr>
        <w:t>会</w:t>
      </w:r>
      <w:r>
        <w:rPr>
          <w:rFonts w:hint="eastAsia" w:ascii="仿宋_GB2312" w:hAnsi="仿宋_GB2312" w:eastAsia="仿宋_GB2312"/>
          <w:sz w:val="32"/>
          <w:szCs w:val="32"/>
        </w:rPr>
        <w:t>议的遵守和执行；</w:t>
      </w:r>
    </w:p>
    <w:p>
      <w:pPr>
        <w:pStyle w:val="17"/>
        <w:spacing w:line="600" w:lineRule="exact"/>
        <w:ind w:firstLine="640"/>
        <w:jc w:val="both"/>
        <w:rPr>
          <w:rFonts w:ascii="仿宋_GB2312" w:hAnsi="仿宋_GB2312" w:eastAsia="仿宋_GB2312"/>
          <w:sz w:val="32"/>
          <w:szCs w:val="32"/>
        </w:rPr>
      </w:pPr>
      <w:r>
        <w:rPr>
          <w:rFonts w:hint="eastAsia" w:ascii="仿宋_GB2312" w:hAnsi="仿宋_GB2312" w:eastAsia="仿宋_GB2312"/>
          <w:sz w:val="32"/>
          <w:szCs w:val="32"/>
        </w:rPr>
        <w:t>（二）召集区政协委员全体会议；</w:t>
      </w:r>
    </w:p>
    <w:p>
      <w:pPr>
        <w:pStyle w:val="17"/>
        <w:spacing w:line="600" w:lineRule="exact"/>
        <w:ind w:firstLine="640"/>
        <w:jc w:val="both"/>
        <w:rPr>
          <w:rFonts w:ascii="仿宋_GB2312" w:hAnsi="仿宋_GB2312" w:eastAsia="仿宋_GB2312"/>
          <w:sz w:val="32"/>
          <w:szCs w:val="32"/>
        </w:rPr>
      </w:pPr>
      <w:r>
        <w:rPr>
          <w:rFonts w:hint="eastAsia" w:ascii="仿宋_GB2312" w:hAnsi="仿宋_GB2312" w:eastAsia="仿宋_GB2312"/>
          <w:sz w:val="32"/>
          <w:szCs w:val="32"/>
        </w:rPr>
        <w:t>（三）视察、调研重大问题以及人民群众普遍关心的问题，开展调查研究，反映社情民意，进行协商讨论，以调研报告、建议案或其他形式，向区委、区政府提出意见和建议。</w:t>
      </w:r>
    </w:p>
    <w:p>
      <w:pPr>
        <w:pStyle w:val="17"/>
        <w:spacing w:line="600" w:lineRule="exact"/>
        <w:ind w:firstLine="640"/>
        <w:jc w:val="both"/>
        <w:rPr>
          <w:rFonts w:ascii="仿宋_GB2312" w:hAnsi="仿宋_GB2312" w:eastAsia="仿宋_GB2312"/>
          <w:sz w:val="32"/>
          <w:szCs w:val="32"/>
        </w:rPr>
      </w:pPr>
      <w:r>
        <w:rPr>
          <w:rFonts w:hint="eastAsia" w:ascii="仿宋_GB2312" w:hAnsi="仿宋_GB2312" w:eastAsia="仿宋_GB2312"/>
          <w:sz w:val="32"/>
          <w:szCs w:val="32"/>
        </w:rPr>
        <w:t>（四）有效履行民主监督职责，发挥好协调关系、汇聚力量、建言献策、服务大局的作用。通过意见、建议、批评的方式对区委、区政府重大方针政策的贯彻执行、区委和区政府的工作进行政治监督。</w:t>
      </w:r>
    </w:p>
    <w:p>
      <w:pPr>
        <w:pStyle w:val="17"/>
        <w:spacing w:line="600" w:lineRule="exact"/>
        <w:ind w:firstLine="640"/>
        <w:jc w:val="both"/>
        <w:rPr>
          <w:rFonts w:ascii="仿宋_GB2312" w:hAnsi="仿宋_GB2312" w:eastAsia="仿宋_GB2312"/>
          <w:sz w:val="32"/>
          <w:szCs w:val="32"/>
        </w:rPr>
      </w:pPr>
      <w:r>
        <w:rPr>
          <w:rFonts w:hint="eastAsia" w:ascii="仿宋_GB2312" w:hAnsi="仿宋_GB2312" w:eastAsia="仿宋_GB2312"/>
          <w:sz w:val="32"/>
          <w:szCs w:val="32"/>
        </w:rPr>
        <w:t>（五）在区政协委员全体会议闭会期间，补选区政协委员全体会议出缺的委员和罢免个别委员；</w:t>
      </w:r>
    </w:p>
    <w:p>
      <w:pPr>
        <w:spacing w:line="360" w:lineRule="auto"/>
        <w:ind w:firstLine="643"/>
        <w:rPr>
          <w:rFonts w:ascii="仿宋" w:hAnsi="仿宋" w:eastAsia="仿宋"/>
          <w:b/>
          <w:sz w:val="32"/>
          <w:szCs w:val="32"/>
        </w:rPr>
      </w:pPr>
      <w:r>
        <w:rPr>
          <w:rFonts w:hint="eastAsia" w:ascii="仿宋" w:hAnsi="仿宋" w:eastAsia="仿宋"/>
          <w:b/>
          <w:sz w:val="32"/>
          <w:szCs w:val="32"/>
        </w:rPr>
        <w:t>二、机构设置</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Cs w:val="21"/>
              </w:rPr>
            </w:pPr>
            <w:r>
              <w:rPr>
                <w:rFonts w:hint="eastAsia" w:ascii="仿宋_GB2312" w:hAnsi="仿宋" w:eastAsia="仿宋_GB2312"/>
                <w:bCs/>
                <w:szCs w:val="21"/>
              </w:rPr>
              <w:t>中国人民政治协商会议保定市徐水区委员会办公室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sz w:val="24"/>
                <w:szCs w:val="24"/>
              </w:rPr>
              <w:t>财政性资金零补助</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p>
    <w:p>
      <w:pPr>
        <w:spacing w:line="360" w:lineRule="auto"/>
        <w:ind w:firstLine="64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553.67</w:t>
      </w:r>
      <w:r>
        <w:rPr>
          <w:rFonts w:ascii="仿宋" w:hAnsi="仿宋" w:eastAsia="仿宋"/>
          <w:sz w:val="32"/>
          <w:szCs w:val="32"/>
        </w:rPr>
        <w:t>万元,其中：一般公共预算收入</w:t>
      </w:r>
      <w:r>
        <w:rPr>
          <w:rFonts w:hint="eastAsia" w:ascii="仿宋" w:hAnsi="仿宋" w:eastAsia="仿宋"/>
          <w:sz w:val="32"/>
          <w:szCs w:val="32"/>
        </w:rPr>
        <w:t>553.67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553.67</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基本支出490.15万元</w:t>
      </w:r>
    </w:p>
    <w:p>
      <w:pPr>
        <w:spacing w:line="360" w:lineRule="auto"/>
        <w:ind w:firstLine="64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433.91</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56.24</w:t>
      </w:r>
      <w:r>
        <w:rPr>
          <w:rFonts w:ascii="仿宋" w:hAnsi="仿宋" w:eastAsia="仿宋"/>
          <w:sz w:val="32"/>
          <w:szCs w:val="32"/>
        </w:rPr>
        <w:t>万元</w:t>
      </w:r>
    </w:p>
    <w:p>
      <w:pPr>
        <w:spacing w:line="360" w:lineRule="auto"/>
        <w:ind w:firstLine="640"/>
        <w:rPr>
          <w:rFonts w:ascii="仿宋" w:hAnsi="仿宋" w:eastAsia="仿宋"/>
          <w:sz w:val="32"/>
          <w:szCs w:val="32"/>
        </w:rPr>
      </w:pPr>
      <w:r>
        <w:rPr>
          <w:rFonts w:hint="eastAsia" w:ascii="仿宋" w:hAnsi="仿宋" w:eastAsia="仿宋"/>
          <w:sz w:val="32"/>
          <w:szCs w:val="32"/>
        </w:rPr>
        <w:t>项目支出63.52</w:t>
      </w:r>
      <w:r>
        <w:rPr>
          <w:rFonts w:ascii="仿宋" w:hAnsi="仿宋" w:eastAsia="仿宋"/>
          <w:sz w:val="32"/>
          <w:szCs w:val="32"/>
        </w:rPr>
        <w:t>万元</w:t>
      </w:r>
    </w:p>
    <w:p>
      <w:pPr>
        <w:spacing w:line="360" w:lineRule="auto"/>
        <w:ind w:firstLine="64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63.52</w:t>
      </w:r>
      <w:r>
        <w:rPr>
          <w:rFonts w:ascii="仿宋" w:hAnsi="仿宋" w:eastAsia="仿宋"/>
          <w:sz w:val="32"/>
          <w:szCs w:val="32"/>
        </w:rPr>
        <w:t>万元</w:t>
      </w:r>
    </w:p>
    <w:p>
      <w:pPr>
        <w:spacing w:line="360" w:lineRule="auto"/>
        <w:ind w:firstLine="643"/>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rPr>
          <w:rFonts w:ascii="仿宋" w:hAnsi="仿宋" w:eastAsia="仿宋"/>
          <w:sz w:val="32"/>
          <w:szCs w:val="32"/>
        </w:rPr>
      </w:pPr>
      <w:r>
        <w:rPr>
          <w:rFonts w:hint="eastAsia" w:ascii="仿宋" w:hAnsi="仿宋" w:eastAsia="仿宋"/>
          <w:sz w:val="32"/>
          <w:szCs w:val="32"/>
        </w:rPr>
        <w:t>本年度预算收支安排553.67万元，较上年增加132.48</w:t>
      </w:r>
      <w:r>
        <w:rPr>
          <w:rFonts w:ascii="仿宋" w:hAnsi="仿宋" w:eastAsia="仿宋"/>
          <w:sz w:val="32"/>
          <w:szCs w:val="32"/>
        </w:rPr>
        <w:t>万元。其中:基本支出增加</w:t>
      </w:r>
      <w:r>
        <w:rPr>
          <w:rFonts w:hint="eastAsia" w:ascii="仿宋" w:hAnsi="仿宋" w:eastAsia="仿宋"/>
          <w:sz w:val="32"/>
          <w:szCs w:val="32"/>
        </w:rPr>
        <w:t>132.48</w:t>
      </w:r>
      <w:r>
        <w:rPr>
          <w:rFonts w:ascii="仿宋" w:hAnsi="仿宋" w:eastAsia="仿宋"/>
          <w:sz w:val="32"/>
          <w:szCs w:val="32"/>
        </w:rPr>
        <w:t>万元，主要原因是</w:t>
      </w:r>
      <w:r>
        <w:rPr>
          <w:rFonts w:hint="eastAsia" w:ascii="仿宋" w:hAnsi="仿宋" w:eastAsia="仿宋"/>
          <w:sz w:val="32"/>
          <w:szCs w:val="32"/>
        </w:rPr>
        <w:t>人员工资调整补贴及保险缴费增多</w:t>
      </w:r>
      <w:r>
        <w:rPr>
          <w:rFonts w:ascii="仿宋" w:hAnsi="仿宋" w:eastAsia="仿宋"/>
          <w:sz w:val="32"/>
          <w:szCs w:val="32"/>
        </w:rPr>
        <w:t>；项目支出增加</w:t>
      </w:r>
      <w:r>
        <w:rPr>
          <w:rFonts w:hint="eastAsia" w:ascii="仿宋" w:hAnsi="仿宋" w:eastAsia="仿宋"/>
          <w:sz w:val="32"/>
          <w:szCs w:val="32"/>
        </w:rPr>
        <w:t>0</w:t>
      </w:r>
      <w:r>
        <w:rPr>
          <w:rFonts w:ascii="仿宋" w:hAnsi="仿宋" w:eastAsia="仿宋"/>
          <w:sz w:val="32"/>
          <w:szCs w:val="32"/>
        </w:rPr>
        <w:t>万元，主要原因是</w:t>
      </w:r>
      <w:r>
        <w:rPr>
          <w:rFonts w:hint="eastAsia" w:ascii="仿宋" w:hAnsi="仿宋" w:eastAsia="仿宋"/>
          <w:sz w:val="32"/>
          <w:szCs w:val="32"/>
        </w:rPr>
        <w:t>与上年项目无变化</w:t>
      </w:r>
      <w:r>
        <w:rPr>
          <w:rFonts w:ascii="仿宋" w:hAnsi="仿宋" w:eastAsia="仿宋"/>
          <w:sz w:val="32"/>
          <w:szCs w:val="32"/>
        </w:rPr>
        <w:t>。</w:t>
      </w:r>
    </w:p>
    <w:p>
      <w:pPr>
        <w:spacing w:line="360" w:lineRule="auto"/>
        <w:ind w:firstLine="64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56.24</w:t>
      </w:r>
      <w:r>
        <w:rPr>
          <w:rFonts w:ascii="仿宋" w:hAnsi="仿宋" w:eastAsia="仿宋"/>
          <w:sz w:val="32"/>
          <w:szCs w:val="32"/>
        </w:rPr>
        <w:t>万元，其中办公费</w:t>
      </w:r>
      <w:r>
        <w:rPr>
          <w:rFonts w:hint="eastAsia" w:ascii="仿宋" w:hAnsi="仿宋" w:eastAsia="仿宋"/>
          <w:sz w:val="32"/>
          <w:szCs w:val="32"/>
        </w:rPr>
        <w:t>5</w:t>
      </w:r>
      <w:r>
        <w:rPr>
          <w:rFonts w:ascii="仿宋" w:hAnsi="仿宋" w:eastAsia="仿宋"/>
          <w:sz w:val="32"/>
          <w:szCs w:val="32"/>
        </w:rPr>
        <w:t>万元，邮电费</w:t>
      </w:r>
      <w:r>
        <w:rPr>
          <w:rFonts w:hint="eastAsia" w:ascii="仿宋" w:hAnsi="仿宋" w:eastAsia="仿宋"/>
          <w:sz w:val="32"/>
          <w:szCs w:val="32"/>
        </w:rPr>
        <w:t>10.92</w:t>
      </w:r>
      <w:r>
        <w:rPr>
          <w:rFonts w:ascii="仿宋" w:hAnsi="仿宋" w:eastAsia="仿宋"/>
          <w:sz w:val="32"/>
          <w:szCs w:val="32"/>
        </w:rPr>
        <w:t>万元，工会经费、福利费</w:t>
      </w:r>
      <w:r>
        <w:rPr>
          <w:rFonts w:hint="eastAsia" w:ascii="仿宋" w:hAnsi="仿宋" w:eastAsia="仿宋"/>
          <w:sz w:val="32"/>
          <w:szCs w:val="32"/>
        </w:rPr>
        <w:t>5.22</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s="仿宋"/>
          <w:sz w:val="32"/>
          <w:szCs w:val="32"/>
        </w:rPr>
        <w:t>公务交通补贴14.57万元，会议费2万元,培训费1万元,</w:t>
      </w:r>
      <w:r>
        <w:rPr>
          <w:rFonts w:hint="eastAsia" w:ascii="仿宋" w:hAnsi="仿宋" w:eastAsia="仿宋"/>
          <w:sz w:val="32"/>
          <w:szCs w:val="32"/>
        </w:rPr>
        <w:t>离退休干部经费5.53万元</w:t>
      </w:r>
      <w:r>
        <w:rPr>
          <w:rFonts w:ascii="仿宋" w:hAnsi="仿宋" w:eastAsia="仿宋"/>
          <w:sz w:val="32"/>
          <w:szCs w:val="32"/>
        </w:rPr>
        <w:t>。</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11"/>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11"/>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r>
                    <w:rPr>
                      <w:rFonts w:hint="eastAsia" w:ascii="仿宋_GB2312" w:hAnsi="宋体" w:eastAsia="仿宋_GB2312" w:cs="宋体"/>
                      <w:kern w:val="0"/>
                      <w:sz w:val="24"/>
                      <w:szCs w:val="24"/>
                      <w:lang w:val="en-US"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方正仿宋_GBK" w:eastAsia="方正仿宋_GBK"/>
          <w:sz w:val="28"/>
        </w:rPr>
      </w:pPr>
      <w:r>
        <w:rPr>
          <w:rFonts w:ascii="方正仿宋_GBK" w:eastAsia="方正仿宋_GBK"/>
          <w:sz w:val="28"/>
        </w:rPr>
        <w:t>2019</w:t>
      </w:r>
      <w:r>
        <w:rPr>
          <w:rFonts w:hint="eastAsia" w:ascii="方正仿宋_GBK" w:hAnsi="微软雅黑" w:eastAsia="方正仿宋_GBK"/>
          <w:sz w:val="28"/>
        </w:rPr>
        <w:t>年在区委和区政府有关部门密切配合下对重大问题以及人民群众普遍关心的问题，开展调查研究，反映社情民意，进行协商讨论以调研报告、建议案或其他形式，向区委、区政府提出意见和建议。按照政策要求召开全体会议、</w:t>
      </w:r>
      <w:r>
        <w:rPr>
          <w:rFonts w:hint="eastAsia" w:ascii="方正仿宋_GBK" w:hAnsi="微软雅黑" w:eastAsia="方正仿宋_GBK"/>
          <w:sz w:val="28"/>
          <w:lang w:eastAsia="zh-CN"/>
        </w:rPr>
        <w:t>常委会会议</w:t>
      </w:r>
      <w:r>
        <w:rPr>
          <w:rFonts w:hint="eastAsia" w:ascii="方正仿宋_GBK" w:hAnsi="微软雅黑" w:eastAsia="方正仿宋_GBK"/>
          <w:sz w:val="28"/>
        </w:rPr>
        <w:t>、各专委会会议。</w:t>
      </w: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spacing w:line="360" w:lineRule="auto"/>
        <w:ind w:firstLine="643"/>
        <w:rPr>
          <w:rFonts w:ascii="仿宋" w:hAnsi="仿宋" w:eastAsia="仿宋"/>
          <w:b/>
          <w:sz w:val="32"/>
          <w:szCs w:val="32"/>
        </w:rPr>
      </w:pPr>
    </w:p>
    <w:p>
      <w:pPr>
        <w:jc w:val="center"/>
        <w:outlineLvl w:val="0"/>
        <w:rPr>
          <w:rFonts w:ascii="方正小标宋_GBK" w:eastAsia="方正小标宋_GBK"/>
          <w:sz w:val="32"/>
        </w:rPr>
        <w:sectPr>
          <w:footerReference r:id="rId4" w:type="default"/>
          <w:pgSz w:w="11906" w:h="16838"/>
          <w:pgMar w:top="1440" w:right="1800" w:bottom="1440" w:left="1800" w:header="851" w:footer="992" w:gutter="0"/>
          <w:cols w:space="425" w:num="1"/>
          <w:docGrid w:type="lines" w:linePitch="312" w:charSpace="0"/>
        </w:sectPr>
      </w:pPr>
      <w:bookmarkStart w:id="0" w:name="_Toc1722284"/>
    </w:p>
    <w:p>
      <w:pPr>
        <w:spacing w:line="360" w:lineRule="auto"/>
        <w:ind w:firstLine="643"/>
        <w:rPr>
          <w:rFonts w:ascii="仿宋" w:hAnsi="仿宋" w:eastAsia="仿宋"/>
          <w:b/>
          <w:sz w:val="32"/>
          <w:szCs w:val="32"/>
        </w:rPr>
      </w:pPr>
      <w:r>
        <w:rPr>
          <w:rFonts w:hint="eastAsia" w:ascii="仿宋" w:hAnsi="仿宋" w:eastAsia="仿宋"/>
          <w:b/>
          <w:sz w:val="32"/>
          <w:szCs w:val="32"/>
        </w:rPr>
        <w:t>二、部门职责及工作活动绩效目标指标</w:t>
      </w:r>
    </w:p>
    <w:p>
      <w:pPr>
        <w:jc w:val="center"/>
        <w:outlineLvl w:val="0"/>
        <w:rPr>
          <w:rFonts w:ascii="方正小标宋_GBK" w:eastAsia="方正小标宋_GBK"/>
          <w:color w:val="FFFFFF"/>
          <w:sz w:val="32"/>
        </w:rPr>
      </w:pPr>
      <w:r>
        <w:rPr>
          <w:rFonts w:hint="eastAsia" w:ascii="方正小标宋_GBK" w:eastAsia="方正小标宋_GBK"/>
          <w:sz w:val="32"/>
        </w:rPr>
        <w:t>部门职责-工作活动绩效目标</w:t>
      </w:r>
      <w:r>
        <w:rPr>
          <w:rStyle w:val="13"/>
          <w:rFonts w:ascii="方正小标宋_GBK" w:eastAsia="方正小标宋_GBK"/>
          <w:color w:val="FFFFFF"/>
          <w:sz w:val="32"/>
        </w:rPr>
        <w:footnoteReference w:id="0" w:customMarkFollows="1"/>
        <w:sym w:font="Symbol" w:char="F020"/>
      </w:r>
      <w:bookmarkEnd w:id="0"/>
    </w:p>
    <w:tbl>
      <w:tblPr>
        <w:tblStyle w:val="11"/>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131</w:t>
            </w:r>
            <w:r>
              <w:rPr>
                <w:rFonts w:hint="eastAsia" w:ascii="方正小标宋_GBK" w:eastAsia="方正小标宋_GBK"/>
                <w:sz w:val="24"/>
              </w:rPr>
              <w:t>中国人民政治协商会议保定市徐水区委员会办公室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vMerge w:val="continue"/>
          </w:tcPr>
          <w:p/>
        </w:tc>
        <w:tc>
          <w:tcPr>
            <w:vMerge w:val="continue"/>
          </w:tcPr>
          <w:p/>
        </w:tc>
        <w:tc>
          <w:tcPr>
            <w:vMerge w:val="continue"/>
          </w:tcPr>
          <w:p/>
        </w:tc>
        <w:tc>
          <w:tcPr>
            <w:vMerge w:val="continue"/>
          </w:tcPr>
          <w:p/>
        </w:tc>
        <w:tc>
          <w:tcPr>
            <w:vMerge w:val="continue"/>
          </w:tc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一、政治协商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就大政方针以及政治、经济、文化、社会和生态文明中的重要问题在决策之前进行协商和就决策执行过程中的重要问题进行协商。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、政协会议</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33.00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会议是人民政协履行职能的主要形式，是开展工作的主体，是委员履行自身职责的主要途径。包括全体会议、</w:t>
            </w:r>
            <w:bookmarkStart w:id="1" w:name="_GoBack"/>
            <w:bookmarkEnd w:id="1"/>
            <w:r>
              <w:rPr>
                <w:rFonts w:hint="eastAsia" w:ascii="方正书宋_GBK" w:eastAsia="方正书宋_GBK"/>
                <w:lang w:eastAsia="zh-CN"/>
              </w:rPr>
              <w:t>常委会会议</w:t>
            </w:r>
            <w:r>
              <w:rPr>
                <w:rFonts w:hint="eastAsia" w:ascii="方正书宋_GBK" w:eastAsia="方正书宋_GBK"/>
              </w:rPr>
              <w:t>、主席会议、秘书长会议、各专委会会议等。</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会议筹备及会务工作的完成率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、民主协商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根据形势、任务和党委政府统一部署，安排协商活动，召开专题协商会、协商民主会、专题座谈会、情况通报会、意见听取会、工作研讨会和学习座谈会等。</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专题协商活动完成率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二、民主监督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有效履行民主监督职责，发挥好协调关系、汇聚力量、建言献策、服务大局的作用。通过意见、建议、批评的方式对国家法律法规的实施、重大方针政策的贯彻执行、党和政府的工作进行政治监督。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、监督事务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组织、鼓励和引导委员深入实际、走向基层、贴近群众开展视察考察，通过建议案、提案等形式进行监督。通过参加党委政府组织的调查和检查活动实施监督。</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监督工作任务完成率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、提案工作</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对政协委员和参加政协的各党派团体以及各专委会（提案者）的提案进行审查立案，立案后交承办单位办理，适时通过协调、沟通、座谈、视察等形式进行督办。</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提案交办率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提案督办完成率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政治任务实现率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三、参政议政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通过对重大问题以及人民群众普遍关心的问题，开展调查研究，反映社情民意，进行协商讨论，以调研报告、建议案或其他形式，向区委、区政府提出意见和建议。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发挥政协作为扩大社会各界有序参与的重要渠道作用，探索开展活动的新方法新途径，充分调动委员参政议政积极，向区委、区政府提出高质量的建议案。</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、专题调研</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选择经济社会发展中具有综合性、全局性、前瞻性的课题，在区委和区政府有关部门密切配合下，深入调查研究，开展咨询论证、提出意见建议。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通过调研课题就党和政府关注的问题，提出客观、有价值、有分量、有影响的意见建议，促进决策民主化和科学化。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调研结果和政策建议采纳数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重点课题和专项调研完成率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、社情民意</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利用政协自身包容各界、联系广泛、人才聚集的优势和特点，了解和反映社会不同阶层、群体的愿望和要求，将分散在民间、基层有识之士的真知灼见反映给决策部门。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社情民意反映率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理论研究成果完成率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vMerge w:val="continue"/>
          </w:tcPr>
          <w:p/>
        </w:tc>
        <w:tc>
          <w:tcPr>
            <w:vMerge w:val="continue"/>
          </w:tcPr>
          <w:p/>
        </w:tc>
        <w:tc>
          <w:tcPr>
            <w:vMerge w:val="continue"/>
          </w:tcPr>
          <w:p/>
        </w:tc>
        <w:tc>
          <w:tcPr>
            <w:vMerge w:val="continue"/>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理论研究成果采纳数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四、政协事务管理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协自身建设、理论研究以及宣传工作，与区内外有关单位的联系协调；负责机关外事工作，机构编制、人事任免、人员培训、考核奖惩、工资福利，后勤保障、经费资产管理、基建和审计，接待、离退休人员服务，承办区政协主席、副主席、秘书长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机关自身建设、服务保障能力进一步提升。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加强区政协机关与专委会自身建设以及理论研究和宣传工作，扩大与省市政协办公厅，区委、区人大常委会、区政府办公室，区各民主党派、工商联、人民团体、区直有关部门和乡政协的联系、协调工作。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22.52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协机关的机构编制、人事任免、调配及人员培训、考核奖惩、工资福利，后勤保障、机关经费管理、资产管理、基建和审计，机关接待、离退休人员服务，以及承办区政协主席、副主席、秘书长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sectPr>
          <w:pgSz w:w="16838" w:h="11906" w:orient="landscape"/>
          <w:pgMar w:top="1797" w:right="1440" w:bottom="1797" w:left="1440" w:header="851" w:footer="992" w:gutter="0"/>
          <w:cols w:space="425" w:num="1"/>
          <w:docGrid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rPr>
          <w:rFonts w:ascii="仿宋" w:hAnsi="仿宋" w:eastAsia="仿宋"/>
          <w:sz w:val="32"/>
          <w:szCs w:val="32"/>
        </w:rPr>
      </w:pPr>
      <w:r>
        <w:rPr>
          <w:rFonts w:ascii="仿宋" w:hAnsi="仿宋" w:eastAsia="仿宋"/>
          <w:sz w:val="32"/>
          <w:szCs w:val="32"/>
        </w:rPr>
        <w:t>2019年，我部门无政府采购预算，空表列示。</w:t>
      </w:r>
    </w:p>
    <w:p>
      <w:pPr>
        <w:spacing w:line="360" w:lineRule="auto"/>
        <w:rPr>
          <w:rFonts w:ascii="仿宋" w:hAnsi="仿宋" w:eastAsia="仿宋"/>
          <w:sz w:val="32"/>
          <w:szCs w:val="32"/>
        </w:rPr>
      </w:pPr>
      <w:r>
        <w:rPr>
          <w:rFonts w:hint="eastAsia" w:ascii="仿宋" w:hAnsi="仿宋" w:eastAsia="仿宋"/>
          <w:sz w:val="32"/>
          <w:szCs w:val="32"/>
        </w:rPr>
        <w:t>下附部门政府采购预算表空表。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pgSz w:w="11906" w:h="16838"/>
          <w:pgMar w:top="1440" w:right="1797" w:bottom="1440" w:left="1797" w:header="851" w:footer="992" w:gutter="0"/>
          <w:cols w:space="425" w:num="1"/>
          <w:docGrid w:linePitch="312" w:charSpace="0"/>
        </w:sectPr>
      </w:pPr>
    </w:p>
    <w:tbl>
      <w:tblPr>
        <w:tblStyle w:val="11"/>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vMerge w:val="continue"/>
          </w:tcPr>
          <w:p/>
        </w:tc>
        <w:tc>
          <w:tcPr>
            <w:vMerge w:val="continue"/>
          </w:tcPr>
          <w:p/>
        </w:tc>
        <w:tc>
          <w:tcPr>
            <w:vMerge w:val="continue"/>
          </w:tcPr>
          <w:p/>
        </w:tc>
        <w:tc>
          <w:tcPr>
            <w:vMerge w:val="continue"/>
          </w:tcPr>
          <w:p/>
        </w:tc>
        <w:tc>
          <w:tcPr>
            <w:vMerge w:val="continue"/>
          </w:tc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rPr>
          <w:rFonts w:ascii="仿宋" w:hAnsi="仿宋" w:eastAsia="仿宋"/>
          <w:sz w:val="32"/>
          <w:szCs w:val="32"/>
        </w:rPr>
      </w:pPr>
      <w:r>
        <w:rPr>
          <w:rFonts w:hint="eastAsia" w:ascii="仿宋" w:hAnsi="仿宋" w:eastAsia="仿宋"/>
          <w:sz w:val="32"/>
          <w:szCs w:val="32"/>
        </w:rPr>
        <w:t>上年末我部门固定资产总金额为97.69万元（详见下表）。</w:t>
      </w:r>
    </w:p>
    <w:p>
      <w:pPr>
        <w:spacing w:line="360" w:lineRule="auto"/>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11"/>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97.69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72.75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24.94</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3"/>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5ZTY4OGU2ZTJlMzY0MTVlZGQ3NDZmYmYzNmMwZWIifQ=="/>
  </w:docVars>
  <w:rsids>
    <w:rsidRoot w:val="00055F1F"/>
    <w:rsid w:val="00013B8A"/>
    <w:rsid w:val="00044FBC"/>
    <w:rsid w:val="00055F1F"/>
    <w:rsid w:val="00057F18"/>
    <w:rsid w:val="000655C6"/>
    <w:rsid w:val="000A445D"/>
    <w:rsid w:val="00131DEC"/>
    <w:rsid w:val="001462BD"/>
    <w:rsid w:val="00152380"/>
    <w:rsid w:val="001638BE"/>
    <w:rsid w:val="00181777"/>
    <w:rsid w:val="001B4688"/>
    <w:rsid w:val="001F4875"/>
    <w:rsid w:val="002918C6"/>
    <w:rsid w:val="00296524"/>
    <w:rsid w:val="002A2725"/>
    <w:rsid w:val="002E01F6"/>
    <w:rsid w:val="002F530F"/>
    <w:rsid w:val="00305E97"/>
    <w:rsid w:val="0032782B"/>
    <w:rsid w:val="00340B3D"/>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F3C52"/>
    <w:rsid w:val="004F6EB0"/>
    <w:rsid w:val="00510A1E"/>
    <w:rsid w:val="00570142"/>
    <w:rsid w:val="005B1B6F"/>
    <w:rsid w:val="005B6CCB"/>
    <w:rsid w:val="005C54AA"/>
    <w:rsid w:val="005C7B89"/>
    <w:rsid w:val="005F62DE"/>
    <w:rsid w:val="0062788A"/>
    <w:rsid w:val="00641F8A"/>
    <w:rsid w:val="006974FA"/>
    <w:rsid w:val="006C62DF"/>
    <w:rsid w:val="006F5104"/>
    <w:rsid w:val="00735B02"/>
    <w:rsid w:val="007657C8"/>
    <w:rsid w:val="00771E49"/>
    <w:rsid w:val="00782208"/>
    <w:rsid w:val="007C7FD7"/>
    <w:rsid w:val="007F3746"/>
    <w:rsid w:val="00833132"/>
    <w:rsid w:val="00843DFE"/>
    <w:rsid w:val="008672EA"/>
    <w:rsid w:val="00891680"/>
    <w:rsid w:val="008A0B5F"/>
    <w:rsid w:val="008B5402"/>
    <w:rsid w:val="00902F6C"/>
    <w:rsid w:val="0090527E"/>
    <w:rsid w:val="00905BB7"/>
    <w:rsid w:val="00912DA4"/>
    <w:rsid w:val="009302B8"/>
    <w:rsid w:val="009305C6"/>
    <w:rsid w:val="00982F3D"/>
    <w:rsid w:val="00A8079E"/>
    <w:rsid w:val="00A92D66"/>
    <w:rsid w:val="00AA4262"/>
    <w:rsid w:val="00AB5A90"/>
    <w:rsid w:val="00AE4AA5"/>
    <w:rsid w:val="00AE7FA9"/>
    <w:rsid w:val="00B147EB"/>
    <w:rsid w:val="00B80FAB"/>
    <w:rsid w:val="00B81C88"/>
    <w:rsid w:val="00BA0A5F"/>
    <w:rsid w:val="00BA5C83"/>
    <w:rsid w:val="00BC6A7D"/>
    <w:rsid w:val="00BD719F"/>
    <w:rsid w:val="00C177A5"/>
    <w:rsid w:val="00C6153C"/>
    <w:rsid w:val="00CC7D74"/>
    <w:rsid w:val="00D02F97"/>
    <w:rsid w:val="00D45530"/>
    <w:rsid w:val="00DA5DA7"/>
    <w:rsid w:val="00DE3935"/>
    <w:rsid w:val="00E2325B"/>
    <w:rsid w:val="00E24075"/>
    <w:rsid w:val="00E35F38"/>
    <w:rsid w:val="00E46F27"/>
    <w:rsid w:val="00E509CC"/>
    <w:rsid w:val="00E50EB8"/>
    <w:rsid w:val="00E71A04"/>
    <w:rsid w:val="00E96342"/>
    <w:rsid w:val="00EF5F3C"/>
    <w:rsid w:val="00F000B1"/>
    <w:rsid w:val="00F012D3"/>
    <w:rsid w:val="00F10D04"/>
    <w:rsid w:val="00F572CB"/>
    <w:rsid w:val="00F621AF"/>
    <w:rsid w:val="00F82447"/>
    <w:rsid w:val="00FB2F32"/>
    <w:rsid w:val="00FB5ED5"/>
    <w:rsid w:val="00FE0F1F"/>
    <w:rsid w:val="00FF61F3"/>
    <w:rsid w:val="2A1054C3"/>
    <w:rsid w:val="5206081C"/>
    <w:rsid w:val="5D286169"/>
    <w:rsid w:val="5D2C57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等线" w:hAnsiTheme="minorHAnsi" w:eastAsiaTheme="minorEastAsia" w:cstheme="minorBidi"/>
    </w:rPr>
  </w:style>
  <w:style w:type="paragraph" w:styleId="2">
    <w:name w:val="heading 1"/>
    <w:basedOn w:val="1"/>
    <w:next w:val="1"/>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uiPriority w:val="0"/>
    <w:pPr>
      <w:spacing w:before="200"/>
    </w:pPr>
    <w:rPr>
      <w:b/>
      <w:color w:val="4F81BD"/>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uiPriority w:val="0"/>
    <w:rPr>
      <w:i/>
      <w:color w:val="4F81BD"/>
      <w:sz w:val="24"/>
    </w:rPr>
  </w:style>
  <w:style w:type="paragraph" w:styleId="9">
    <w:name w:val="footnote text"/>
    <w:basedOn w:val="1"/>
    <w:link w:val="18"/>
    <w:semiHidden/>
    <w:unhideWhenUsed/>
    <w:uiPriority w:val="99"/>
    <w:pPr>
      <w:snapToGrid w:val="0"/>
      <w:jc w:val="left"/>
    </w:pPr>
    <w:rPr>
      <w:rFonts w:ascii="Calibri" w:hAnsi="Calibri" w:eastAsia="宋体" w:cs="Times New Roman"/>
      <w:sz w:val="18"/>
      <w:szCs w:val="18"/>
    </w:rPr>
  </w:style>
  <w:style w:type="paragraph" w:styleId="10">
    <w:name w:val="Title"/>
    <w:basedOn w:val="1"/>
    <w:uiPriority w:val="0"/>
    <w:pPr>
      <w:spacing w:after="300"/>
    </w:pPr>
    <w:rPr>
      <w:color w:val="17365D"/>
      <w:sz w:val="52"/>
    </w:rPr>
  </w:style>
  <w:style w:type="character" w:styleId="13">
    <w:name w:val="footnote reference"/>
    <w:semiHidden/>
    <w:unhideWhenUsed/>
    <w:qFormat/>
    <w:uiPriority w:val="99"/>
    <w:rPr>
      <w:vertAlign w:val="superscript"/>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批注框文本 Char"/>
    <w:basedOn w:val="12"/>
    <w:link w:val="5"/>
    <w:semiHidden/>
    <w:uiPriority w:val="99"/>
    <w:rPr>
      <w:sz w:val="18"/>
      <w:szCs w:val="18"/>
    </w:rPr>
  </w:style>
  <w:style w:type="paragraph" w:customStyle="1" w:styleId="17">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8">
    <w:name w:val="脚注文本 Char"/>
    <w:basedOn w:val="12"/>
    <w:link w:val="9"/>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C1578-39CC-4FD0-969F-2793B59A5BD9}">
  <ds:schemaRefs/>
</ds:datastoreItem>
</file>

<file path=docProps/app.xml><?xml version="1.0" encoding="utf-8"?>
<Properties xmlns="http://schemas.openxmlformats.org/officeDocument/2006/extended-properties" xmlns:vt="http://schemas.openxmlformats.org/officeDocument/2006/docPropsVTypes">
  <Template>Normal</Template>
  <Pages>13</Pages>
  <Words>720</Words>
  <Characters>4109</Characters>
  <Lines>34</Lines>
  <Paragraphs>9</Paragraphs>
  <TotalTime>445</TotalTime>
  <ScaleCrop>false</ScaleCrop>
  <LinksUpToDate>false</LinksUpToDate>
  <CharactersWithSpaces>4820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2024-06-04T06:46:46Z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2ECCE9D085F040E8B03B53DC6F14583D_12</vt:lpwstr>
  </property>
</Properties>
</file>