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宋体" w:hAnsi="宋体" w:eastAsia="宋体"/>
          <w:b/>
          <w:sz w:val="44"/>
          <w:szCs w:val="44"/>
          <w:lang w:val="en-US" w:eastAsia="zh-CN"/>
        </w:rPr>
      </w:pPr>
      <w:r>
        <w:rPr>
          <w:rFonts w:hint="eastAsia" w:ascii="宋体" w:hAnsi="宋体" w:eastAsia="宋体"/>
          <w:b/>
          <w:sz w:val="44"/>
          <w:szCs w:val="44"/>
        </w:rPr>
        <w:t>保定市徐水区</w:t>
      </w:r>
      <w:r>
        <w:rPr>
          <w:rFonts w:hint="eastAsia" w:ascii="宋体" w:hAnsi="宋体" w:eastAsia="宋体"/>
          <w:b/>
          <w:sz w:val="44"/>
          <w:szCs w:val="44"/>
          <w:lang w:val="en-US" w:eastAsia="zh-CN"/>
        </w:rPr>
        <w:t>委党校</w:t>
      </w:r>
    </w:p>
    <w:p>
      <w:pPr>
        <w:spacing w:line="360" w:lineRule="auto"/>
        <w:jc w:val="center"/>
        <w:rPr>
          <w:rFonts w:ascii="宋体" w:hAnsi="宋体" w:eastAsia="宋体"/>
          <w:b/>
          <w:sz w:val="44"/>
          <w:szCs w:val="44"/>
        </w:rPr>
      </w:pPr>
      <w:r>
        <w:rPr>
          <w:rFonts w:ascii="宋体" w:hAnsi="宋体" w:eastAsia="宋体"/>
          <w:b/>
          <w:sz w:val="44"/>
          <w:szCs w:val="44"/>
        </w:rPr>
        <w:t>2020年部门预算公开说明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r>
        <w:rPr>
          <w:rFonts w:hint="eastAsia" w:ascii="仿宋" w:hAnsi="仿宋" w:eastAsia="仿宋"/>
          <w:sz w:val="32"/>
          <w:szCs w:val="32"/>
        </w:rPr>
        <w:t>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bookmarkStart w:id="5" w:name="_GoBack"/>
      <w:bookmarkEnd w:id="5"/>
    </w:p>
    <w:p>
      <w:pPr>
        <w:ind w:firstLine="640" w:firstLineChars="200"/>
        <w:rPr>
          <w:rFonts w:ascii="仿宋" w:hAnsi="仿宋" w:eastAsia="仿宋"/>
          <w:sz w:val="32"/>
          <w:szCs w:val="32"/>
        </w:rPr>
      </w:pPr>
      <w:r>
        <w:rPr>
          <w:rFonts w:hint="eastAsia" w:ascii="仿宋" w:hAnsi="仿宋" w:eastAsia="仿宋" w:cs="仿宋"/>
          <w:sz w:val="32"/>
          <w:szCs w:val="32"/>
        </w:rPr>
        <w:t>根据区委关于建设高素质干部队伍的要求，有计划地培训、轮训党员领导干部和宣传骨干；结合全区经济社会发展实际，以研讨中央重大理论和方针、政策问题为目的，举办各种专题研讨班</w:t>
      </w:r>
      <w:r>
        <w:rPr>
          <w:rFonts w:ascii="仿宋" w:hAnsi="仿宋" w:eastAsia="仿宋" w:cs="仿宋"/>
          <w:sz w:val="32"/>
          <w:szCs w:val="32"/>
        </w:rPr>
        <w:t>;</w:t>
      </w:r>
      <w:r>
        <w:rPr>
          <w:rFonts w:hint="eastAsia" w:ascii="仿宋" w:hAnsi="仿宋" w:eastAsia="仿宋" w:cs="仿宋"/>
          <w:sz w:val="32"/>
          <w:szCs w:val="32"/>
        </w:rPr>
        <w:t>利用教学资源进行干部短期培训.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hint="default" w:ascii="仿宋_GB2312" w:hAnsi="仿宋" w:eastAsia="仿宋_GB2312"/>
                <w:bCs/>
                <w:sz w:val="24"/>
                <w:szCs w:val="24"/>
                <w:lang w:val="en-US" w:eastAsia="zh-CN"/>
              </w:rPr>
            </w:pPr>
            <w:r>
              <w:rPr>
                <w:rFonts w:hint="eastAsia" w:ascii="仿宋_GB2312" w:hAnsi="仿宋" w:eastAsia="仿宋_GB2312"/>
                <w:bCs/>
                <w:sz w:val="24"/>
                <w:szCs w:val="24"/>
                <w:lang w:val="en-US" w:eastAsia="zh-CN"/>
              </w:rPr>
              <w:t>中共保定市徐水区委党校</w:t>
            </w:r>
          </w:p>
        </w:tc>
        <w:tc>
          <w:tcPr>
            <w:tcW w:w="1701" w:type="dxa"/>
            <w:vAlign w:val="center"/>
          </w:tcPr>
          <w:p>
            <w:pPr>
              <w:jc w:val="center"/>
              <w:rPr>
                <w:rFonts w:ascii="仿宋_GB2312" w:hAnsi="仿宋" w:eastAsia="仿宋_GB2312" w:cstheme="minorBidi"/>
                <w:bCs/>
                <w:kern w:val="2"/>
                <w:sz w:val="24"/>
                <w:szCs w:val="24"/>
                <w:lang w:val="en-US" w:eastAsia="zh-CN" w:bidi="ar-SA"/>
              </w:rPr>
            </w:pPr>
            <w:r>
              <w:rPr>
                <w:rFonts w:hint="eastAsia" w:ascii="仿宋_GB2312" w:hAnsi="仿宋" w:eastAsia="仿宋_GB2312"/>
                <w:bCs/>
                <w:sz w:val="24"/>
                <w:szCs w:val="24"/>
              </w:rPr>
              <w:t>事业</w:t>
            </w:r>
          </w:p>
        </w:tc>
        <w:tc>
          <w:tcPr>
            <w:tcW w:w="1418" w:type="dxa"/>
            <w:vAlign w:val="center"/>
          </w:tcPr>
          <w:p>
            <w:pPr>
              <w:jc w:val="center"/>
              <w:rPr>
                <w:rFonts w:hint="default" w:ascii="仿宋_GB2312" w:hAnsi="仿宋" w:eastAsia="仿宋_GB2312" w:cstheme="minorBidi"/>
                <w:bCs/>
                <w:kern w:val="2"/>
                <w:sz w:val="24"/>
                <w:szCs w:val="24"/>
                <w:lang w:val="en-US" w:eastAsia="zh-CN" w:bidi="ar-SA"/>
              </w:rPr>
            </w:pPr>
            <w:r>
              <w:rPr>
                <w:rFonts w:hint="eastAsia" w:ascii="仿宋_GB2312" w:hAnsi="仿宋" w:eastAsia="仿宋_GB2312" w:cstheme="minorBidi"/>
                <w:bCs/>
                <w:kern w:val="2"/>
                <w:sz w:val="24"/>
                <w:szCs w:val="24"/>
                <w:lang w:val="en-US" w:eastAsia="zh-CN" w:bidi="ar-SA"/>
              </w:rPr>
              <w:t>正科</w:t>
            </w:r>
          </w:p>
        </w:tc>
        <w:tc>
          <w:tcPr>
            <w:tcW w:w="3260" w:type="dxa"/>
            <w:vAlign w:val="center"/>
          </w:tcPr>
          <w:p>
            <w:pPr>
              <w:jc w:val="center"/>
              <w:rPr>
                <w:rFonts w:ascii="仿宋_GB2312" w:hAnsi="仿宋" w:eastAsia="仿宋_GB2312" w:cstheme="minorBidi"/>
                <w:bCs/>
                <w:kern w:val="2"/>
                <w:sz w:val="24"/>
                <w:szCs w:val="24"/>
                <w:lang w:val="en-US" w:eastAsia="zh-CN" w:bidi="ar-SA"/>
              </w:rPr>
            </w:pPr>
            <w:r>
              <w:rPr>
                <w:rFonts w:hint="eastAsia" w:ascii="仿宋_GB2312" w:hAnsi="仿宋" w:eastAsia="仿宋_GB2312"/>
                <w:bCs/>
                <w:sz w:val="24"/>
                <w:szCs w:val="24"/>
              </w:rPr>
              <w:t>财政性资金基本保证</w:t>
            </w:r>
          </w:p>
        </w:tc>
      </w:tr>
    </w:tbl>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2020年预算收入为</w:t>
      </w:r>
      <w:r>
        <w:rPr>
          <w:rFonts w:hint="eastAsia" w:ascii="仿宋" w:hAnsi="仿宋" w:eastAsia="仿宋"/>
          <w:sz w:val="32"/>
          <w:szCs w:val="32"/>
          <w:lang w:val="en-US" w:eastAsia="zh-CN"/>
        </w:rPr>
        <w:t>282.72</w:t>
      </w:r>
      <w:r>
        <w:rPr>
          <w:rFonts w:ascii="仿宋" w:hAnsi="仿宋" w:eastAsia="仿宋"/>
          <w:sz w:val="32"/>
          <w:szCs w:val="32"/>
        </w:rPr>
        <w:t>万元,其中：一般公共预算收入</w:t>
      </w:r>
      <w:r>
        <w:rPr>
          <w:rFonts w:hint="eastAsia" w:ascii="仿宋" w:hAnsi="仿宋" w:eastAsia="仿宋"/>
          <w:sz w:val="32"/>
          <w:szCs w:val="32"/>
          <w:lang w:val="en-US" w:eastAsia="zh-CN"/>
        </w:rPr>
        <w:t>282.72</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2020年部门支出预算：</w:t>
      </w:r>
      <w:r>
        <w:rPr>
          <w:rFonts w:hint="eastAsia" w:ascii="仿宋" w:hAnsi="仿宋" w:eastAsia="仿宋"/>
          <w:sz w:val="32"/>
          <w:szCs w:val="32"/>
          <w:lang w:val="en-US" w:eastAsia="zh-CN"/>
        </w:rPr>
        <w:t>282.72</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hint="eastAsia" w:ascii="仿宋" w:hAnsi="仿宋" w:eastAsia="仿宋"/>
          <w:sz w:val="32"/>
          <w:szCs w:val="32"/>
          <w:lang w:val="en-US" w:eastAsia="zh-CN"/>
        </w:rPr>
        <w:t>277.92</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lang w:val="en-US" w:eastAsia="zh-CN"/>
        </w:rPr>
        <w:t>251.81</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lang w:val="en-US" w:eastAsia="zh-CN"/>
        </w:rPr>
        <w:t>26.11</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lang w:val="en-US" w:eastAsia="zh-CN"/>
        </w:rPr>
        <w:t>4.8</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lang w:val="en-US" w:eastAsia="zh-CN"/>
        </w:rPr>
        <w:t>4.8</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hint="eastAsia" w:ascii="仿宋" w:hAnsi="仿宋" w:eastAsia="仿宋"/>
          <w:sz w:val="32"/>
          <w:szCs w:val="32"/>
          <w:lang w:val="en-US" w:eastAsia="zh-CN"/>
        </w:rPr>
        <w:t>282.72</w:t>
      </w:r>
      <w:r>
        <w:rPr>
          <w:rFonts w:hint="eastAsia" w:ascii="仿宋" w:hAnsi="仿宋" w:eastAsia="仿宋"/>
          <w:sz w:val="32"/>
          <w:szCs w:val="32"/>
        </w:rPr>
        <w:t>万元，较上年</w:t>
      </w:r>
      <w:r>
        <w:rPr>
          <w:rFonts w:ascii="仿宋" w:hAnsi="仿宋" w:eastAsia="仿宋"/>
          <w:sz w:val="32"/>
          <w:szCs w:val="32"/>
        </w:rPr>
        <w:t>减少</w:t>
      </w:r>
      <w:r>
        <w:rPr>
          <w:rFonts w:hint="eastAsia" w:ascii="仿宋" w:hAnsi="仿宋" w:eastAsia="仿宋"/>
          <w:sz w:val="32"/>
          <w:szCs w:val="32"/>
          <w:lang w:val="en-US" w:eastAsia="zh-CN"/>
        </w:rPr>
        <w:t>81.48</w:t>
      </w:r>
      <w:r>
        <w:rPr>
          <w:rFonts w:ascii="仿宋" w:hAnsi="仿宋" w:eastAsia="仿宋"/>
          <w:sz w:val="32"/>
          <w:szCs w:val="32"/>
        </w:rPr>
        <w:t>万元。其中:基本支出减少</w:t>
      </w:r>
      <w:r>
        <w:rPr>
          <w:rFonts w:hint="eastAsia" w:ascii="仿宋" w:hAnsi="仿宋" w:eastAsia="仿宋"/>
          <w:sz w:val="32"/>
          <w:szCs w:val="32"/>
          <w:lang w:val="en-US" w:eastAsia="zh-CN"/>
        </w:rPr>
        <w:t>81.48</w:t>
      </w:r>
      <w:r>
        <w:rPr>
          <w:rFonts w:ascii="仿宋" w:hAnsi="仿宋" w:eastAsia="仿宋"/>
          <w:sz w:val="32"/>
          <w:szCs w:val="32"/>
        </w:rPr>
        <w:t>万元，主要原因是是</w:t>
      </w:r>
      <w:r>
        <w:rPr>
          <w:rFonts w:hint="eastAsia" w:ascii="仿宋" w:hAnsi="仿宋" w:eastAsia="仿宋"/>
          <w:sz w:val="32"/>
          <w:szCs w:val="32"/>
        </w:rPr>
        <w:t>2020年</w:t>
      </w:r>
      <w:r>
        <w:rPr>
          <w:rFonts w:ascii="仿宋" w:hAnsi="仿宋" w:eastAsia="仿宋"/>
          <w:sz w:val="32"/>
          <w:szCs w:val="32"/>
        </w:rPr>
        <w:t>财政压</w:t>
      </w:r>
      <w:r>
        <w:rPr>
          <w:rFonts w:hint="eastAsia" w:ascii="仿宋" w:hAnsi="仿宋" w:eastAsia="仿宋"/>
          <w:sz w:val="32"/>
          <w:szCs w:val="32"/>
        </w:rPr>
        <w:t>减</w:t>
      </w:r>
      <w:r>
        <w:rPr>
          <w:rFonts w:ascii="仿宋" w:hAnsi="仿宋" w:eastAsia="仿宋"/>
          <w:sz w:val="32"/>
          <w:szCs w:val="32"/>
        </w:rPr>
        <w:t>各单位支出；项目支出增加</w:t>
      </w:r>
      <w:r>
        <w:rPr>
          <w:rFonts w:hint="eastAsia" w:ascii="仿宋" w:hAnsi="仿宋" w:eastAsia="仿宋"/>
          <w:sz w:val="32"/>
          <w:szCs w:val="32"/>
          <w:lang w:val="en-US" w:eastAsia="zh-CN"/>
        </w:rPr>
        <w:t>0</w:t>
      </w:r>
      <w:r>
        <w:rPr>
          <w:rFonts w:ascii="仿宋" w:hAnsi="仿宋" w:eastAsia="仿宋"/>
          <w:sz w:val="32"/>
          <w:szCs w:val="32"/>
        </w:rPr>
        <w:t>万元，主要原因是</w:t>
      </w:r>
      <w:r>
        <w:rPr>
          <w:rFonts w:hint="eastAsia" w:ascii="仿宋" w:hAnsi="仿宋" w:eastAsia="仿宋"/>
          <w:sz w:val="32"/>
          <w:szCs w:val="32"/>
          <w:lang w:val="en-US" w:eastAsia="zh-CN"/>
        </w:rPr>
        <w:t>本年度保安服务项目与上年预算相同</w:t>
      </w:r>
      <w:r>
        <w:rPr>
          <w:rFonts w:ascii="仿宋" w:hAnsi="仿宋" w:eastAsia="仿宋"/>
          <w:sz w:val="32"/>
          <w:szCs w:val="32"/>
        </w:rPr>
        <w:t>。</w:t>
      </w: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2020年我部门机关运行经费安排</w:t>
      </w:r>
      <w:r>
        <w:rPr>
          <w:rFonts w:hint="eastAsia" w:ascii="仿宋" w:hAnsi="仿宋" w:eastAsia="仿宋"/>
          <w:sz w:val="32"/>
          <w:szCs w:val="32"/>
          <w:lang w:val="en-US" w:eastAsia="zh-CN"/>
        </w:rPr>
        <w:t>26.11</w:t>
      </w:r>
      <w:r>
        <w:rPr>
          <w:rFonts w:ascii="仿宋" w:hAnsi="仿宋" w:eastAsia="仿宋"/>
          <w:sz w:val="32"/>
          <w:szCs w:val="32"/>
        </w:rPr>
        <w:t>万元，其中办公费</w:t>
      </w:r>
      <w:r>
        <w:rPr>
          <w:rFonts w:hint="eastAsia" w:ascii="仿宋" w:hAnsi="仿宋" w:eastAsia="仿宋"/>
          <w:sz w:val="32"/>
          <w:szCs w:val="32"/>
          <w:lang w:val="en-US" w:eastAsia="zh-CN"/>
        </w:rPr>
        <w:t>5.45</w:t>
      </w:r>
      <w:r>
        <w:rPr>
          <w:rFonts w:ascii="仿宋" w:hAnsi="仿宋" w:eastAsia="仿宋"/>
          <w:sz w:val="32"/>
          <w:szCs w:val="32"/>
        </w:rPr>
        <w:t>万元，邮电费</w:t>
      </w:r>
      <w:r>
        <w:rPr>
          <w:rFonts w:hint="eastAsia" w:ascii="仿宋" w:hAnsi="仿宋" w:eastAsia="仿宋"/>
          <w:sz w:val="32"/>
          <w:szCs w:val="32"/>
          <w:lang w:val="en-US" w:eastAsia="zh-CN"/>
        </w:rPr>
        <w:t>3.6</w:t>
      </w:r>
      <w:r>
        <w:rPr>
          <w:rFonts w:ascii="仿宋" w:hAnsi="仿宋" w:eastAsia="仿宋"/>
          <w:sz w:val="32"/>
          <w:szCs w:val="32"/>
        </w:rPr>
        <w:t>万元，工会经费、福利费</w:t>
      </w:r>
      <w:r>
        <w:rPr>
          <w:rFonts w:hint="eastAsia" w:ascii="仿宋" w:hAnsi="仿宋" w:eastAsia="仿宋"/>
          <w:sz w:val="32"/>
          <w:szCs w:val="32"/>
          <w:lang w:val="en-US" w:eastAsia="zh-CN"/>
        </w:rPr>
        <w:t>5.3</w:t>
      </w:r>
      <w:r>
        <w:rPr>
          <w:rFonts w:ascii="仿宋" w:hAnsi="仿宋" w:eastAsia="仿宋"/>
          <w:sz w:val="32"/>
          <w:szCs w:val="32"/>
        </w:rPr>
        <w:t>万元，公务用车运行维护费</w:t>
      </w:r>
      <w:r>
        <w:rPr>
          <w:rFonts w:hint="eastAsia" w:ascii="仿宋" w:hAnsi="仿宋" w:eastAsia="仿宋"/>
          <w:sz w:val="32"/>
          <w:szCs w:val="32"/>
          <w:lang w:val="en-US" w:eastAsia="zh-CN"/>
        </w:rPr>
        <w:t>3</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lang w:val="en-US" w:eastAsia="zh-CN"/>
        </w:rPr>
        <w:t>1.71</w:t>
      </w:r>
      <w:r>
        <w:rPr>
          <w:rFonts w:ascii="仿宋" w:hAnsi="仿宋" w:eastAsia="仿宋"/>
          <w:sz w:val="32"/>
          <w:szCs w:val="32"/>
        </w:rPr>
        <w:t>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hint="eastAsia"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2019</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val="en-US" w:eastAsia="zh-CN"/>
                    </w:rPr>
                    <w:t>3</w:t>
                  </w:r>
                </w:p>
              </w:tc>
              <w:tc>
                <w:tcPr>
                  <w:tcW w:w="141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val="en-US" w:eastAsia="zh-CN"/>
                    </w:rPr>
                    <w:t>3</w:t>
                  </w: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val="en-US" w:eastAsia="zh-CN"/>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0</w:t>
                  </w:r>
                </w:p>
              </w:tc>
              <w:tc>
                <w:tcPr>
                  <w:tcW w:w="141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0</w:t>
                  </w: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val="en-US" w:eastAsia="zh-CN"/>
                    </w:rPr>
                    <w:t>3</w:t>
                  </w:r>
                </w:p>
              </w:tc>
              <w:tc>
                <w:tcPr>
                  <w:tcW w:w="141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val="en-US" w:eastAsia="zh-CN"/>
                    </w:rPr>
                    <w:t>3</w:t>
                  </w: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val="en-US" w:eastAsia="zh-CN"/>
                    </w:rPr>
                    <w:t>3</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jc w:val="center"/>
        <w:outlineLvl w:val="0"/>
        <w:rPr>
          <w:rFonts w:hint="eastAsia" w:ascii="Times New Roman" w:hAnsi="宋体" w:eastAsia="宋体"/>
          <w:sz w:val="44"/>
        </w:rPr>
      </w:pPr>
      <w:r>
        <w:rPr>
          <w:rFonts w:hint="eastAsia" w:ascii="方正小标宋_GBK" w:eastAsia="方正小标宋_GBK"/>
          <w:sz w:val="44"/>
        </w:rPr>
        <w:t>部门整体绩效目标</w:t>
      </w:r>
    </w:p>
    <w:p>
      <w:pPr>
        <w:jc w:val="center"/>
        <w:rPr>
          <w:rFonts w:ascii="Times New Roman" w:hAnsi="宋体" w:eastAsia="宋体"/>
          <w:sz w:val="44"/>
        </w:rPr>
      </w:pPr>
      <w:r>
        <w:rPr>
          <w:rFonts w:ascii="方正小标宋_GBK" w:eastAsia="方正小标宋_GBK"/>
          <w:sz w:val="44"/>
        </w:rPr>
        <w:t xml:space="preserve"> </w:t>
      </w:r>
    </w:p>
    <w:p>
      <w:pPr>
        <w:ind w:firstLine="560" w:firstLineChars="200"/>
        <w:jc w:val="left"/>
        <w:outlineLvl w:val="1"/>
        <w:rPr>
          <w:rFonts w:ascii="Times New Roman" w:hAnsi="宋体" w:eastAsia="宋体"/>
          <w:sz w:val="28"/>
        </w:rPr>
      </w:pPr>
      <w:r>
        <w:rPr>
          <w:rFonts w:hint="eastAsia" w:ascii="方正黑体_GBK" w:eastAsia="方正黑体_GBK"/>
          <w:sz w:val="28"/>
        </w:rPr>
        <w:t>一、总体绩效目标</w:t>
      </w:r>
      <w: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w:instrText>
      </w:r>
      <w:bookmarkStart w:id="0" w:name="_Toc31789723"/>
      <w:r>
        <w:rPr>
          <w:rFonts w:hint="eastAsia" w:ascii="方正黑体_GBK" w:eastAsia="方正黑体_GBK"/>
          <w:sz w:val="28"/>
        </w:rPr>
        <w:instrText xml:space="preserve">总体绩效目标</w:instrText>
      </w:r>
      <w:bookmarkEnd w:id="0"/>
      <w:r>
        <w:rPr>
          <w:rFonts w:hint="eastAsia" w:ascii="方正黑体_GBK" w:eastAsia="方正黑体_GBK"/>
          <w:sz w:val="28"/>
        </w:rPr>
        <w:instrText xml:space="preserve"> \f A \l 1</w:instrText>
      </w:r>
      <w:r>
        <w:rPr>
          <w:rFonts w:ascii="方正黑体_GBK" w:eastAsia="方正黑体_GBK"/>
          <w:sz w:val="28"/>
        </w:rPr>
        <w:instrText xml:space="preserve">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2020年，区委党校将根据区委关于建设高素质干部队伍的要求，有计划地培训、轮训党员领导干部和宣传骨干；结合全区经济社会发展实际，以研讨中央重大理论和方针、政策问题为目的，举办各种专题研讨班;利用教学资源进行干部短期培训。</w:t>
      </w:r>
    </w:p>
    <w:p>
      <w:pPr>
        <w:spacing w:line="500" w:lineRule="exact"/>
        <w:ind w:firstLine="560" w:firstLineChars="200"/>
        <w:jc w:val="left"/>
        <w:rPr>
          <w:rFonts w:ascii="Times New Roman" w:eastAsia="方正仿宋_GBK"/>
          <w:sz w:val="28"/>
        </w:rPr>
      </w:pPr>
    </w:p>
    <w:p>
      <w:pPr>
        <w:spacing w:line="500" w:lineRule="exact"/>
        <w:ind w:firstLine="560" w:firstLineChars="200"/>
        <w:jc w:val="left"/>
        <w:outlineLvl w:val="1"/>
        <w:rPr>
          <w:rFonts w:ascii="Times New Roman" w:hAnsi="宋体" w:eastAsia="宋体"/>
          <w:sz w:val="28"/>
        </w:rPr>
      </w:pPr>
      <w:r>
        <w:rPr>
          <w:rFonts w:ascii="方正黑体_GBK" w:eastAsia="方正黑体_GBK"/>
          <w:sz w:val="28"/>
        </w:rPr>
        <w:t>二、分项绩效目标</w:t>
      </w:r>
      <w:r>
        <w:fldChar w:fldCharType="begin"/>
      </w:r>
      <w:r>
        <w:rPr>
          <w:rFonts w:ascii="方正黑体_GBK" w:eastAsia="方正黑体_GBK"/>
          <w:sz w:val="28"/>
        </w:rPr>
        <w:instrText xml:space="preserve"> TC </w:instrText>
      </w:r>
      <w:bookmarkStart w:id="1" w:name="_Toc31789724"/>
      <w:r>
        <w:rPr>
          <w:rFonts w:ascii="方正黑体_GBK" w:eastAsia="方正黑体_GBK"/>
          <w:sz w:val="28"/>
        </w:rPr>
        <w:instrText xml:space="preserve">分项绩效目标</w:instrText>
      </w:r>
      <w:bookmarkEnd w:id="1"/>
      <w:r>
        <w:rPr>
          <w:rFonts w:ascii="方正黑体_GBK" w:eastAsia="方正黑体_GBK"/>
          <w:sz w:val="28"/>
        </w:rPr>
        <w:instrText xml:space="preserve">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（一）加强校园安全保卫工作，保障公有财产安全。</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绩效目标：保障公有财产安全。</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绩效指标：每月对线路、楼体设备进行检查全年使用过程无故障，办公楼正常使用率达</w:t>
      </w:r>
      <w:r>
        <w:rPr>
          <w:rFonts w:ascii="Times New Roman" w:eastAsia="方正仿宋_GBK"/>
          <w:sz w:val="28"/>
        </w:rPr>
        <w:t>100%</w:t>
      </w:r>
      <w:r>
        <w:rPr>
          <w:rFonts w:hint="eastAsia" w:ascii="Times New Roman" w:hAnsi="微软雅黑" w:eastAsia="方正仿宋_GBK" w:cs="微软雅黑"/>
          <w:sz w:val="28"/>
        </w:rPr>
        <w:t>；师生满意度达到</w:t>
      </w:r>
      <w:r>
        <w:rPr>
          <w:rFonts w:ascii="Times New Roman" w:eastAsia="方正仿宋_GBK"/>
          <w:sz w:val="28"/>
        </w:rPr>
        <w:t>95%</w:t>
      </w:r>
      <w:r>
        <w:rPr>
          <w:rFonts w:hint="eastAsia" w:ascii="Times New Roman" w:hAnsi="微软雅黑" w:eastAsia="方正仿宋_GBK" w:cs="微软雅黑"/>
          <w:sz w:val="28"/>
        </w:rPr>
        <w:t>及以上。</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（二）加强校园安全保卫工作，维护正常教学秩序。</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绩效目标：通过指导、协调和督导保定建安保安公司，预防减少不稳定因素的发生，有效化解不稳定隐患、群体性事件和突发事件，全力做好校园安保工作，维护正常教学秩序，</w:t>
      </w:r>
      <w:r>
        <w:rPr>
          <w:rFonts w:ascii="Times New Roman" w:eastAsia="方正仿宋_GBK"/>
          <w:sz w:val="28"/>
        </w:rPr>
        <w:t xml:space="preserve"> </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绩效指标：重大活动突发事件能够完全控制；师生满意度达到</w:t>
      </w:r>
      <w:r>
        <w:rPr>
          <w:rFonts w:ascii="Times New Roman" w:eastAsia="方正仿宋_GBK"/>
          <w:sz w:val="28"/>
        </w:rPr>
        <w:t>95%</w:t>
      </w:r>
      <w:r>
        <w:rPr>
          <w:rFonts w:hint="eastAsia" w:ascii="Times New Roman" w:hAnsi="微软雅黑" w:eastAsia="方正仿宋_GBK" w:cs="微软雅黑"/>
          <w:sz w:val="28"/>
        </w:rPr>
        <w:t>及以上。资金支付到位率达</w:t>
      </w:r>
      <w:r>
        <w:rPr>
          <w:rFonts w:ascii="Times New Roman" w:eastAsia="方正仿宋_GBK"/>
          <w:sz w:val="28"/>
        </w:rPr>
        <w:t>100%</w:t>
      </w:r>
      <w:r>
        <w:rPr>
          <w:rFonts w:hint="eastAsia" w:ascii="Times New Roman" w:hAnsi="微软雅黑" w:eastAsia="方正仿宋_GBK" w:cs="微软雅黑"/>
          <w:sz w:val="28"/>
        </w:rPr>
        <w:t>，保障职工切身利益。</w:t>
      </w:r>
    </w:p>
    <w:p>
      <w:pPr>
        <w:spacing w:line="500" w:lineRule="exact"/>
        <w:ind w:firstLine="560" w:firstLineChars="200"/>
        <w:jc w:val="left"/>
        <w:rPr>
          <w:rFonts w:ascii="Times New Roman" w:eastAsia="方正仿宋_GBK"/>
          <w:sz w:val="28"/>
        </w:rPr>
      </w:pPr>
    </w:p>
    <w:p>
      <w:pPr>
        <w:spacing w:line="500" w:lineRule="exact"/>
        <w:ind w:firstLine="560" w:firstLineChars="200"/>
        <w:jc w:val="left"/>
        <w:outlineLvl w:val="1"/>
        <w:rPr>
          <w:rFonts w:ascii="Times New Roman" w:hAnsi="宋体" w:eastAsia="宋体"/>
          <w:sz w:val="28"/>
        </w:rPr>
      </w:pPr>
      <w:r>
        <w:rPr>
          <w:rFonts w:ascii="方正黑体_GBK" w:eastAsia="方正黑体_GBK"/>
          <w:sz w:val="28"/>
        </w:rPr>
        <w:t>三、工作保障措施</w:t>
      </w:r>
      <w:r>
        <w:fldChar w:fldCharType="begin"/>
      </w:r>
      <w:r>
        <w:rPr>
          <w:rFonts w:ascii="方正黑体_GBK" w:eastAsia="方正黑体_GBK"/>
          <w:sz w:val="28"/>
        </w:rPr>
        <w:instrText xml:space="preserve"> TC </w:instrText>
      </w:r>
      <w:bookmarkStart w:id="2" w:name="_Toc31789725"/>
      <w:r>
        <w:rPr>
          <w:rFonts w:ascii="方正黑体_GBK" w:eastAsia="方正黑体_GBK"/>
          <w:sz w:val="28"/>
        </w:rPr>
        <w:instrText xml:space="preserve">工作保障措施</w:instrText>
      </w:r>
      <w:bookmarkEnd w:id="2"/>
      <w:r>
        <w:rPr>
          <w:rFonts w:ascii="方正黑体_GBK" w:eastAsia="方正黑体_GBK"/>
          <w:sz w:val="28"/>
        </w:rPr>
        <w:instrText xml:space="preserve">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为充份履行我单位部门职责，年初绩效目标要求，采取下列几项措施。</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（一）完善制度建设，成立一把手任组长的项目领导小组，对项目进行全面管理。</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（二）加强支出管理，按季度对项目支出情况进行调度，确保资金支付到位。</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（三）加强绩效运行监控。按绩效运行要求，对办公楼使用情况进行实时监控，确保办公设施使用安全。</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（四）做好绩效自评工作。年末组织干部职工，部分群众进行满意度测评，确保项目运行效果。</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（五）规范财务资产管理。规范财务支出管理，确保资产管理规范。</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（六）加强内部监控。加强内部监督制度建设，对绩效运行情况、重大支出决策进行监督，对会计资料进行内部审计，并配合做好审计、财政监督等外部监督工作，确保财政资金安全有效</w:t>
      </w:r>
    </w:p>
    <w:p>
      <w:pPr>
        <w:spacing w:line="500" w:lineRule="exact"/>
        <w:ind w:firstLine="560" w:firstLineChars="200"/>
        <w:jc w:val="left"/>
        <w:rPr>
          <w:rFonts w:ascii="Times New Roman" w:hAnsi="宋体" w:eastAsia="宋体"/>
          <w:sz w:val="44"/>
        </w:rPr>
      </w:pPr>
      <w:r>
        <w:rPr>
          <w:rFonts w:hint="eastAsia" w:ascii="Times New Roman" w:hAnsi="宋体" w:eastAsia="方正仿宋_GBK" w:cs="宋体"/>
          <w:sz w:val="28"/>
        </w:rPr>
        <w:t>（七）加强宣传培训。制作安全警示牌，确保危房不发生安全事故，加大宣传力度，强化预算绩效管理意识，促进绩效管理水平进一步提高。</w:t>
      </w:r>
      <w:r>
        <w:rPr>
          <w:rFonts w:ascii="方正小标宋_GBK" w:eastAsia="方正小标宋_GBK"/>
          <w:sz w:val="44"/>
        </w:rPr>
        <w:t xml:space="preserve"> </w:t>
      </w:r>
    </w:p>
    <w:p>
      <w:pPr>
        <w:jc w:val="center"/>
        <w:outlineLvl w:val="0"/>
        <w:rPr>
          <w:rFonts w:hint="eastAsia" w:ascii="Times New Roman" w:hAnsi="宋体" w:eastAsia="宋体"/>
          <w:sz w:val="44"/>
        </w:rPr>
      </w:pPr>
      <w:r>
        <w:rPr>
          <w:rFonts w:hint="eastAsia" w:ascii="方正小标宋_GBK" w:eastAsia="方正小标宋_GBK"/>
          <w:sz w:val="44"/>
        </w:rPr>
        <w:t>预算项目绩效目标</w:t>
      </w:r>
    </w:p>
    <w:p>
      <w:pPr>
        <w:ind w:firstLine="562" w:firstLineChars="200"/>
        <w:jc w:val="left"/>
        <w:outlineLvl w:val="1"/>
        <w:rPr>
          <w:rFonts w:ascii="Times New Roman" w:hAnsi="宋体" w:eastAsia="宋体"/>
          <w:b/>
          <w:sz w:val="28"/>
        </w:rPr>
      </w:pPr>
      <w:r>
        <w:rPr>
          <w:rFonts w:ascii="方正仿宋_GBK" w:eastAsia="方正仿宋_GBK"/>
          <w:b/>
          <w:sz w:val="28"/>
        </w:rPr>
        <w:t>1、保安服务费绩效目标表</w:t>
      </w:r>
      <w:r>
        <w:fldChar w:fldCharType="begin"/>
      </w:r>
      <w:r>
        <w:rPr>
          <w:rFonts w:ascii="方正仿宋_GBK" w:eastAsia="方正仿宋_GBK"/>
          <w:b/>
          <w:sz w:val="28"/>
        </w:rPr>
        <w:instrText xml:space="preserve"> TC </w:instrText>
      </w:r>
      <w:bookmarkStart w:id="3" w:name="_Toc31789726"/>
      <w:r>
        <w:rPr>
          <w:rFonts w:ascii="方正仿宋_GBK" w:eastAsia="方正仿宋_GBK"/>
          <w:b/>
          <w:sz w:val="28"/>
        </w:rPr>
        <w:instrText xml:space="preserve">1、保安服务费绩效目标表</w:instrText>
      </w:r>
      <w:bookmarkEnd w:id="3"/>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281002党校（行政）</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281-0403-JXN-L1XC</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保安服务费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4.80</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4.80</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项目预算资金4.8万元，计划第四季度在11月底之前发放完毕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1、加强校园安全保卫工作，保障公有财产安全</w:t>
            </w:r>
          </w:p>
          <w:p>
            <w:pPr>
              <w:spacing w:line="300" w:lineRule="exact"/>
              <w:jc w:val="left"/>
              <w:rPr>
                <w:rFonts w:ascii="方正书宋_GBK" w:eastAsia="方正书宋_GBK"/>
              </w:rPr>
            </w:pPr>
            <w:r>
              <w:rPr>
                <w:rFonts w:ascii="方正书宋_GBK" w:eastAsia="方正书宋_GBK"/>
              </w:rPr>
              <w:t>2、加强校园安全保卫工作，维护正常教学秩序</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校园安全保卫工作</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办公楼正常使用率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师生满意度</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师生满意率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资金支付到位率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资金支付到位率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办公设施完整率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办公设施完整率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岗位工资到位率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工资发放到位率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提高社会对教育满意度</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参加培训学员满意率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教职工满意度</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教职工满意率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依据计划标准</w:t>
            </w:r>
          </w:p>
        </w:tc>
      </w:tr>
    </w:tbl>
    <w:p>
      <w:pPr>
        <w:spacing w:line="360" w:lineRule="auto"/>
        <w:ind w:firstLine="640" w:firstLineChars="200"/>
        <w:rPr>
          <w:rFonts w:hint="eastAsia" w:ascii="仿宋" w:hAnsi="仿宋" w:eastAsia="仿宋"/>
          <w:sz w:val="32"/>
          <w:szCs w:val="32"/>
        </w:rPr>
        <w:sectPr>
          <w:footerReference r:id="rId3" w:type="default"/>
          <w:pgSz w:w="11907" w:h="16839"/>
          <w:pgMar w:top="1984" w:right="1304" w:bottom="1134" w:left="1304" w:header="851" w:footer="992" w:gutter="0"/>
          <w:cols w:space="425" w:num="1"/>
          <w:docGrid w:type="lines" w:linePitch="312" w:charSpace="0"/>
        </w:sectPr>
      </w:pPr>
    </w:p>
    <w:p>
      <w:pPr>
        <w:rPr>
          <w:rFonts w:hint="eastAsia"/>
        </w:rPr>
      </w:pPr>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2020年，我部门无政府采购预算。</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附部门政府采购预算表空表。</w:t>
      </w:r>
    </w:p>
    <w:p>
      <w:pPr>
        <w:jc w:val="center"/>
        <w:outlineLvl w:val="1"/>
        <w:rPr>
          <w:rFonts w:ascii="Times New Roman" w:hAnsi="宋体" w:eastAsia="宋体"/>
          <w:sz w:val="32"/>
        </w:rPr>
      </w:pPr>
      <w:bookmarkStart w:id="4" w:name="_Toc69809617"/>
      <w:r>
        <w:rPr>
          <w:rFonts w:ascii="方正小标宋_GBK" w:eastAsia="方正小标宋_GBK"/>
          <w:sz w:val="32"/>
        </w:rPr>
        <w:t>部门政府采购预算</w:t>
      </w:r>
      <w:bookmarkEnd w:id="4"/>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w:t>
            </w:r>
            <w:r>
              <w:rPr>
                <w:rFonts w:hint="eastAsia" w:ascii="方正书宋_GBK" w:eastAsia="方正书宋_GBK"/>
                <w:sz w:val="24"/>
              </w:rPr>
              <w:t>万</w:t>
            </w:r>
            <w:r>
              <w:rPr>
                <w:rFonts w:ascii="方正书宋_GBK" w:eastAsia="方正书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709"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  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
      <w:pPr>
        <w:spacing w:line="360" w:lineRule="auto"/>
        <w:ind w:firstLine="643" w:firstLineChars="200"/>
        <w:rPr>
          <w:rFonts w:hint="eastAsia" w:ascii="仿宋" w:hAnsi="仿宋" w:eastAsia="仿宋"/>
          <w:b/>
          <w:sz w:val="32"/>
          <w:szCs w:val="32"/>
        </w:rPr>
      </w:pPr>
    </w:p>
    <w:p>
      <w:pPr>
        <w:spacing w:line="700" w:lineRule="exact"/>
        <w:jc w:val="left"/>
        <w:rPr>
          <w:rFonts w:ascii="方正小标宋_GBK" w:eastAsia="方正小标宋_GBK"/>
          <w:sz w:val="24"/>
        </w:rPr>
        <w:sectPr>
          <w:footerReference r:id="rId4" w:type="default"/>
          <w:pgSz w:w="16838" w:h="11906" w:orient="landscape"/>
          <w:pgMar w:top="1800" w:right="1440" w:bottom="1800" w:left="1440" w:header="851" w:footer="992" w:gutter="0"/>
          <w:cols w:space="425" w:num="1"/>
          <w:docGrid w:type="line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w:t>
      </w:r>
      <w:r>
        <w:rPr>
          <w:rFonts w:hint="eastAsia" w:ascii="仿宋" w:hAnsi="仿宋" w:eastAsia="仿宋"/>
          <w:sz w:val="32"/>
          <w:szCs w:val="32"/>
          <w:lang w:val="en-US" w:eastAsia="zh-CN"/>
        </w:rPr>
        <w:t>128</w:t>
      </w:r>
      <w:r>
        <w:rPr>
          <w:rFonts w:hint="eastAsia" w:ascii="仿宋" w:hAnsi="仿宋" w:eastAsia="仿宋"/>
          <w:sz w:val="32"/>
          <w:szCs w:val="32"/>
        </w:rPr>
        <w:t>万元（详见下表）。</w:t>
      </w:r>
      <w:r>
        <w:rPr>
          <w:rFonts w:hint="eastAsia" w:ascii="仿宋" w:hAnsi="仿宋" w:eastAsia="仿宋"/>
          <w:sz w:val="32"/>
          <w:szCs w:val="32"/>
          <w:lang w:val="en-US" w:eastAsia="zh-CN"/>
        </w:rPr>
        <w:t>我</w:t>
      </w:r>
      <w:r>
        <w:rPr>
          <w:rFonts w:hint="eastAsia" w:ascii="仿宋" w:hAnsi="仿宋" w:eastAsia="仿宋"/>
          <w:sz w:val="32"/>
          <w:szCs w:val="32"/>
        </w:rPr>
        <w:t>部门本年度无国有资产购置计划，拟购置金额为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kern w:val="0"/>
                <w:sz w:val="28"/>
                <w:szCs w:val="28"/>
              </w:rPr>
              <w:t>2019</w:t>
            </w:r>
            <w:r>
              <w:rPr>
                <w:rFonts w:hint="eastAsia" w:ascii="仿宋_GB2312" w:hAnsi="仿宋" w:eastAsia="仿宋_GB2312" w:cs="宋体"/>
                <w:bCs/>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b/>
                <w:kern w:val="0"/>
                <w:sz w:val="24"/>
                <w:szCs w:val="24"/>
                <w:lang w:val="en-US" w:eastAsia="zh-CN"/>
              </w:rPr>
            </w:pPr>
            <w:r>
              <w:rPr>
                <w:rFonts w:hint="eastAsia" w:ascii="仿宋_GB2312" w:hAnsi="仿宋" w:eastAsia="仿宋_GB2312" w:cs="宋体"/>
                <w:b/>
                <w:kern w:val="0"/>
                <w:sz w:val="24"/>
                <w:szCs w:val="24"/>
                <w:lang w:val="en-US" w:eastAsia="zh-CN"/>
              </w:rPr>
              <w:t>128</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lang w:val="en-US" w:eastAsia="zh-CN" w:bidi="ar-SA"/>
              </w:rPr>
            </w:pPr>
            <w:r>
              <w:rPr>
                <w:rFonts w:hint="eastAsia" w:ascii="仿宋_GB2312" w:hAnsi="仿宋" w:eastAsia="仿宋_GB2312" w:cs="宋体"/>
                <w:kern w:val="0"/>
                <w:sz w:val="24"/>
                <w:szCs w:val="24"/>
              </w:rPr>
              <w:t>2109</w:t>
            </w:r>
          </w:p>
        </w:tc>
        <w:tc>
          <w:tcPr>
            <w:tcW w:w="4261" w:type="dxa"/>
            <w:tcBorders>
              <w:top w:val="nil"/>
              <w:left w:val="nil"/>
              <w:bottom w:val="single" w:color="auto" w:sz="4" w:space="0"/>
              <w:right w:val="single" w:color="auto" w:sz="4" w:space="0"/>
            </w:tcBorders>
            <w:shd w:val="clear" w:color="auto" w:fill="auto"/>
            <w:noWrap/>
            <w:vAlign w:val="center"/>
          </w:tcPr>
          <w:p>
            <w:pPr>
              <w:widowControl/>
              <w:rPr>
                <w:rFonts w:ascii="仿宋_GB2312" w:hAnsi="仿宋" w:eastAsia="仿宋_GB2312" w:cs="宋体"/>
                <w:kern w:val="0"/>
                <w:sz w:val="24"/>
                <w:szCs w:val="24"/>
                <w:lang w:val="en-US" w:eastAsia="zh-CN" w:bidi="ar-SA"/>
              </w:rPr>
            </w:pPr>
            <w:r>
              <w:rPr>
                <w:rFonts w:hint="eastAsia" w:ascii="仿宋_GB2312" w:hAnsi="仿宋" w:eastAsia="仿宋_GB2312" w:cs="宋体"/>
                <w:kern w:val="0"/>
                <w:sz w:val="24"/>
                <w:szCs w:val="24"/>
              </w:rPr>
              <w:t>108</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lang w:val="en-US" w:eastAsia="zh-CN" w:bidi="ar-SA"/>
              </w:rPr>
            </w:pPr>
            <w:r>
              <w:rPr>
                <w:rFonts w:hint="eastAsia" w:ascii="仿宋_GB2312" w:hAnsi="仿宋" w:eastAsia="仿宋_GB2312" w:cs="宋体"/>
                <w:kern w:val="0"/>
                <w:sz w:val="24"/>
                <w:szCs w:val="24"/>
              </w:rPr>
              <w:t>1908</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lang w:val="en-US" w:eastAsia="zh-CN" w:bidi="ar-SA"/>
              </w:rPr>
            </w:pPr>
            <w:r>
              <w:rPr>
                <w:rFonts w:hint="eastAsia" w:ascii="仿宋_GB2312" w:hAnsi="仿宋" w:eastAsia="仿宋_GB2312" w:cs="宋体"/>
                <w:kern w:val="0"/>
                <w:sz w:val="24"/>
                <w:szCs w:val="24"/>
              </w:rPr>
              <w:t>98</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lang w:val="en-US" w:eastAsia="zh-CN" w:bidi="ar-SA"/>
              </w:rPr>
            </w:pPr>
            <w:r>
              <w:rPr>
                <w:rFonts w:hint="eastAsia" w:ascii="仿宋_GB2312" w:hAnsi="仿宋" w:eastAsia="仿宋_GB2312" w:cs="宋体"/>
                <w:kern w:val="0"/>
                <w:sz w:val="24"/>
                <w:szCs w:val="24"/>
              </w:rPr>
              <w:t>1</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lang w:val="en-US" w:eastAsia="zh-CN" w:bidi="ar-SA"/>
              </w:rPr>
            </w:pPr>
            <w:r>
              <w:rPr>
                <w:rFonts w:hint="eastAsia" w:ascii="仿宋_GB2312" w:hAnsi="仿宋" w:eastAsia="仿宋_GB2312" w:cs="宋体"/>
                <w:kern w:val="0"/>
                <w:sz w:val="24"/>
                <w:szCs w:val="24"/>
              </w:rPr>
              <w:t>13</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lang w:val="en-US" w:eastAsia="zh-CN" w:bidi="ar-SA"/>
              </w:rPr>
            </w:pPr>
            <w:r>
              <w:rPr>
                <w:rFonts w:hint="eastAsia" w:ascii="仿宋_GB2312" w:hAnsi="仿宋" w:eastAsia="仿宋_GB2312" w:cs="宋体"/>
                <w:kern w:val="0"/>
                <w:sz w:val="24"/>
                <w:szCs w:val="24"/>
              </w:rPr>
              <w:t>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lang w:val="en-US" w:eastAsia="zh-CN" w:bidi="ar-SA"/>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lang w:val="en-US" w:eastAsia="zh-CN" w:bidi="ar-SA"/>
              </w:rPr>
            </w:pPr>
            <w:r>
              <w:rPr>
                <w:rFonts w:hint="eastAsia" w:ascii="仿宋_GB2312" w:hAnsi="仿宋" w:eastAsia="仿宋_GB2312" w:cs="宋体"/>
                <w:kern w:val="0"/>
                <w:sz w:val="24"/>
                <w:szCs w:val="24"/>
              </w:rPr>
              <w:t>0</w:t>
            </w: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lang w:val="en-US" w:eastAsia="zh-CN" w:bidi="ar-SA"/>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lang w:val="en-US" w:eastAsia="zh-CN" w:bidi="ar-SA"/>
              </w:rPr>
            </w:pPr>
            <w:r>
              <w:rPr>
                <w:rFonts w:hint="eastAsia" w:ascii="仿宋_GB2312" w:hAnsi="仿宋" w:eastAsia="仿宋_GB2312" w:cs="宋体"/>
                <w:kern w:val="0"/>
                <w:sz w:val="24"/>
                <w:szCs w:val="24"/>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lang w:val="en-US" w:eastAsia="zh-CN" w:bidi="ar-SA"/>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仿宋_GB2312" w:hAnsi="仿宋" w:eastAsia="仿宋_GB2312" w:cs="宋体"/>
                <w:kern w:val="0"/>
                <w:sz w:val="24"/>
                <w:szCs w:val="24"/>
                <w:lang w:val="en-US" w:eastAsia="zh-CN" w:bidi="ar-SA"/>
              </w:rPr>
            </w:pPr>
            <w:r>
              <w:rPr>
                <w:rFonts w:hint="eastAsia" w:ascii="仿宋_GB2312" w:hAnsi="仿宋" w:eastAsia="仿宋_GB2312" w:cs="宋体"/>
                <w:kern w:val="0"/>
                <w:sz w:val="24"/>
                <w:szCs w:val="24"/>
                <w:lang w:val="en-US" w:eastAsia="zh-CN"/>
              </w:rPr>
              <w:t>20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kern w:val="0"/>
                <w:sz w:val="24"/>
                <w:szCs w:val="24"/>
                <w:lang w:val="en-US" w:eastAsia="zh-CN" w:bidi="ar-SA"/>
              </w:rPr>
            </w:pPr>
            <w:r>
              <w:rPr>
                <w:rFonts w:hint="eastAsia" w:ascii="仿宋_GB2312" w:hAnsi="仿宋" w:eastAsia="仿宋_GB2312" w:cs="宋体"/>
                <w:kern w:val="0"/>
                <w:sz w:val="24"/>
                <w:szCs w:val="24"/>
                <w:lang w:val="en-US" w:eastAsia="zh-CN"/>
              </w:rPr>
              <w:t>7</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黑体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方正书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 PAGE </w:instrText>
    </w:r>
    <w:r>
      <w:rPr>
        <w:rStyle w:val="7"/>
      </w:rPr>
      <w:fldChar w:fldCharType="separate"/>
    </w:r>
    <w:r>
      <w:rPr>
        <w:rStyle w:val="7"/>
      </w:rPr>
      <w:t>4</w:t>
    </w:r>
    <w:r>
      <w:rPr>
        <w:rStyle w:val="7"/>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6</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1F"/>
    <w:rsid w:val="00013B8A"/>
    <w:rsid w:val="00044FBC"/>
    <w:rsid w:val="00055F1F"/>
    <w:rsid w:val="000577EF"/>
    <w:rsid w:val="00057F18"/>
    <w:rsid w:val="000A445D"/>
    <w:rsid w:val="000C178B"/>
    <w:rsid w:val="00131DEC"/>
    <w:rsid w:val="00136AB3"/>
    <w:rsid w:val="001462BD"/>
    <w:rsid w:val="00152380"/>
    <w:rsid w:val="001638BE"/>
    <w:rsid w:val="00172C7A"/>
    <w:rsid w:val="00181777"/>
    <w:rsid w:val="001B4688"/>
    <w:rsid w:val="001B6235"/>
    <w:rsid w:val="001F4875"/>
    <w:rsid w:val="00212335"/>
    <w:rsid w:val="002918C6"/>
    <w:rsid w:val="00296524"/>
    <w:rsid w:val="002E01F6"/>
    <w:rsid w:val="002F1ACB"/>
    <w:rsid w:val="002F530F"/>
    <w:rsid w:val="00305E97"/>
    <w:rsid w:val="00310532"/>
    <w:rsid w:val="0032782B"/>
    <w:rsid w:val="00340B3D"/>
    <w:rsid w:val="0034253A"/>
    <w:rsid w:val="00367A30"/>
    <w:rsid w:val="003A06D2"/>
    <w:rsid w:val="003A6366"/>
    <w:rsid w:val="003C2317"/>
    <w:rsid w:val="003C442E"/>
    <w:rsid w:val="003D1092"/>
    <w:rsid w:val="003D37CD"/>
    <w:rsid w:val="003E5531"/>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70142"/>
    <w:rsid w:val="00586C35"/>
    <w:rsid w:val="005B1B6F"/>
    <w:rsid w:val="005B6CCB"/>
    <w:rsid w:val="005C54AA"/>
    <w:rsid w:val="005C7B89"/>
    <w:rsid w:val="0062788A"/>
    <w:rsid w:val="00641F8A"/>
    <w:rsid w:val="0066383B"/>
    <w:rsid w:val="006B5117"/>
    <w:rsid w:val="006C62DF"/>
    <w:rsid w:val="006F5104"/>
    <w:rsid w:val="006F6549"/>
    <w:rsid w:val="00735B02"/>
    <w:rsid w:val="007657C8"/>
    <w:rsid w:val="00767A77"/>
    <w:rsid w:val="00771E49"/>
    <w:rsid w:val="00782208"/>
    <w:rsid w:val="00791938"/>
    <w:rsid w:val="007C7FD7"/>
    <w:rsid w:val="007F3746"/>
    <w:rsid w:val="00833132"/>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A278A"/>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71A04"/>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E0F1F"/>
    <w:rsid w:val="00FF61F3"/>
    <w:rsid w:val="0C606D00"/>
    <w:rsid w:val="0E673797"/>
    <w:rsid w:val="184E19E6"/>
    <w:rsid w:val="1920799F"/>
    <w:rsid w:val="24DA079C"/>
    <w:rsid w:val="27D14D46"/>
    <w:rsid w:val="2C6F242B"/>
    <w:rsid w:val="319422E9"/>
    <w:rsid w:val="32E529D9"/>
    <w:rsid w:val="38F035A9"/>
    <w:rsid w:val="3D9E7F45"/>
    <w:rsid w:val="43585784"/>
    <w:rsid w:val="4B812924"/>
    <w:rsid w:val="4FFB262C"/>
    <w:rsid w:val="5C970655"/>
    <w:rsid w:val="69D75C8C"/>
    <w:rsid w:val="7E397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semiHidden/>
    <w:unhideWhenUsed/>
    <w:uiPriority w:val="99"/>
  </w:style>
  <w:style w:type="character" w:customStyle="1" w:styleId="8">
    <w:name w:val="页眉 字符"/>
    <w:basedOn w:val="6"/>
    <w:link w:val="4"/>
    <w:uiPriority w:val="99"/>
    <w:rPr>
      <w:sz w:val="18"/>
      <w:szCs w:val="18"/>
    </w:rPr>
  </w:style>
  <w:style w:type="character" w:customStyle="1" w:styleId="9">
    <w:name w:val="页脚 字符"/>
    <w:basedOn w:val="6"/>
    <w:link w:val="3"/>
    <w:uiPriority w:val="99"/>
    <w:rPr>
      <w:sz w:val="18"/>
      <w:szCs w:val="18"/>
    </w:r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D6F17-C0F1-469D-B245-A7F9E53C1647}">
  <ds:schemaRefs/>
</ds:datastoreItem>
</file>

<file path=docProps/app.xml><?xml version="1.0" encoding="utf-8"?>
<Properties xmlns="http://schemas.openxmlformats.org/officeDocument/2006/extended-properties" xmlns:vt="http://schemas.openxmlformats.org/officeDocument/2006/docPropsVTypes">
  <Template>Normal.dotm</Template>
  <Pages>9</Pages>
  <Words>298</Words>
  <Characters>1703</Characters>
  <Lines>14</Lines>
  <Paragraphs>3</Paragraphs>
  <TotalTime>14</TotalTime>
  <ScaleCrop>false</ScaleCrop>
  <LinksUpToDate>false</LinksUpToDate>
  <CharactersWithSpaces>1998</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水中鱼</cp:lastModifiedBy>
  <cp:lastPrinted>2019-02-19T07:03:00Z</cp:lastPrinted>
  <dcterms:modified xsi:type="dcterms:W3CDTF">2024-06-04T07:13:15Z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65DDD521A8444604BDC8867C4675F455</vt:lpwstr>
  </property>
</Properties>
</file>