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bookmarkStart w:id="0" w:name="_GoBack"/>
      <w:bookmarkEnd w:id="0"/>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w:t>
      </w:r>
      <w:r>
        <w:rPr>
          <w:rFonts w:hint="eastAsia" w:ascii="宋体" w:hAnsi="宋体" w:eastAsia="宋体"/>
          <w:b/>
          <w:sz w:val="44"/>
          <w:szCs w:val="44"/>
          <w:lang w:eastAsia="zh-CN"/>
        </w:rPr>
        <w:t>市场监督管理局</w:t>
      </w: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根据《保定市徐水区市场监督管理局职能配置、内设机构和人员编制规定》， 保定市徐水区市场监督管理局的主要职责是：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保定市徐水区市场监督管理局（简称区市场监督管理局）是区政府工作</w:t>
      </w:r>
      <w:r>
        <w:rPr>
          <w:rFonts w:hint="eastAsia" w:ascii="仿宋" w:hAnsi="仿宋" w:eastAsia="仿宋" w:cs="仿宋"/>
          <w:sz w:val="32"/>
          <w:szCs w:val="32"/>
          <w:lang w:eastAsia="zh-CN"/>
        </w:rPr>
        <w:t>单位</w:t>
      </w:r>
      <w:r>
        <w:rPr>
          <w:rFonts w:hint="eastAsia" w:ascii="仿宋" w:hAnsi="仿宋" w:eastAsia="仿宋" w:cs="仿宋"/>
          <w:sz w:val="32"/>
          <w:szCs w:val="32"/>
        </w:rPr>
        <w:t>，为正科级，加挂保定市徐水区知识产权局牌子。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贯彻落实党中央、省委、市委、区委关于市场监督管理工作的方针政策和决策部署，坚持和加强党对市场监督管理工作的集中统一领导。主要职责是：</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全区消费者权益保护。负责处理与市场监督管理相关的咨询、投诉、举报，组织开展有关服务领域消费维权工作；依法查处侵害消费者权益的违法行为；建立完善消费者权益保护网络体系，保护消费者、经营者合法权益。指导区消费者协会开展消费维权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（五）负责反垄断统一执法。组织推进竞争政策实施，指导实施公平竞争审查制度。依法对经营者集中行为进行反垄断审查，负责垄断协议、滥用市场支配地位和滥用行政权力排除、限制竞争等反垄断执法工作。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（六）负责全区宏观质量管理。拟订并组织实施全区质量发展的制度措施。会同有关</w:t>
      </w:r>
      <w:r>
        <w:rPr>
          <w:rFonts w:hint="eastAsia" w:ascii="仿宋" w:hAnsi="仿宋" w:eastAsia="仿宋" w:cs="仿宋"/>
          <w:sz w:val="32"/>
          <w:szCs w:val="32"/>
          <w:lang w:eastAsia="zh-CN"/>
        </w:rPr>
        <w:t>单位</w:t>
      </w:r>
      <w:r>
        <w:rPr>
          <w:rFonts w:hint="eastAsia" w:ascii="仿宋" w:hAnsi="仿宋" w:eastAsia="仿宋" w:cs="仿宋"/>
          <w:sz w:val="32"/>
          <w:szCs w:val="32"/>
        </w:rPr>
        <w:t>组织实施重大工程设备质量监理制度，按职责范围组织产品质量事故调查，组织实施缺陷产品召回制度，监督管理产品防伪工作。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59264" behindDoc="0" locked="0" layoutInCell="1" allowOverlap="1">
                <wp:simplePos x="0" y="0"/>
                <wp:positionH relativeFrom="column">
                  <wp:posOffset>2108835</wp:posOffset>
                </wp:positionH>
                <wp:positionV relativeFrom="paragraph">
                  <wp:posOffset>1055370</wp:posOffset>
                </wp:positionV>
                <wp:extent cx="276225" cy="285750"/>
                <wp:effectExtent l="0" t="0" r="9525" b="0"/>
                <wp:wrapSquare wrapText="bothSides"/>
                <wp:docPr id="1" name="文本框 1"/>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66.05pt;margin-top:83.1pt;height:22.5pt;width:21.75pt;mso-wrap-distance-bottom:0pt;mso-wrap-distance-left:0pt;mso-wrap-distance-right:0pt;mso-wrap-distance-top:0pt;z-index:251659264;mso-width-relative:page;mso-height-relative:page;" fillcolor="#FFFFFF" filled="t" stroked="f" coordsize="21600,21600" o:gfxdata="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ohXzfYAAAACwEAAA8AAAAAAAAAAQAgAAAAIgAAAGRycy9kb3ducmV2Lnht&#10;bFBLAQIUABQAAAAIAIdO4kCRa4V5wAEAAHYDAAAOAAAAAAAAAAEAIAAAACcBAABkcnMvZTJvRG9j&#10;LnhtbFBLBQYAAAAABgAGAFkBAABZBQ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（八）负责全区特种设备安全监督管理。承担本行政区域内特种设备安全监察、监督工作，监督检查高耗能特种设备节能标准和锅炉环境保护标准的执行情况。</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（九）负责食品安全监督管理综合协调。承担区政府食品安全委员会日常工作；组织制定全区食品安全重大政策并组织实施。负责食品药品安全监督管理综合协调，推动健全食品安全地方党政同责和跨</w:t>
      </w:r>
      <w:r>
        <w:rPr>
          <w:rFonts w:hint="eastAsia" w:ascii="仿宋" w:hAnsi="仿宋" w:eastAsia="仿宋" w:cs="仿宋"/>
          <w:sz w:val="32"/>
          <w:szCs w:val="32"/>
          <w:lang w:eastAsia="zh-CN"/>
        </w:rPr>
        <w:t>单位</w:t>
      </w:r>
      <w:r>
        <w:rPr>
          <w:rFonts w:hint="eastAsia" w:ascii="仿宋" w:hAnsi="仿宋" w:eastAsia="仿宋" w:cs="仿宋"/>
          <w:sz w:val="32"/>
          <w:szCs w:val="32"/>
        </w:rPr>
        <w:t>协调联动机制，督促检查乡镇和有关</w:t>
      </w:r>
      <w:r>
        <w:rPr>
          <w:rFonts w:hint="eastAsia" w:ascii="仿宋" w:hAnsi="仿宋" w:eastAsia="仿宋" w:cs="仿宋"/>
          <w:sz w:val="32"/>
          <w:szCs w:val="32"/>
          <w:lang w:eastAsia="zh-CN"/>
        </w:rPr>
        <w:t>单位</w:t>
      </w:r>
      <w:r>
        <w:rPr>
          <w:rFonts w:hint="eastAsia" w:ascii="仿宋" w:hAnsi="仿宋" w:eastAsia="仿宋" w:cs="仿宋"/>
          <w:sz w:val="32"/>
          <w:szCs w:val="32"/>
        </w:rPr>
        <w:t>履行食品药品安全监督管理职责并负责考核评价。负责食品安全应急体系建设，组织指导全区重大食品安全事件应急处置和调查处理工作，建立健全食品安全信息统一公布和重要信息直报制度。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0" distR="0" simplePos="0" relativeHeight="251660288" behindDoc="0" locked="0" layoutInCell="1" allowOverlap="1">
                <wp:simplePos x="0" y="0"/>
                <wp:positionH relativeFrom="column">
                  <wp:posOffset>2023110</wp:posOffset>
                </wp:positionH>
                <wp:positionV relativeFrom="paragraph">
                  <wp:posOffset>649605</wp:posOffset>
                </wp:positionV>
                <wp:extent cx="276225" cy="285750"/>
                <wp:effectExtent l="0" t="0" r="9525" b="0"/>
                <wp:wrapSquare wrapText="bothSides"/>
                <wp:docPr id="4" name="文本框 4"/>
                <wp:cNvGraphicFramePr/>
                <a:graphic xmlns:a="http://schemas.openxmlformats.org/drawingml/2006/main">
                  <a:graphicData uri="http://schemas.microsoft.com/office/word/2010/wordprocessingShape">
                    <wps:wsp>
                      <wps:cNvSpPr txBox="1"/>
                      <wps:spPr>
                        <a:xfrm>
                          <a:off x="0" y="0"/>
                          <a:ext cx="276225" cy="285750"/>
                        </a:xfrm>
                        <a:prstGeom prst="rect">
                          <a:avLst/>
                        </a:prstGeom>
                        <a:solidFill>
                          <a:srgbClr val="FFFFFF"/>
                        </a:solidFill>
                        <a:ln>
                          <a:noFill/>
                        </a:ln>
                      </wps:spPr>
                      <wps:txb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wps:txbx>
                      <wps:bodyPr upright="1"/>
                    </wps:wsp>
                  </a:graphicData>
                </a:graphic>
              </wp:anchor>
            </w:drawing>
          </mc:Choice>
          <mc:Fallback>
            <w:pict>
              <v:shape id="_x0000_s1026" o:spid="_x0000_s1026" o:spt="202" type="#_x0000_t202" style="position:absolute;left:0pt;margin-left:159.3pt;margin-top:51.15pt;height:22.5pt;width:21.75pt;mso-wrap-distance-bottom:0pt;mso-wrap-distance-left:0pt;mso-wrap-distance-right:0pt;mso-wrap-distance-top:0pt;z-index:251660288;mso-width-relative:page;mso-height-relative:page;" fillcolor="#FFFFFF" filled="t" stroked="f" coordsize="21600,21600" o:gfxdata="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4Z7TdgAAAALAQAADwAAAAAAAAABACAAAAAiAAAAZHJzL2Rvd25yZXYu&#10;eG1sUEsBAhQAFAAAAAgAh07iQJOl3UfCAQAAdgMAAA4AAAAAAAAAAQAgAAAAJwEAAGRycy9lMm9E&#10;b2MueG1sUEsFBgAAAAAGAAYAWQEAAFsFAAAAAA==&#10;">
                <v:fill on="t" focussize="0,0"/>
                <v:stroke on="f"/>
                <v:imagedata o:title=""/>
                <o:lock v:ext="edit" aspectratio="f"/>
                <v:textbox>
                  <w:txbxContent>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mc:Fallback>
        </mc:AlternateContent>
      </w:r>
      <w:r>
        <w:rPr>
          <w:rFonts w:hint="eastAsia" w:ascii="仿宋" w:hAnsi="仿宋" w:eastAsia="仿宋" w:cs="仿宋"/>
          <w:sz w:val="32"/>
          <w:szCs w:val="32"/>
        </w:rPr>
        <w:t>（十一）负责药品（含中药、民族药，下同）、医疗器械和化妆品的质量管理工作。依法查处药品、医疗器械和化妆品生产环节的违法行为。贯彻执行</w:t>
      </w:r>
      <w:r>
        <w:rPr>
          <w:rFonts w:hint="eastAsia" w:ascii="仿宋" w:hAnsi="仿宋" w:eastAsia="仿宋" w:cs="仿宋"/>
          <w:sz w:val="32"/>
          <w:szCs w:val="32"/>
          <w:lang w:eastAsia="zh-CN"/>
        </w:rPr>
        <w:t>国</w:t>
      </w:r>
      <w:r>
        <w:rPr>
          <w:rFonts w:hint="eastAsia" w:ascii="仿宋" w:hAnsi="仿宋" w:eastAsia="仿宋" w:cs="仿宋"/>
          <w:sz w:val="32"/>
          <w:szCs w:val="32"/>
        </w:rPr>
        <w:t>家药品、医疗器械和化妆品法律法规。负责监督实施国家药品、医疗器械和化妆品标准和质量管理规范，组织落实分类管理制度。配合实施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二）负责监督管理标准化工作。配合市局依法组织制定区域内市级地方标准。宣传贯彻强制性、推荐性国家标准和行业标准、地方标准。依法协调指导和监督团体标准、企业标准制定工作。协助开展标准化合作，组织开展采用国际标准工作。</w:t>
      </w:r>
    </w:p>
    <w:p>
      <w:pPr>
        <w:spacing w:line="500" w:lineRule="exact"/>
        <w:ind w:firstLine="640" w:firstLineChars="200"/>
        <w:jc w:val="left"/>
        <w:rPr>
          <w:rFonts w:ascii="Times New Roman" w:eastAsia="方正仿宋_GBK"/>
          <w:sz w:val="28"/>
        </w:rPr>
      </w:pPr>
      <w:r>
        <w:rPr>
          <w:rFonts w:hint="eastAsia" w:ascii="仿宋" w:hAnsi="仿宋" w:eastAsia="仿宋" w:cs="仿宋"/>
          <w:sz w:val="32"/>
          <w:szCs w:val="32"/>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（十四）负责认证认可工作。依法对本辖区内实验室和检验机构进行监督管理；对认证认可相关的社会中介服务机构实施监督管理；协调和监督强制性认证和自愿认证工作，引导企业按国际惯例进行各种认证。</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五）负责保护知识产权。拟订严格保护商标、专利、原产地地理标志、集成电路布图设计等知识产权地方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（十六）负责指导和监督规范行政执法行为，推动法制建设，完善行政执法与刑事司法衔接机制。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（十七）负责全区市场监督管理科技和信息化建设、新闻宣传、对外交流与合作。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（十八）承办区委、区政府交办的其他任务。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保定市徐水区市场监督管理局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rPr>
              <w:t>保定市徐水区质量技术监督检验所</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事业</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正股级</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default" w:ascii="仿宋_GB2312" w:hAnsi="仿宋" w:eastAsia="仿宋_GB2312"/>
                <w:bCs/>
                <w:sz w:val="24"/>
                <w:szCs w:val="24"/>
                <w:lang w:val="en-US"/>
              </w:rPr>
            </w:pPr>
            <w:r>
              <w:rPr>
                <w:rFonts w:hint="default" w:ascii="仿宋_GB2312" w:hAnsi="仿宋" w:eastAsia="仿宋_GB2312"/>
                <w:bCs/>
                <w:sz w:val="24"/>
                <w:szCs w:val="24"/>
                <w:lang w:val="en-US"/>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保定市徐水区市场监督管理局协会</w:t>
            </w:r>
          </w:p>
        </w:tc>
        <w:tc>
          <w:tcPr>
            <w:tcW w:w="1701"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参公</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default" w:ascii="仿宋" w:hAnsi="仿宋" w:eastAsia="仿宋"/>
          <w:sz w:val="32"/>
          <w:szCs w:val="32"/>
          <w:lang w:val="en-US"/>
        </w:rPr>
        <w:t>4196.72</w:t>
      </w:r>
      <w:r>
        <w:rPr>
          <w:rFonts w:ascii="仿宋" w:hAnsi="仿宋" w:eastAsia="仿宋"/>
          <w:sz w:val="32"/>
          <w:szCs w:val="32"/>
        </w:rPr>
        <w:t>万元,其中：一般公共预算收入</w:t>
      </w:r>
      <w:r>
        <w:rPr>
          <w:rFonts w:hint="default" w:ascii="仿宋" w:hAnsi="仿宋" w:eastAsia="仿宋"/>
          <w:sz w:val="32"/>
          <w:szCs w:val="32"/>
          <w:lang w:val="en-US"/>
        </w:rPr>
        <w:t>4196.72</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w:t>
      </w:r>
      <w:r>
        <w:rPr>
          <w:rFonts w:hint="default" w:ascii="仿宋" w:hAnsi="仿宋" w:eastAsia="仿宋"/>
          <w:sz w:val="32"/>
          <w:szCs w:val="32"/>
          <w:lang w:val="en-US"/>
        </w:rPr>
        <w:t>4196.72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3707.78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3334.22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375.58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488.92</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4216.72</w:t>
      </w:r>
      <w:r>
        <w:rPr>
          <w:rFonts w:hint="eastAsia" w:ascii="仿宋" w:hAnsi="仿宋" w:eastAsia="仿宋"/>
          <w:sz w:val="32"/>
          <w:szCs w:val="32"/>
        </w:rPr>
        <w:t>万元，较上年</w:t>
      </w:r>
      <w:r>
        <w:rPr>
          <w:rFonts w:hint="eastAsia" w:ascii="仿宋" w:hAnsi="仿宋" w:eastAsia="仿宋"/>
          <w:sz w:val="32"/>
          <w:szCs w:val="32"/>
          <w:lang w:eastAsia="zh-CN"/>
        </w:rPr>
        <w:t>减少</w:t>
      </w:r>
      <w:r>
        <w:rPr>
          <w:rFonts w:hint="default" w:ascii="仿宋" w:hAnsi="仿宋" w:eastAsia="仿宋"/>
          <w:sz w:val="32"/>
          <w:szCs w:val="32"/>
          <w:lang w:val="en-US" w:eastAsia="zh-CN"/>
        </w:rPr>
        <w:t>170.81</w:t>
      </w:r>
      <w:r>
        <w:rPr>
          <w:rFonts w:ascii="仿宋" w:hAnsi="仿宋" w:eastAsia="仿宋"/>
          <w:sz w:val="32"/>
          <w:szCs w:val="32"/>
        </w:rPr>
        <w:t>万元。其中:基本支出</w:t>
      </w:r>
      <w:r>
        <w:rPr>
          <w:rFonts w:hint="eastAsia" w:ascii="仿宋" w:hAnsi="仿宋" w:eastAsia="仿宋"/>
          <w:sz w:val="32"/>
          <w:szCs w:val="32"/>
          <w:lang w:eastAsia="zh-CN"/>
        </w:rPr>
        <w:t>减少</w:t>
      </w:r>
      <w:r>
        <w:rPr>
          <w:rFonts w:hint="default" w:ascii="仿宋" w:hAnsi="仿宋" w:eastAsia="仿宋"/>
          <w:sz w:val="32"/>
          <w:szCs w:val="32"/>
          <w:lang w:val="en-US" w:eastAsia="zh-CN"/>
        </w:rPr>
        <w:t>171.39</w:t>
      </w:r>
      <w:r>
        <w:rPr>
          <w:rFonts w:ascii="仿宋" w:hAnsi="仿宋" w:eastAsia="仿宋"/>
          <w:sz w:val="32"/>
          <w:szCs w:val="32"/>
        </w:rPr>
        <w:t>万元，主要原因是</w:t>
      </w:r>
      <w:r>
        <w:rPr>
          <w:rFonts w:hint="eastAsia" w:ascii="仿宋" w:hAnsi="仿宋" w:eastAsia="仿宋"/>
          <w:sz w:val="32"/>
          <w:szCs w:val="32"/>
          <w:lang w:eastAsia="zh-CN"/>
        </w:rPr>
        <w:t>节约开支，人员退休</w:t>
      </w:r>
      <w:r>
        <w:rPr>
          <w:rFonts w:ascii="仿宋" w:hAnsi="仿宋" w:eastAsia="仿宋"/>
          <w:sz w:val="32"/>
          <w:szCs w:val="32"/>
        </w:rPr>
        <w:t>；项目支出增加</w:t>
      </w:r>
      <w:r>
        <w:rPr>
          <w:rFonts w:hint="default" w:ascii="仿宋" w:hAnsi="仿宋" w:eastAsia="仿宋"/>
          <w:sz w:val="32"/>
          <w:szCs w:val="32"/>
          <w:lang w:val="en-US"/>
        </w:rPr>
        <w:t>0.58</w:t>
      </w:r>
      <w:r>
        <w:rPr>
          <w:rFonts w:ascii="仿宋" w:hAnsi="仿宋" w:eastAsia="仿宋"/>
          <w:sz w:val="32"/>
          <w:szCs w:val="32"/>
        </w:rPr>
        <w:t>万元，主要原因是</w:t>
      </w:r>
      <w:r>
        <w:rPr>
          <w:rFonts w:hint="eastAsia" w:ascii="仿宋" w:hAnsi="仿宋" w:eastAsia="仿宋"/>
          <w:sz w:val="32"/>
          <w:szCs w:val="32"/>
          <w:lang w:eastAsia="zh-CN"/>
        </w:rPr>
        <w:t>市场执法项目增多，对辖区内食品、药品等产品抽检、检验批次增加</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373.58</w:t>
      </w:r>
      <w:r>
        <w:rPr>
          <w:rFonts w:ascii="仿宋" w:hAnsi="仿宋" w:eastAsia="仿宋"/>
          <w:sz w:val="32"/>
          <w:szCs w:val="32"/>
        </w:rPr>
        <w:t>万元，其中办公费</w:t>
      </w:r>
      <w:r>
        <w:rPr>
          <w:rFonts w:hint="default" w:ascii="仿宋" w:hAnsi="仿宋" w:eastAsia="仿宋"/>
          <w:sz w:val="32"/>
          <w:szCs w:val="32"/>
          <w:lang w:val="en-US"/>
        </w:rPr>
        <w:t>74.16</w:t>
      </w:r>
      <w:r>
        <w:rPr>
          <w:rFonts w:ascii="仿宋" w:hAnsi="仿宋" w:eastAsia="仿宋"/>
          <w:sz w:val="32"/>
          <w:szCs w:val="32"/>
        </w:rPr>
        <w:t>万元，邮电费</w:t>
      </w:r>
      <w:r>
        <w:rPr>
          <w:rFonts w:hint="default" w:ascii="仿宋" w:hAnsi="仿宋" w:eastAsia="仿宋"/>
          <w:sz w:val="32"/>
          <w:szCs w:val="32"/>
          <w:lang w:val="en-US"/>
        </w:rPr>
        <w:t>8.48</w:t>
      </w:r>
      <w:r>
        <w:rPr>
          <w:rFonts w:ascii="仿宋" w:hAnsi="仿宋" w:eastAsia="仿宋"/>
          <w:sz w:val="32"/>
          <w:szCs w:val="32"/>
        </w:rPr>
        <w:t>万元，工会经费、福利费</w:t>
      </w:r>
      <w:r>
        <w:rPr>
          <w:rFonts w:hint="default" w:ascii="仿宋" w:hAnsi="仿宋" w:eastAsia="仿宋"/>
          <w:sz w:val="32"/>
          <w:szCs w:val="32"/>
          <w:lang w:val="en-US"/>
        </w:rPr>
        <w:t>52.97</w:t>
      </w:r>
      <w:r>
        <w:rPr>
          <w:rFonts w:ascii="仿宋" w:hAnsi="仿宋" w:eastAsia="仿宋"/>
          <w:sz w:val="32"/>
          <w:szCs w:val="32"/>
        </w:rPr>
        <w:t>万元，公务用车运行维护费</w:t>
      </w:r>
      <w:r>
        <w:rPr>
          <w:rFonts w:hint="default" w:ascii="仿宋" w:hAnsi="仿宋" w:eastAsia="仿宋"/>
          <w:sz w:val="32"/>
          <w:szCs w:val="32"/>
          <w:lang w:val="en-US"/>
        </w:rPr>
        <w:t>75.6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2.88</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515" w:type="dxa"/>
        <w:tblInd w:w="0" w:type="dxa"/>
        <w:tblLayout w:type="fixed"/>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noWrap/>
            <w:vAlign w:val="center"/>
          </w:tcPr>
          <w:tbl>
            <w:tblPr>
              <w:tblStyle w:val="5"/>
              <w:tblW w:w="10487" w:type="dxa"/>
              <w:jc w:val="center"/>
              <w:tblLayout w:type="fixed"/>
              <w:tblCellMar>
                <w:top w:w="0" w:type="dxa"/>
                <w:left w:w="108" w:type="dxa"/>
                <w:bottom w:w="0" w:type="dxa"/>
                <w:right w:w="108" w:type="dxa"/>
              </w:tblCellMar>
            </w:tblPr>
            <w:tblGrid>
              <w:gridCol w:w="2163"/>
              <w:gridCol w:w="1276"/>
              <w:gridCol w:w="1418"/>
              <w:gridCol w:w="836"/>
              <w:gridCol w:w="2397"/>
              <w:gridCol w:w="2397"/>
            </w:tblGrid>
            <w:tr>
              <w:tblPrEx>
                <w:tblCellMar>
                  <w:top w:w="0" w:type="dxa"/>
                  <w:left w:w="108" w:type="dxa"/>
                  <w:bottom w:w="0" w:type="dxa"/>
                  <w:right w:w="108" w:type="dxa"/>
                </w:tblCellMar>
              </w:tblPrEx>
              <w:trPr>
                <w:gridAfter w:val="1"/>
                <w:wAfter w:w="2397" w:type="dxa"/>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gridAfter w:val="1"/>
                <w:wAfter w:w="2397" w:type="dxa"/>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gridAfter w:val="1"/>
                <w:wAfter w:w="2397" w:type="dxa"/>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gridAfter w:val="1"/>
                <w:wAfter w:w="2397" w:type="dxa"/>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gridAfter w:val="1"/>
                <w:wAfter w:w="2397" w:type="dxa"/>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gridAfter w:val="1"/>
                <w:wAfter w:w="2397" w:type="dxa"/>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84</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84</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bidi="ar-SA"/>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87</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eastAsia="zh-CN" w:bidi="ar-SA"/>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无变化</w:t>
                  </w:r>
                </w:p>
              </w:tc>
            </w:tr>
            <w:tr>
              <w:tblPrEx>
                <w:tblCellMar>
                  <w:top w:w="0" w:type="dxa"/>
                  <w:left w:w="108" w:type="dxa"/>
                  <w:bottom w:w="0" w:type="dxa"/>
                  <w:right w:w="108" w:type="dxa"/>
                </w:tblCellMar>
              </w:tblPrEx>
              <w:trPr>
                <w:gridAfter w:val="1"/>
                <w:wAfter w:w="2397" w:type="dxa"/>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紧紧围绕全区中心工作，根据区委重要部署和市场监督管理局职责，认真做好本辖区内市场监督管理、食品药品监督工作、组织开展食品药品专项抽检，食用农产品、保健品、化妆品的监督，依法查处市场违法行为，按分工打击假冒伪劣违法活动，组织协调辖区内有关专项打假活动。贯彻执行《中华人民共和国公司法》、《中华人民共和国无照经营查处取缔办法》、《中华人民共和国产品质量法》、《中华人民共和国食品安全法》和其它有关的法律、法规、条例等。</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(一)工商管理事务</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1、市场监督管理。落实国家局、省局、市局抽检计划，进一步提升我区食品药品安全。产品质量抽查企业数量大于90家。</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2、流通领域商品质量监督管理。通过打假办案，依法查处区域内市场违法行为，对区域内制酒业、驴肉制作、工程车市场按分工打击假冒伪劣违法活动，组织协调辖区内有关专项打假活动的单位，确保完成全年打假办案任务。加大食用农产品、预包装食品等市场巡查力度。提高我区整体食品安全。打造良好营商环境。双随机抽查完成率100%</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（二）食品安全管理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食品安全监管。快检实验室日常运转经费，保障农村集贸市场食品快检率，保障全区农村食品安全。食品检测批次大于2774次。</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（四）药品安全管理</w:t>
      </w:r>
    </w:p>
    <w:p>
      <w:pPr>
        <w:keepNext w:val="0"/>
        <w:keepLines w:val="0"/>
        <w:widowControl/>
        <w:suppressLineNumbers w:val="0"/>
        <w:spacing w:before="0" w:beforeAutospacing="0" w:after="0" w:afterAutospacing="0" w:line="15" w:lineRule="atLeast"/>
        <w:ind w:left="0" w:right="0" w:firstLine="640" w:firstLineChars="200"/>
        <w:jc w:val="left"/>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kern w:val="0"/>
          <w:sz w:val="32"/>
          <w:szCs w:val="32"/>
          <w:lang w:val="en-US" w:eastAsia="zh-CN" w:bidi="ar"/>
        </w:rPr>
        <w:t>药品医疗器械监管。提高全区食品安全，保证全覆盖无死角，在各村设立农村协管员，进一步提升我区食品安全。药品用药安全知识普及率大于90%。</w:t>
      </w:r>
    </w:p>
    <w:p>
      <w:pPr>
        <w:spacing w:line="360" w:lineRule="auto"/>
        <w:ind w:firstLine="640" w:firstLineChars="200"/>
        <w:rPr>
          <w:rFonts w:hint="eastAsia" w:ascii="仿宋" w:hAnsi="仿宋" w:eastAsia="仿宋" w:cs="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有政府采购预算的写</w:t>
      </w:r>
      <w:r>
        <w:rPr>
          <w:rFonts w:hint="eastAsia" w:ascii="仿宋" w:hAnsi="仿宋" w:eastAsia="仿宋"/>
          <w:sz w:val="32"/>
          <w:szCs w:val="32"/>
        </w:rPr>
        <w:t>：</w:t>
      </w: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安排政府采购预算</w:t>
      </w:r>
      <w:r>
        <w:rPr>
          <w:rFonts w:hint="default" w:ascii="仿宋" w:hAnsi="仿宋" w:eastAsia="仿宋"/>
          <w:sz w:val="32"/>
          <w:szCs w:val="32"/>
          <w:lang w:val="en-US"/>
        </w:rPr>
        <w:t>75.96</w:t>
      </w:r>
      <w:r>
        <w:rPr>
          <w:rFonts w:ascii="仿宋" w:hAnsi="仿宋" w:eastAsia="仿宋"/>
          <w:sz w:val="32"/>
          <w:szCs w:val="32"/>
        </w:rPr>
        <w:t>万元，具体内容见下表：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w:t>
      </w:r>
    </w:p>
    <w:p>
      <w:pPr>
        <w:spacing w:line="360" w:lineRule="auto"/>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政府采购项目来源</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采购物品名称</w:t>
            </w:r>
          </w:p>
        </w:tc>
        <w:tc>
          <w:tcPr>
            <w:tcW w:w="1531"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政府采购目录序号</w:t>
            </w:r>
          </w:p>
        </w:tc>
        <w:tc>
          <w:tcPr>
            <w:tcW w:w="709"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计量  单位</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数量</w:t>
            </w:r>
          </w:p>
        </w:tc>
        <w:tc>
          <w:tcPr>
            <w:tcW w:w="907" w:type="dxa"/>
            <w:vMerge w:val="restart"/>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单价</w:t>
            </w:r>
          </w:p>
        </w:tc>
        <w:tc>
          <w:tcPr>
            <w:tcW w:w="6804" w:type="dxa"/>
            <w:gridSpan w:val="6"/>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政府采购金额（当年</w:t>
            </w:r>
            <w:r>
              <w:rPr>
                <w:rFonts w:hint="eastAsia" w:ascii="方正书宋_GBK" w:eastAsia="方正书宋_GBK"/>
                <w:b w:val="0"/>
                <w:bCs/>
                <w:lang w:eastAsia="zh-CN"/>
              </w:rPr>
              <w:t>单位</w:t>
            </w:r>
            <w:r>
              <w:rPr>
                <w:rFonts w:ascii="方正书宋_GBK" w:eastAsia="方正书宋_GBK"/>
                <w:b w:val="0"/>
                <w:bCs/>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项目名称</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531"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709"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907" w:type="dxa"/>
            <w:vMerge w:val="continue"/>
            <w:shd w:val="clear" w:color="auto" w:fill="auto"/>
            <w:vAlign w:val="center"/>
          </w:tcPr>
          <w:p>
            <w:pPr>
              <w:spacing w:line="300" w:lineRule="exact"/>
              <w:jc w:val="left"/>
              <w:outlineLvl w:val="1"/>
              <w:rPr>
                <w:rFonts w:ascii="Times New Roman" w:eastAsia="方正仿宋_GBK"/>
                <w:b w:val="0"/>
                <w:bCs/>
                <w:sz w:val="28"/>
              </w:rPr>
            </w:pP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合计</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一般公共预算拨款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基金预算拨款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国有资本经营预算拨款</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财政专户核拨</w:t>
            </w:r>
          </w:p>
        </w:tc>
        <w:tc>
          <w:tcPr>
            <w:tcW w:w="113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val="0"/>
                <w:bCs/>
              </w:rPr>
            </w:pPr>
            <w:r>
              <w:rPr>
                <w:rFonts w:ascii="方正书宋_GBK" w:eastAsia="方正书宋_GBK"/>
                <w:b w:val="0"/>
                <w:bCs/>
              </w:rPr>
              <w:t>合  计</w:t>
            </w:r>
          </w:p>
        </w:tc>
        <w:tc>
          <w:tcPr>
            <w:tcW w:w="1134" w:type="dxa"/>
            <w:shd w:val="clear" w:color="auto" w:fill="auto"/>
            <w:vAlign w:val="center"/>
          </w:tcPr>
          <w:p>
            <w:pPr>
              <w:spacing w:line="300" w:lineRule="exact"/>
              <w:jc w:val="righ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907"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产品质量监督抽查经费</w:t>
            </w:r>
          </w:p>
        </w:tc>
        <w:tc>
          <w:tcPr>
            <w:tcW w:w="1134"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531" w:type="dxa"/>
            <w:shd w:val="clear" w:color="auto" w:fill="auto"/>
            <w:vAlign w:val="center"/>
          </w:tcPr>
          <w:p>
            <w:pPr>
              <w:spacing w:line="300" w:lineRule="exact"/>
              <w:jc w:val="left"/>
              <w:rPr>
                <w:rFonts w:ascii="方正书宋_GBK" w:eastAsia="方正书宋_GBK"/>
                <w:b w:val="0"/>
                <w:bCs/>
              </w:rPr>
            </w:pPr>
            <w:r>
              <w:rPr>
                <w:rFonts w:hint="eastAsia" w:ascii="方正书宋_GBK" w:eastAsia="方正书宋_GBK"/>
                <w:b w:val="0"/>
                <w:bCs/>
              </w:rPr>
              <w:t>第三方产品质量检测购买服务</w:t>
            </w: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ascii="方正书宋_GBK" w:eastAsia="方正书宋_GBK"/>
                <w:b w:val="0"/>
                <w:bCs/>
              </w:rPr>
            </w:pPr>
            <w:r>
              <w:rPr>
                <w:rFonts w:hint="eastAsia" w:ascii="方正书宋_GBK" w:eastAsia="方正书宋_GBK"/>
                <w:b w:val="0"/>
                <w:bCs/>
              </w:rPr>
              <w:t>批</w:t>
            </w:r>
          </w:p>
        </w:tc>
        <w:tc>
          <w:tcPr>
            <w:tcW w:w="907" w:type="dxa"/>
            <w:shd w:val="clear" w:color="auto" w:fill="auto"/>
            <w:vAlign w:val="center"/>
          </w:tcPr>
          <w:p>
            <w:pPr>
              <w:spacing w:line="300" w:lineRule="exact"/>
              <w:jc w:val="right"/>
              <w:rPr>
                <w:rFonts w:ascii="方正书宋_GBK" w:eastAsia="方正书宋_GBK"/>
                <w:b w:val="0"/>
                <w:bCs/>
              </w:rPr>
            </w:pPr>
            <w:r>
              <w:rPr>
                <w:rFonts w:hint="eastAsia" w:ascii="方正书宋_GBK" w:eastAsia="方正书宋_GBK"/>
                <w:b w:val="0"/>
                <w:bCs/>
              </w:rPr>
              <w:t>1</w:t>
            </w:r>
          </w:p>
        </w:tc>
        <w:tc>
          <w:tcPr>
            <w:tcW w:w="907"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134"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134" w:type="dxa"/>
            <w:shd w:val="clear" w:color="auto" w:fill="auto"/>
            <w:vAlign w:val="center"/>
          </w:tcPr>
          <w:p>
            <w:pPr>
              <w:spacing w:line="300" w:lineRule="exact"/>
              <w:jc w:val="right"/>
              <w:rPr>
                <w:rFonts w:hint="default" w:ascii="方正书宋_GBK" w:eastAsia="方正书宋_GBK"/>
                <w:b w:val="0"/>
                <w:bCs/>
                <w:lang w:val="en-US"/>
              </w:rPr>
            </w:pPr>
            <w:r>
              <w:rPr>
                <w:rFonts w:hint="default" w:ascii="方正书宋_GBK" w:eastAsia="方正书宋_GBK"/>
                <w:b w:val="0"/>
                <w:bCs/>
                <w:lang w:val="en-US"/>
              </w:rPr>
              <w:t>75.96</w:t>
            </w: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b w:val="0"/>
                <w:bCs/>
                <w:lang w:eastAsia="zh-CN"/>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531" w:type="dxa"/>
            <w:shd w:val="clear" w:color="auto" w:fill="auto"/>
            <w:vAlign w:val="center"/>
          </w:tcPr>
          <w:p>
            <w:pPr>
              <w:spacing w:line="300" w:lineRule="exact"/>
              <w:jc w:val="left"/>
              <w:rPr>
                <w:rFonts w:ascii="方正书宋_GBK" w:eastAsia="方正书宋_GBK"/>
                <w:b w:val="0"/>
                <w:bCs/>
              </w:rPr>
            </w:pPr>
          </w:p>
        </w:tc>
        <w:tc>
          <w:tcPr>
            <w:tcW w:w="1531" w:type="dxa"/>
            <w:shd w:val="clear" w:color="auto" w:fill="auto"/>
            <w:vAlign w:val="center"/>
          </w:tcPr>
          <w:p>
            <w:pPr>
              <w:spacing w:line="300" w:lineRule="exact"/>
              <w:jc w:val="left"/>
              <w:rPr>
                <w:rFonts w:ascii="方正书宋_GBK" w:eastAsia="方正书宋_GBK"/>
                <w:b w:val="0"/>
                <w:bCs/>
              </w:rPr>
            </w:pPr>
          </w:p>
        </w:tc>
        <w:tc>
          <w:tcPr>
            <w:tcW w:w="709" w:type="dxa"/>
            <w:shd w:val="clear" w:color="auto" w:fill="auto"/>
            <w:vAlign w:val="center"/>
          </w:tcPr>
          <w:p>
            <w:pPr>
              <w:spacing w:line="300" w:lineRule="exact"/>
              <w:jc w:val="center"/>
              <w:rPr>
                <w:rFonts w:hint="eastAsia" w:ascii="方正书宋_GBK" w:eastAsia="方正书宋_GBK"/>
                <w:b w:val="0"/>
                <w:bCs/>
                <w:lang w:eastAsia="zh-CN"/>
              </w:rPr>
            </w:pPr>
          </w:p>
        </w:tc>
        <w:tc>
          <w:tcPr>
            <w:tcW w:w="907" w:type="dxa"/>
            <w:shd w:val="clear" w:color="auto" w:fill="auto"/>
            <w:vAlign w:val="center"/>
          </w:tcPr>
          <w:p>
            <w:pPr>
              <w:spacing w:line="300" w:lineRule="exact"/>
              <w:jc w:val="right"/>
              <w:rPr>
                <w:rFonts w:hint="default" w:ascii="方正书宋_GBK" w:eastAsia="方正书宋_GBK"/>
                <w:b w:val="0"/>
                <w:bCs/>
                <w:lang w:val="en-US"/>
              </w:rPr>
            </w:pPr>
          </w:p>
        </w:tc>
        <w:tc>
          <w:tcPr>
            <w:tcW w:w="907"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hint="default" w:ascii="方正书宋_GBK" w:eastAsia="方正书宋_GBK"/>
                <w:b w:val="0"/>
                <w:bCs/>
                <w:lang w:val="en-U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c>
          <w:tcPr>
            <w:tcW w:w="1134" w:type="dxa"/>
            <w:shd w:val="clear" w:color="auto" w:fill="auto"/>
            <w:vAlign w:val="center"/>
          </w:tcPr>
          <w:p>
            <w:pPr>
              <w:spacing w:line="300" w:lineRule="exact"/>
              <w:jc w:val="right"/>
              <w:rPr>
                <w:rFonts w:ascii="方正书宋_GBK" w:eastAsia="方正书宋_GBK"/>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3458.97</w:t>
      </w:r>
      <w:r>
        <w:rPr>
          <w:rFonts w:hint="eastAsia" w:ascii="仿宋" w:hAnsi="仿宋" w:eastAsia="仿宋"/>
          <w:sz w:val="32"/>
          <w:szCs w:val="32"/>
        </w:rPr>
        <w:t>万元（详见下表）</w:t>
      </w:r>
      <w:r>
        <w:rPr>
          <w:rFonts w:ascii="仿宋" w:hAnsi="仿宋" w:eastAsia="仿宋"/>
          <w:sz w:val="32"/>
          <w:szCs w:val="32"/>
        </w:rPr>
        <w:t>。</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3458.97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3550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769.68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default" w:ascii="仿宋_GB2312" w:hAnsi="仿宋" w:eastAsia="仿宋_GB2312" w:cs="宋体"/>
                <w:kern w:val="0"/>
                <w:sz w:val="24"/>
                <w:szCs w:val="24"/>
                <w:lang w:val="en-US"/>
              </w:rPr>
              <w:t>3550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769</w:t>
            </w:r>
            <w:r>
              <w:rPr>
                <w:rFonts w:hint="default" w:ascii="仿宋_GB2312" w:hAnsi="仿宋" w:eastAsia="仿宋_GB2312" w:cs="宋体"/>
                <w:kern w:val="0"/>
                <w:sz w:val="24"/>
                <w:szCs w:val="24"/>
                <w:lang w:val="en-US" w:eastAsia="zh-CN"/>
              </w:rPr>
              <w:t>.</w:t>
            </w:r>
            <w:r>
              <w:rPr>
                <w:rFonts w:hint="eastAsia" w:ascii="仿宋_GB2312" w:hAnsi="仿宋" w:eastAsia="仿宋_GB2312" w:cs="宋体"/>
                <w:kern w:val="0"/>
                <w:sz w:val="24"/>
                <w:szCs w:val="24"/>
              </w:rPr>
              <w:t>6</w:t>
            </w:r>
            <w:r>
              <w:rPr>
                <w:rFonts w:hint="default" w:ascii="仿宋_GB2312" w:hAnsi="仿宋" w:eastAsia="仿宋_GB2312" w:cs="宋体"/>
                <w:kern w:val="0"/>
                <w:sz w:val="24"/>
                <w:szCs w:val="24"/>
                <w:lang w:val="en-US"/>
              </w:rPr>
              <w:t>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313.67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2553</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2375.62</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F95C76"/>
    <w:rsid w:val="03A50961"/>
    <w:rsid w:val="0A214432"/>
    <w:rsid w:val="0A314C05"/>
    <w:rsid w:val="0C7E52D4"/>
    <w:rsid w:val="1E665DE4"/>
    <w:rsid w:val="27733670"/>
    <w:rsid w:val="32093226"/>
    <w:rsid w:val="3444176F"/>
    <w:rsid w:val="3D7A262E"/>
    <w:rsid w:val="62F438EE"/>
    <w:rsid w:val="6C355421"/>
    <w:rsid w:val="7163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9</TotalTime>
  <ScaleCrop>false</ScaleCrop>
  <LinksUpToDate>false</LinksUpToDate>
  <CharactersWithSpaces>1833</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2024-06-04T05:52:11Z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06A152A86D874AC4A1491DF0111B0405</vt:lpwstr>
  </property>
</Properties>
</file>