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b/>
          <w:sz w:val="44"/>
          <w:szCs w:val="44"/>
        </w:rPr>
      </w:pPr>
      <w:r>
        <w:rPr>
          <w:rFonts w:hint="eastAsia" w:ascii="宋体" w:hAnsi="宋体" w:eastAsia="宋体"/>
          <w:b/>
          <w:sz w:val="44"/>
          <w:szCs w:val="44"/>
        </w:rPr>
        <w:t>保定市徐水区人民代表大会常务委员会办公室</w:t>
      </w:r>
    </w:p>
    <w:p>
      <w:pPr>
        <w:spacing w:line="580" w:lineRule="exact"/>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部门</w:t>
      </w:r>
      <w:r>
        <w:rPr>
          <w:rFonts w:ascii="宋体" w:hAnsi="宋体" w:eastAsia="宋体"/>
          <w:b/>
          <w:sz w:val="44"/>
          <w:szCs w:val="44"/>
        </w:rPr>
        <w:t>预算公开说明</w:t>
      </w:r>
    </w:p>
    <w:p>
      <w:pPr>
        <w:tabs>
          <w:tab w:val="left" w:pos="5274"/>
        </w:tabs>
        <w:spacing w:line="580" w:lineRule="exact"/>
        <w:ind w:firstLine="640" w:firstLineChars="200"/>
        <w:rPr>
          <w:rFonts w:ascii="仿宋" w:hAnsi="仿宋" w:eastAsia="仿宋"/>
          <w:sz w:val="32"/>
          <w:szCs w:val="32"/>
        </w:rPr>
      </w:pPr>
      <w:r>
        <w:rPr>
          <w:rFonts w:ascii="仿宋" w:hAnsi="仿宋" w:eastAsia="仿宋"/>
          <w:sz w:val="32"/>
          <w:szCs w:val="32"/>
        </w:rPr>
        <w:tab/>
      </w:r>
    </w:p>
    <w:p>
      <w:pPr>
        <w:spacing w:line="58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580" w:lineRule="exact"/>
        <w:ind w:firstLine="640" w:firstLineChars="200"/>
        <w:rPr>
          <w:rFonts w:ascii="仿宋" w:hAnsi="仿宋" w:eastAsia="仿宋"/>
          <w:sz w:val="32"/>
          <w:szCs w:val="32"/>
        </w:rPr>
      </w:pPr>
    </w:p>
    <w:p>
      <w:pPr>
        <w:spacing w:line="580" w:lineRule="exact"/>
        <w:jc w:val="center"/>
        <w:outlineLvl w:val="0"/>
        <w:rPr>
          <w:rFonts w:ascii="方正小标宋_GBK" w:eastAsia="方正小标宋_GBK"/>
          <w:b/>
          <w:sz w:val="44"/>
        </w:rPr>
      </w:pPr>
      <w:r>
        <w:rPr>
          <w:rFonts w:hint="eastAsia" w:ascii="方正小标宋_GBK" w:eastAsia="方正小标宋_GBK"/>
          <w:b/>
          <w:sz w:val="44"/>
        </w:rPr>
        <w:t>第一部分</w:t>
      </w:r>
      <w:r>
        <w:rPr>
          <w:rFonts w:ascii="方正小标宋_GBK" w:eastAsia="方正小标宋_GBK"/>
          <w:b/>
          <w:sz w:val="44"/>
        </w:rPr>
        <w:t>:部门职责及机构设置情况</w:t>
      </w:r>
    </w:p>
    <w:p>
      <w:pPr>
        <w:spacing w:line="580" w:lineRule="exact"/>
        <w:ind w:firstLine="643" w:firstLineChars="200"/>
        <w:rPr>
          <w:rFonts w:ascii="仿宋" w:hAnsi="仿宋" w:eastAsia="仿宋"/>
          <w:b/>
          <w:sz w:val="32"/>
          <w:szCs w:val="32"/>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w:t>
      </w:r>
      <w:r>
        <w:rPr>
          <w:rFonts w:ascii="仿宋" w:hAnsi="仿宋" w:eastAsia="仿宋" w:cs="Times New Roman"/>
          <w:sz w:val="32"/>
          <w:szCs w:val="32"/>
        </w:rPr>
        <w:t>中共</w:t>
      </w:r>
      <w:r>
        <w:rPr>
          <w:rFonts w:hint="eastAsia" w:ascii="仿宋" w:hAnsi="仿宋" w:eastAsia="仿宋" w:cs="Times New Roman"/>
          <w:sz w:val="32"/>
          <w:szCs w:val="32"/>
        </w:rPr>
        <w:t>保定市</w:t>
      </w:r>
      <w:r>
        <w:rPr>
          <w:rFonts w:ascii="仿宋" w:hAnsi="仿宋" w:eastAsia="仿宋" w:cs="Times New Roman"/>
          <w:sz w:val="32"/>
          <w:szCs w:val="32"/>
        </w:rPr>
        <w:t>徐水区</w:t>
      </w:r>
      <w:r>
        <w:rPr>
          <w:rFonts w:hint="eastAsia" w:ascii="仿宋" w:hAnsi="仿宋" w:eastAsia="仿宋" w:cs="Times New Roman"/>
          <w:sz w:val="32"/>
          <w:szCs w:val="32"/>
        </w:rPr>
        <w:t>为</w:t>
      </w:r>
      <w:r>
        <w:rPr>
          <w:rFonts w:ascii="仿宋" w:hAnsi="仿宋" w:eastAsia="仿宋" w:cs="Times New Roman"/>
          <w:sz w:val="32"/>
          <w:szCs w:val="32"/>
        </w:rPr>
        <w:t>办公室</w:t>
      </w:r>
      <w:r>
        <w:rPr>
          <w:rFonts w:hint="eastAsia" w:ascii="仿宋" w:hAnsi="仿宋" w:eastAsia="仿宋" w:cs="Times New Roman"/>
          <w:sz w:val="32"/>
          <w:szCs w:val="32"/>
        </w:rPr>
        <w:t>《</w:t>
      </w:r>
      <w:r>
        <w:rPr>
          <w:rFonts w:ascii="仿宋" w:hAnsi="仿宋" w:eastAsia="仿宋" w:cs="Times New Roman"/>
          <w:sz w:val="32"/>
          <w:szCs w:val="32"/>
        </w:rPr>
        <w:t>关于印发</w:t>
      </w:r>
      <w:r>
        <w:rPr>
          <w:rFonts w:hint="eastAsia" w:ascii="仿宋" w:hAnsi="仿宋" w:eastAsia="仿宋" w:cs="Times New Roman"/>
          <w:sz w:val="32"/>
          <w:szCs w:val="32"/>
        </w:rPr>
        <w:t>&lt;保定市徐水区人民代表大会常务委员会</w:t>
      </w:r>
      <w:r>
        <w:rPr>
          <w:rFonts w:ascii="仿宋" w:hAnsi="仿宋" w:eastAsia="仿宋" w:cs="Times New Roman"/>
          <w:sz w:val="32"/>
          <w:szCs w:val="32"/>
        </w:rPr>
        <w:t>机关职能配置、内设机构和人员编制规定</w:t>
      </w:r>
      <w:r>
        <w:rPr>
          <w:rFonts w:hint="eastAsia" w:ascii="仿宋" w:hAnsi="仿宋" w:eastAsia="仿宋" w:cs="Times New Roman"/>
          <w:sz w:val="32"/>
          <w:szCs w:val="32"/>
        </w:rPr>
        <w:t>&gt;的</w:t>
      </w:r>
      <w:r>
        <w:rPr>
          <w:rFonts w:ascii="仿宋" w:hAnsi="仿宋" w:eastAsia="仿宋" w:cs="Times New Roman"/>
          <w:sz w:val="32"/>
          <w:szCs w:val="32"/>
        </w:rPr>
        <w:t>通知》（徐办字</w:t>
      </w:r>
      <w:r>
        <w:rPr>
          <w:rFonts w:hint="eastAsia" w:ascii="仿宋" w:hAnsi="仿宋" w:eastAsia="仿宋" w:cs="Times New Roman"/>
          <w:sz w:val="32"/>
          <w:szCs w:val="32"/>
        </w:rPr>
        <w:t>[</w:t>
      </w:r>
      <w:r>
        <w:rPr>
          <w:rFonts w:ascii="仿宋" w:hAnsi="仿宋" w:eastAsia="仿宋" w:cs="Times New Roman"/>
          <w:sz w:val="32"/>
          <w:szCs w:val="32"/>
        </w:rPr>
        <w:t>2020</w:t>
      </w: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号</w:t>
      </w:r>
      <w:r>
        <w:rPr>
          <w:rFonts w:ascii="仿宋" w:hAnsi="仿宋" w:eastAsia="仿宋" w:cs="Times New Roman"/>
          <w:sz w:val="32"/>
          <w:szCs w:val="32"/>
        </w:rPr>
        <w:t>），现将我部门概括说明如下：</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（一）为人大会议服务。主要为本级人民代表大会和人大常委会会议、主任会议服务，包括发送会议通知、准备会议文件、提供必要的资料，起草会议的议程草案、安排会议、会议记录等。</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（二）为人大日常工作服务。负责联系代表、安排代表活动、组织视察、调研、执法检查等，处理代表和人大常委会组成人员提出的议案、建议、批评和意见，接待人民群众的来信来访。</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（三）提供研究、咨询服务。围绕人大制度建设和民主法制建设进行调查研究，发现问题并提供解决问题的办法，为人大及其常委会决议决定提供信息和参考。</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（四）提供后勤服务。包括为人大及其常委会工作人员的工作、生活提供一些必要的保障。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6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972"/>
        <w:gridCol w:w="1421"/>
        <w:gridCol w:w="1418"/>
        <w:gridCol w:w="2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2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83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7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办公室</w:t>
            </w:r>
          </w:p>
        </w:tc>
        <w:tc>
          <w:tcPr>
            <w:tcW w:w="142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283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hint="eastAsia" w:ascii="仿宋" w:hAnsi="仿宋" w:eastAsia="仿宋"/>
          <w:b/>
          <w:sz w:val="32"/>
          <w:szCs w:val="32"/>
        </w:rPr>
      </w:pPr>
    </w:p>
    <w:p>
      <w:pPr>
        <w:spacing w:line="360" w:lineRule="auto"/>
        <w:rPr>
          <w:rFonts w:ascii="仿宋" w:hAnsi="仿宋" w:eastAsia="仿宋"/>
          <w:b/>
          <w:sz w:val="32"/>
          <w:szCs w:val="32"/>
        </w:rPr>
      </w:pPr>
    </w:p>
    <w:p>
      <w:pPr>
        <w:jc w:val="center"/>
        <w:outlineLvl w:val="0"/>
        <w:rPr>
          <w:rFonts w:ascii="方正小标宋_GBK" w:eastAsia="方正小标宋_GBK"/>
          <w:b/>
          <w:sz w:val="44"/>
        </w:rPr>
      </w:pPr>
      <w:r>
        <w:rPr>
          <w:rFonts w:hint="eastAsia" w:ascii="方正小标宋_GBK" w:eastAsia="方正小标宋_GBK"/>
          <w:b/>
          <w:sz w:val="44"/>
        </w:rPr>
        <w:t>第二部分：部门预算安排的总体情况</w:t>
      </w:r>
      <w:r>
        <w:rPr>
          <w:rFonts w:ascii="方正小标宋_GBK" w:eastAsia="方正小标宋_GBK"/>
          <w:b/>
          <w:sz w:val="44"/>
        </w:rPr>
        <w:t xml:space="preserve"> </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2021年预算收入为567.61万元,其中：一般公共预算收入567.61万元，基金预算收入0万元，财政专户收入0万元，其他来源收入0万元。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2021年部门支出预算：567.61万元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基本支出5</w:t>
      </w:r>
      <w:r>
        <w:rPr>
          <w:rFonts w:ascii="仿宋" w:hAnsi="仿宋" w:eastAsia="仿宋"/>
          <w:sz w:val="32"/>
          <w:szCs w:val="32"/>
        </w:rPr>
        <w:t>26.65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其中：人员经费467.12万元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日常公用经费59.53万元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40.96万元</w:t>
      </w:r>
    </w:p>
    <w:p>
      <w:pPr>
        <w:spacing w:line="540" w:lineRule="exact"/>
        <w:ind w:firstLine="640" w:firstLineChars="200"/>
        <w:rPr>
          <w:rFonts w:ascii="仿宋" w:hAnsi="仿宋" w:eastAsia="仿宋"/>
          <w:sz w:val="32"/>
          <w:szCs w:val="32"/>
        </w:rPr>
      </w:pPr>
      <w:r>
        <w:rPr>
          <w:rFonts w:ascii="仿宋" w:hAnsi="仿宋" w:eastAsia="仿宋"/>
          <w:sz w:val="32"/>
          <w:szCs w:val="32"/>
        </w:rPr>
        <w:t xml:space="preserve">    其中：本级支出40.96万元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本年度预算收支安排5</w:t>
      </w:r>
      <w:r>
        <w:rPr>
          <w:rFonts w:ascii="仿宋" w:hAnsi="仿宋" w:eastAsia="仿宋"/>
          <w:sz w:val="32"/>
          <w:szCs w:val="32"/>
        </w:rPr>
        <w:t>67.61</w:t>
      </w:r>
      <w:r>
        <w:rPr>
          <w:rFonts w:hint="eastAsia" w:ascii="仿宋" w:hAnsi="仿宋" w:eastAsia="仿宋"/>
          <w:sz w:val="32"/>
          <w:szCs w:val="32"/>
        </w:rPr>
        <w:t>万元，较上年</w:t>
      </w:r>
      <w:r>
        <w:rPr>
          <w:rFonts w:ascii="仿宋" w:hAnsi="仿宋" w:eastAsia="仿宋"/>
          <w:sz w:val="32"/>
          <w:szCs w:val="32"/>
        </w:rPr>
        <w:t>减少45.42万元。其中:基本支出减少33.04万元，</w:t>
      </w:r>
      <w:r>
        <w:rPr>
          <w:rFonts w:ascii="仿宋" w:hAnsi="仿宋" w:eastAsia="仿宋"/>
          <w:color w:val="000000" w:themeColor="text1"/>
          <w:sz w:val="32"/>
          <w:szCs w:val="32"/>
        </w:rPr>
        <w:t>主要原因是</w:t>
      </w:r>
      <w:r>
        <w:rPr>
          <w:rFonts w:hint="eastAsia" w:ascii="仿宋" w:hAnsi="仿宋" w:eastAsia="仿宋"/>
          <w:color w:val="000000" w:themeColor="text1"/>
          <w:sz w:val="32"/>
          <w:szCs w:val="32"/>
        </w:rPr>
        <w:t>人员支出</w:t>
      </w:r>
      <w:r>
        <w:rPr>
          <w:rFonts w:ascii="仿宋" w:hAnsi="仿宋" w:eastAsia="仿宋"/>
          <w:color w:val="000000" w:themeColor="text1"/>
          <w:sz w:val="32"/>
          <w:szCs w:val="32"/>
        </w:rPr>
        <w:t>减少；项目支出减少12.38万元，主要原因是</w:t>
      </w:r>
      <w:r>
        <w:rPr>
          <w:rFonts w:hint="eastAsia" w:ascii="仿宋" w:hAnsi="仿宋" w:eastAsia="仿宋"/>
          <w:color w:val="000000" w:themeColor="text1"/>
          <w:sz w:val="32"/>
          <w:szCs w:val="32"/>
        </w:rPr>
        <w:t>认真</w:t>
      </w:r>
      <w:r>
        <w:rPr>
          <w:rFonts w:ascii="仿宋" w:hAnsi="仿宋" w:eastAsia="仿宋"/>
          <w:color w:val="000000" w:themeColor="text1"/>
          <w:sz w:val="32"/>
          <w:szCs w:val="32"/>
        </w:rPr>
        <w:t>执行</w:t>
      </w:r>
      <w:r>
        <w:rPr>
          <w:rFonts w:hint="eastAsia" w:ascii="仿宋" w:hAnsi="仿宋" w:eastAsia="仿宋"/>
          <w:color w:val="000000" w:themeColor="text1"/>
          <w:sz w:val="32"/>
          <w:szCs w:val="32"/>
          <w:lang w:eastAsia="zh-CN"/>
        </w:rPr>
        <w:t>中央八项规定</w:t>
      </w:r>
      <w:r>
        <w:rPr>
          <w:rFonts w:hint="eastAsia" w:ascii="仿宋" w:hAnsi="仿宋" w:eastAsia="仿宋"/>
          <w:color w:val="000000" w:themeColor="text1"/>
          <w:sz w:val="32"/>
          <w:szCs w:val="32"/>
        </w:rPr>
        <w:t>，</w:t>
      </w:r>
      <w:r>
        <w:rPr>
          <w:rFonts w:ascii="仿宋" w:hAnsi="仿宋" w:eastAsia="仿宋"/>
          <w:color w:val="000000" w:themeColor="text1"/>
          <w:sz w:val="32"/>
          <w:szCs w:val="32"/>
        </w:rPr>
        <w:t>厉行</w:t>
      </w:r>
      <w:r>
        <w:rPr>
          <w:rFonts w:hint="eastAsia" w:ascii="仿宋" w:hAnsi="仿宋" w:eastAsia="仿宋"/>
          <w:color w:val="000000" w:themeColor="text1"/>
          <w:sz w:val="32"/>
          <w:szCs w:val="32"/>
        </w:rPr>
        <w:t>节约</w:t>
      </w:r>
      <w:r>
        <w:rPr>
          <w:rFonts w:ascii="仿宋" w:hAnsi="仿宋" w:eastAsia="仿宋"/>
          <w:color w:val="000000" w:themeColor="text1"/>
          <w:sz w:val="32"/>
          <w:szCs w:val="32"/>
        </w:rPr>
        <w:t>，</w:t>
      </w:r>
      <w:r>
        <w:rPr>
          <w:rFonts w:hint="eastAsia" w:ascii="仿宋" w:hAnsi="仿宋" w:eastAsia="仿宋"/>
          <w:color w:val="000000" w:themeColor="text1"/>
          <w:sz w:val="32"/>
          <w:szCs w:val="32"/>
        </w:rPr>
        <w:t>严格控制</w:t>
      </w:r>
      <w:r>
        <w:rPr>
          <w:rFonts w:ascii="仿宋" w:hAnsi="仿宋" w:eastAsia="仿宋"/>
          <w:color w:val="000000" w:themeColor="text1"/>
          <w:sz w:val="32"/>
          <w:szCs w:val="32"/>
        </w:rPr>
        <w:t>项目支出预算。</w:t>
      </w:r>
    </w:p>
    <w:p>
      <w:pPr>
        <w:spacing w:line="540" w:lineRule="exact"/>
        <w:ind w:firstLine="640" w:firstLineChars="200"/>
        <w:rPr>
          <w:rFonts w:ascii="仿宋" w:hAnsi="仿宋" w:eastAsia="仿宋"/>
          <w:sz w:val="32"/>
          <w:szCs w:val="32"/>
        </w:rPr>
      </w:pPr>
    </w:p>
    <w:p>
      <w:pPr>
        <w:spacing w:line="540" w:lineRule="exact"/>
        <w:jc w:val="center"/>
        <w:outlineLvl w:val="0"/>
        <w:rPr>
          <w:rFonts w:ascii="方正小标宋_GBK" w:eastAsia="方正小标宋_GBK"/>
          <w:b/>
          <w:sz w:val="44"/>
        </w:rPr>
      </w:pPr>
      <w:r>
        <w:rPr>
          <w:rFonts w:hint="eastAsia" w:ascii="方正小标宋_GBK" w:eastAsia="方正小标宋_GBK"/>
          <w:b/>
          <w:sz w:val="44"/>
        </w:rPr>
        <w:t>第三部分：机关运行经费安排情况</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ascii="仿宋" w:hAnsi="仿宋" w:eastAsia="仿宋"/>
          <w:b/>
          <w:sz w:val="32"/>
          <w:szCs w:val="32"/>
        </w:rPr>
      </w:pPr>
      <w:r>
        <w:rPr>
          <w:rFonts w:ascii="仿宋" w:hAnsi="仿宋" w:eastAsia="仿宋"/>
          <w:sz w:val="32"/>
          <w:szCs w:val="32"/>
        </w:rPr>
        <w:t>2021年我部门机关运行经费安排59.53万元，其中办公费4.6万元，邮电费12.26万元，</w:t>
      </w:r>
      <w:r>
        <w:rPr>
          <w:rFonts w:hint="eastAsia" w:ascii="仿宋" w:hAnsi="仿宋" w:eastAsia="仿宋"/>
          <w:sz w:val="32"/>
          <w:szCs w:val="32"/>
          <w:lang w:eastAsia="zh-CN"/>
        </w:rPr>
        <w:t>公务接待费</w:t>
      </w:r>
      <w:r>
        <w:rPr>
          <w:rFonts w:hint="eastAsia" w:ascii="仿宋" w:hAnsi="仿宋" w:eastAsia="仿宋"/>
          <w:sz w:val="32"/>
          <w:szCs w:val="32"/>
          <w:lang w:val="en-US" w:eastAsia="zh-CN"/>
        </w:rPr>
        <w:t>2.00万元，</w:t>
      </w:r>
      <w:r>
        <w:rPr>
          <w:rFonts w:ascii="仿宋" w:hAnsi="仿宋" w:eastAsia="仿宋"/>
          <w:sz w:val="32"/>
          <w:szCs w:val="32"/>
        </w:rPr>
        <w:t>工会经费</w:t>
      </w:r>
      <w:r>
        <w:rPr>
          <w:rFonts w:hint="eastAsia" w:ascii="仿宋" w:hAnsi="仿宋" w:eastAsia="仿宋"/>
          <w:sz w:val="32"/>
          <w:szCs w:val="32"/>
          <w:lang w:val="en-US" w:eastAsia="zh-CN"/>
        </w:rPr>
        <w:t>3.61万元，</w:t>
      </w:r>
      <w:r>
        <w:rPr>
          <w:rFonts w:ascii="仿宋" w:hAnsi="仿宋" w:eastAsia="仿宋"/>
          <w:sz w:val="32"/>
          <w:szCs w:val="32"/>
        </w:rPr>
        <w:t>福利费</w:t>
      </w:r>
      <w:r>
        <w:rPr>
          <w:rFonts w:hint="eastAsia" w:ascii="仿宋" w:hAnsi="仿宋" w:eastAsia="仿宋"/>
          <w:sz w:val="32"/>
          <w:szCs w:val="32"/>
          <w:lang w:val="en-US" w:eastAsia="zh-CN"/>
        </w:rPr>
        <w:t>2.58</w:t>
      </w:r>
      <w:r>
        <w:rPr>
          <w:rFonts w:ascii="仿宋" w:hAnsi="仿宋" w:eastAsia="仿宋"/>
          <w:sz w:val="32"/>
          <w:szCs w:val="32"/>
        </w:rPr>
        <w:t>万元，公务用车运行维护费10.8万元</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lang w:eastAsia="zh-CN"/>
        </w:rPr>
        <w:t>交通费用</w:t>
      </w:r>
      <w:r>
        <w:rPr>
          <w:rFonts w:hint="eastAsia" w:ascii="仿宋" w:hAnsi="仿宋" w:eastAsia="仿宋"/>
          <w:sz w:val="32"/>
          <w:szCs w:val="32"/>
          <w:lang w:val="en-US" w:eastAsia="zh-CN"/>
        </w:rPr>
        <w:t>15.89万元，其他商品和服务</w:t>
      </w:r>
      <w:r>
        <w:rPr>
          <w:rFonts w:ascii="仿宋" w:hAnsi="仿宋" w:eastAsia="仿宋"/>
          <w:sz w:val="32"/>
          <w:szCs w:val="32"/>
        </w:rPr>
        <w:t>支出</w:t>
      </w:r>
      <w:r>
        <w:rPr>
          <w:rFonts w:hint="eastAsia" w:ascii="仿宋" w:hAnsi="仿宋" w:eastAsia="仿宋"/>
          <w:sz w:val="32"/>
          <w:szCs w:val="32"/>
          <w:lang w:val="en-US" w:eastAsia="zh-CN"/>
        </w:rPr>
        <w:t>7.79</w:t>
      </w:r>
      <w:r>
        <w:rPr>
          <w:rFonts w:ascii="仿宋" w:hAnsi="仿宋" w:eastAsia="仿宋"/>
          <w:sz w:val="32"/>
          <w:szCs w:val="32"/>
        </w:rPr>
        <w:t>万元。</w:t>
      </w:r>
    </w:p>
    <w:p>
      <w:pPr>
        <w:spacing w:line="540" w:lineRule="exact"/>
        <w:jc w:val="center"/>
        <w:outlineLvl w:val="0"/>
        <w:rPr>
          <w:rFonts w:ascii="方正小标宋_GBK" w:eastAsia="方正小标宋_GBK"/>
          <w:sz w:val="44"/>
        </w:rPr>
      </w:pPr>
    </w:p>
    <w:p>
      <w:pPr>
        <w:spacing w:line="540" w:lineRule="exact"/>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34" w:type="pct"/>
        <w:tblInd w:w="0" w:type="dxa"/>
        <w:tblLayout w:type="autofit"/>
        <w:tblCellMar>
          <w:top w:w="0" w:type="dxa"/>
          <w:left w:w="108" w:type="dxa"/>
          <w:bottom w:w="0" w:type="dxa"/>
          <w:right w:w="108" w:type="dxa"/>
        </w:tblCellMar>
      </w:tblPr>
      <w:tblGrid>
        <w:gridCol w:w="9580"/>
      </w:tblGrid>
      <w:tr>
        <w:tblPrEx>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92"/>
              <w:gridCol w:w="1292"/>
              <w:gridCol w:w="1437"/>
              <w:gridCol w:w="847"/>
              <w:gridCol w:w="2432"/>
            </w:tblGrid>
            <w:tr>
              <w:tblPrEx>
                <w:tblCellMar>
                  <w:top w:w="0" w:type="dxa"/>
                  <w:left w:w="108" w:type="dxa"/>
                  <w:bottom w:w="0" w:type="dxa"/>
                  <w:right w:w="108" w:type="dxa"/>
                </w:tblCellMar>
              </w:tblPrEx>
              <w:trPr>
                <w:trHeight w:val="703" w:hRule="atLeast"/>
                <w:jc w:val="center"/>
              </w:trPr>
              <w:tc>
                <w:tcPr>
                  <w:tcW w:w="820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703" w:hRule="atLeast"/>
                <w:jc w:val="center"/>
              </w:trPr>
              <w:tc>
                <w:tcPr>
                  <w:tcW w:w="2192" w:type="dxa"/>
                  <w:tcBorders>
                    <w:top w:val="nil"/>
                    <w:left w:val="nil"/>
                    <w:bottom w:val="nil"/>
                    <w:right w:val="nil"/>
                  </w:tcBorders>
                  <w:vAlign w:val="center"/>
                </w:tcPr>
                <w:p>
                  <w:pPr>
                    <w:widowControl/>
                    <w:jc w:val="left"/>
                    <w:rPr>
                      <w:rFonts w:ascii="宋体" w:hAnsi="宋体" w:cs="宋体"/>
                      <w:kern w:val="0"/>
                      <w:sz w:val="24"/>
                      <w:szCs w:val="24"/>
                    </w:rPr>
                  </w:pPr>
                </w:p>
              </w:tc>
              <w:tc>
                <w:tcPr>
                  <w:tcW w:w="1292" w:type="dxa"/>
                  <w:tcBorders>
                    <w:top w:val="nil"/>
                    <w:left w:val="nil"/>
                    <w:bottom w:val="nil"/>
                    <w:right w:val="nil"/>
                  </w:tcBorders>
                  <w:vAlign w:val="center"/>
                </w:tcPr>
                <w:p>
                  <w:pPr>
                    <w:widowControl/>
                    <w:jc w:val="left"/>
                    <w:rPr>
                      <w:rFonts w:ascii="宋体" w:hAnsi="宋体" w:cs="宋体"/>
                      <w:kern w:val="0"/>
                      <w:sz w:val="24"/>
                      <w:szCs w:val="24"/>
                    </w:rPr>
                  </w:pPr>
                </w:p>
              </w:tc>
              <w:tc>
                <w:tcPr>
                  <w:tcW w:w="1437" w:type="dxa"/>
                  <w:tcBorders>
                    <w:top w:val="nil"/>
                    <w:left w:val="nil"/>
                    <w:bottom w:val="nil"/>
                    <w:right w:val="nil"/>
                  </w:tcBorders>
                  <w:vAlign w:val="center"/>
                </w:tcPr>
                <w:p>
                  <w:pPr>
                    <w:widowControl/>
                    <w:jc w:val="left"/>
                    <w:rPr>
                      <w:rFonts w:ascii="宋体" w:hAnsi="宋体" w:cs="宋体"/>
                      <w:kern w:val="0"/>
                      <w:sz w:val="24"/>
                      <w:szCs w:val="24"/>
                    </w:rPr>
                  </w:pPr>
                </w:p>
              </w:tc>
              <w:tc>
                <w:tcPr>
                  <w:tcW w:w="847" w:type="dxa"/>
                  <w:tcBorders>
                    <w:top w:val="nil"/>
                    <w:left w:val="nil"/>
                    <w:bottom w:val="nil"/>
                    <w:right w:val="nil"/>
                  </w:tcBorders>
                  <w:vAlign w:val="center"/>
                </w:tcPr>
                <w:p>
                  <w:pPr>
                    <w:widowControl/>
                    <w:jc w:val="left"/>
                    <w:rPr>
                      <w:rFonts w:ascii="宋体" w:hAnsi="宋体" w:cs="宋体"/>
                      <w:kern w:val="0"/>
                      <w:sz w:val="24"/>
                      <w:szCs w:val="24"/>
                    </w:rPr>
                  </w:pPr>
                </w:p>
              </w:tc>
              <w:tc>
                <w:tcPr>
                  <w:tcW w:w="243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724"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3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537" w:hRule="atLeast"/>
                <w:jc w:val="center"/>
              </w:trPr>
              <w:tc>
                <w:tcPr>
                  <w:tcW w:w="21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4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无</w:t>
                  </w:r>
                  <w:r>
                    <w:rPr>
                      <w:rFonts w:ascii="仿宋_GB2312" w:hAnsi="宋体" w:eastAsia="仿宋_GB2312" w:cs="宋体"/>
                      <w:color w:val="000000" w:themeColor="text1"/>
                      <w:kern w:val="0"/>
                      <w:sz w:val="24"/>
                      <w:szCs w:val="24"/>
                    </w:rPr>
                    <w:t>增减变化</w:t>
                  </w:r>
                </w:p>
              </w:tc>
            </w:tr>
            <w:tr>
              <w:tblPrEx>
                <w:tblCellMar>
                  <w:top w:w="0" w:type="dxa"/>
                  <w:left w:w="108" w:type="dxa"/>
                  <w:bottom w:w="0" w:type="dxa"/>
                  <w:right w:w="108" w:type="dxa"/>
                </w:tblCellMar>
              </w:tblPrEx>
              <w:trPr>
                <w:trHeight w:val="481" w:hRule="atLeast"/>
                <w:jc w:val="center"/>
              </w:trPr>
              <w:tc>
                <w:tcPr>
                  <w:tcW w:w="21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4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无</w:t>
                  </w:r>
                  <w:r>
                    <w:rPr>
                      <w:rFonts w:ascii="仿宋_GB2312" w:hAnsi="宋体" w:eastAsia="仿宋_GB2312" w:cs="宋体"/>
                      <w:color w:val="000000" w:themeColor="text1"/>
                      <w:kern w:val="0"/>
                      <w:sz w:val="24"/>
                      <w:szCs w:val="24"/>
                    </w:rPr>
                    <w:t>增减变化</w:t>
                  </w:r>
                </w:p>
              </w:tc>
            </w:tr>
            <w:tr>
              <w:tblPrEx>
                <w:tblCellMar>
                  <w:top w:w="0" w:type="dxa"/>
                  <w:left w:w="108" w:type="dxa"/>
                  <w:bottom w:w="0" w:type="dxa"/>
                  <w:right w:w="108" w:type="dxa"/>
                </w:tblCellMar>
              </w:tblPrEx>
              <w:trPr>
                <w:trHeight w:val="724" w:hRule="atLeast"/>
                <w:jc w:val="center"/>
              </w:trPr>
              <w:tc>
                <w:tcPr>
                  <w:tcW w:w="21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20</w:t>
                  </w:r>
                </w:p>
              </w:tc>
              <w:tc>
                <w:tcPr>
                  <w:tcW w:w="14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lang w:val="en-US" w:eastAsia="zh-CN"/>
                    </w:rPr>
                    <w:t>0</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lang w:val="en-US" w:eastAsia="zh-CN"/>
                    </w:rPr>
                    <w:t>8</w:t>
                  </w:r>
                </w:p>
              </w:tc>
              <w:tc>
                <w:tcPr>
                  <w:tcW w:w="84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rPr>
                  </w:pPr>
                  <w:r>
                    <w:rPr>
                      <w:rFonts w:hint="eastAsia" w:ascii="仿宋_GB2312" w:hAnsi="宋体" w:eastAsia="仿宋_GB2312" w:cs="宋体"/>
                      <w:color w:val="000000" w:themeColor="text1"/>
                      <w:kern w:val="0"/>
                      <w:sz w:val="24"/>
                      <w:szCs w:val="24"/>
                      <w:lang w:val="en-US" w:eastAsia="zh-CN"/>
                    </w:rPr>
                    <w:t>-9.2</w:t>
                  </w:r>
                </w:p>
              </w:tc>
              <w:tc>
                <w:tcPr>
                  <w:tcW w:w="24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 w:hAnsi="仿宋" w:eastAsia="仿宋"/>
                      <w:color w:val="000000" w:themeColor="text1"/>
                      <w:sz w:val="24"/>
                      <w:szCs w:val="24"/>
                    </w:rPr>
                    <w:t>认真</w:t>
                  </w:r>
                  <w:r>
                    <w:rPr>
                      <w:rFonts w:ascii="仿宋" w:hAnsi="仿宋" w:eastAsia="仿宋"/>
                      <w:color w:val="000000" w:themeColor="text1"/>
                      <w:sz w:val="24"/>
                      <w:szCs w:val="24"/>
                    </w:rPr>
                    <w:t>执行</w:t>
                  </w:r>
                  <w:r>
                    <w:rPr>
                      <w:rFonts w:hint="eastAsia" w:ascii="仿宋" w:hAnsi="仿宋" w:eastAsia="仿宋"/>
                      <w:color w:val="000000" w:themeColor="text1"/>
                      <w:sz w:val="24"/>
                      <w:szCs w:val="24"/>
                      <w:lang w:eastAsia="zh-CN"/>
                    </w:rPr>
                    <w:t>中央八项规定</w:t>
                  </w:r>
                  <w:r>
                    <w:rPr>
                      <w:rFonts w:hint="eastAsia" w:ascii="仿宋" w:hAnsi="仿宋" w:eastAsia="仿宋"/>
                      <w:color w:val="000000" w:themeColor="text1"/>
                      <w:sz w:val="24"/>
                      <w:szCs w:val="24"/>
                    </w:rPr>
                    <w:t>，</w:t>
                  </w:r>
                  <w:r>
                    <w:rPr>
                      <w:rFonts w:ascii="仿宋" w:hAnsi="仿宋" w:eastAsia="仿宋"/>
                      <w:color w:val="000000" w:themeColor="text1"/>
                      <w:sz w:val="24"/>
                      <w:szCs w:val="24"/>
                    </w:rPr>
                    <w:t>厉行</w:t>
                  </w:r>
                  <w:r>
                    <w:rPr>
                      <w:rFonts w:hint="eastAsia" w:ascii="仿宋" w:hAnsi="仿宋" w:eastAsia="仿宋"/>
                      <w:color w:val="000000" w:themeColor="text1"/>
                      <w:sz w:val="24"/>
                      <w:szCs w:val="24"/>
                    </w:rPr>
                    <w:t>节约。</w:t>
                  </w:r>
                </w:p>
              </w:tc>
            </w:tr>
            <w:tr>
              <w:tblPrEx>
                <w:tblCellMar>
                  <w:top w:w="0" w:type="dxa"/>
                  <w:left w:w="108" w:type="dxa"/>
                  <w:bottom w:w="0" w:type="dxa"/>
                  <w:right w:w="108" w:type="dxa"/>
                </w:tblCellMar>
              </w:tblPrEx>
              <w:trPr>
                <w:trHeight w:val="372" w:hRule="atLeast"/>
                <w:jc w:val="center"/>
              </w:trPr>
              <w:tc>
                <w:tcPr>
                  <w:tcW w:w="21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w:t>
                  </w:r>
                </w:p>
              </w:tc>
              <w:tc>
                <w:tcPr>
                  <w:tcW w:w="14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w:t>
                  </w:r>
                </w:p>
              </w:tc>
              <w:tc>
                <w:tcPr>
                  <w:tcW w:w="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4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无</w:t>
                  </w:r>
                  <w:r>
                    <w:rPr>
                      <w:rFonts w:ascii="仿宋_GB2312" w:hAnsi="宋体" w:eastAsia="仿宋_GB2312" w:cs="宋体"/>
                      <w:color w:val="000000" w:themeColor="text1"/>
                      <w:kern w:val="0"/>
                      <w:sz w:val="24"/>
                      <w:szCs w:val="24"/>
                    </w:rPr>
                    <w:t>增减变化</w:t>
                  </w:r>
                </w:p>
              </w:tc>
            </w:tr>
            <w:tr>
              <w:tblPrEx>
                <w:tblCellMar>
                  <w:top w:w="0" w:type="dxa"/>
                  <w:left w:w="108" w:type="dxa"/>
                  <w:bottom w:w="0" w:type="dxa"/>
                  <w:right w:w="108" w:type="dxa"/>
                </w:tblCellMar>
              </w:tblPrEx>
              <w:trPr>
                <w:trHeight w:val="724" w:hRule="atLeast"/>
                <w:jc w:val="center"/>
              </w:trPr>
              <w:tc>
                <w:tcPr>
                  <w:tcW w:w="21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22</w:t>
                  </w:r>
                </w:p>
              </w:tc>
              <w:tc>
                <w:tcPr>
                  <w:tcW w:w="14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rPr>
                  </w:pPr>
                  <w:r>
                    <w:rPr>
                      <w:rFonts w:hint="eastAsia" w:ascii="仿宋_GB2312" w:hAnsi="宋体" w:eastAsia="仿宋_GB2312" w:cs="宋体"/>
                      <w:color w:val="000000" w:themeColor="text1"/>
                      <w:kern w:val="0"/>
                      <w:sz w:val="24"/>
                      <w:szCs w:val="24"/>
                      <w:lang w:val="en-US" w:eastAsia="zh-CN"/>
                    </w:rPr>
                    <w:t>12.8</w:t>
                  </w:r>
                </w:p>
              </w:tc>
              <w:tc>
                <w:tcPr>
                  <w:tcW w:w="84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rPr>
                  </w:pPr>
                  <w:r>
                    <w:rPr>
                      <w:rFonts w:hint="eastAsia" w:ascii="仿宋_GB2312" w:hAnsi="宋体" w:eastAsia="仿宋_GB2312" w:cs="宋体"/>
                      <w:color w:val="000000" w:themeColor="text1"/>
                      <w:kern w:val="0"/>
                      <w:sz w:val="24"/>
                      <w:szCs w:val="24"/>
                      <w:lang w:val="en-US" w:eastAsia="zh-CN"/>
                    </w:rPr>
                    <w:t>-9.2</w:t>
                  </w:r>
                </w:p>
              </w:tc>
              <w:tc>
                <w:tcPr>
                  <w:tcW w:w="24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 w:hAnsi="仿宋" w:eastAsia="仿宋"/>
                      <w:color w:val="000000" w:themeColor="text1"/>
                      <w:sz w:val="24"/>
                      <w:szCs w:val="24"/>
                    </w:rPr>
                    <w:t>认真</w:t>
                  </w:r>
                  <w:r>
                    <w:rPr>
                      <w:rFonts w:ascii="仿宋" w:hAnsi="仿宋" w:eastAsia="仿宋"/>
                      <w:color w:val="000000" w:themeColor="text1"/>
                      <w:sz w:val="24"/>
                      <w:szCs w:val="24"/>
                    </w:rPr>
                    <w:t>执行</w:t>
                  </w:r>
                  <w:r>
                    <w:rPr>
                      <w:rFonts w:hint="eastAsia" w:ascii="仿宋" w:hAnsi="仿宋" w:eastAsia="仿宋"/>
                      <w:color w:val="000000" w:themeColor="text1"/>
                      <w:sz w:val="24"/>
                      <w:szCs w:val="24"/>
                      <w:lang w:eastAsia="zh-CN"/>
                    </w:rPr>
                    <w:t>中央八项规定</w:t>
                  </w:r>
                  <w:r>
                    <w:rPr>
                      <w:rFonts w:hint="eastAsia" w:ascii="仿宋" w:hAnsi="仿宋" w:eastAsia="仿宋"/>
                      <w:color w:val="000000" w:themeColor="text1"/>
                      <w:sz w:val="24"/>
                      <w:szCs w:val="24"/>
                    </w:rPr>
                    <w:t>，</w:t>
                  </w:r>
                  <w:r>
                    <w:rPr>
                      <w:rFonts w:ascii="仿宋" w:hAnsi="仿宋" w:eastAsia="仿宋"/>
                      <w:color w:val="000000" w:themeColor="text1"/>
                      <w:sz w:val="24"/>
                      <w:szCs w:val="24"/>
                    </w:rPr>
                    <w:t>厉行</w:t>
                  </w:r>
                  <w:r>
                    <w:rPr>
                      <w:rFonts w:hint="eastAsia" w:ascii="仿宋" w:hAnsi="仿宋" w:eastAsia="仿宋"/>
                      <w:color w:val="000000" w:themeColor="text1"/>
                      <w:sz w:val="24"/>
                      <w:szCs w:val="24"/>
                    </w:rPr>
                    <w:t>节约。</w:t>
                  </w:r>
                </w:p>
              </w:tc>
            </w:tr>
            <w:tr>
              <w:tblPrEx>
                <w:tblCellMar>
                  <w:top w:w="0" w:type="dxa"/>
                  <w:left w:w="108" w:type="dxa"/>
                  <w:bottom w:w="0" w:type="dxa"/>
                  <w:right w:w="108" w:type="dxa"/>
                </w:tblCellMar>
              </w:tblPrEx>
              <w:trPr>
                <w:trHeight w:val="372" w:hRule="atLeast"/>
                <w:jc w:val="center"/>
              </w:trPr>
              <w:tc>
                <w:tcPr>
                  <w:tcW w:w="2192" w:type="dxa"/>
                  <w:tcBorders>
                    <w:top w:val="nil"/>
                    <w:left w:val="nil"/>
                    <w:bottom w:val="nil"/>
                    <w:right w:val="nil"/>
                  </w:tcBorders>
                  <w:vAlign w:val="center"/>
                </w:tcPr>
                <w:p>
                  <w:pPr>
                    <w:widowControl/>
                    <w:jc w:val="left"/>
                    <w:rPr>
                      <w:rFonts w:ascii="宋体" w:hAnsi="宋体" w:cs="宋体"/>
                      <w:kern w:val="0"/>
                      <w:sz w:val="24"/>
                      <w:szCs w:val="24"/>
                    </w:rPr>
                  </w:pPr>
                </w:p>
              </w:tc>
              <w:tc>
                <w:tcPr>
                  <w:tcW w:w="1292" w:type="dxa"/>
                  <w:tcBorders>
                    <w:top w:val="nil"/>
                    <w:left w:val="nil"/>
                    <w:bottom w:val="nil"/>
                    <w:right w:val="nil"/>
                  </w:tcBorders>
                  <w:vAlign w:val="center"/>
                </w:tcPr>
                <w:p>
                  <w:pPr>
                    <w:widowControl/>
                    <w:jc w:val="left"/>
                    <w:rPr>
                      <w:rFonts w:ascii="宋体" w:hAnsi="宋体" w:cs="宋体"/>
                      <w:kern w:val="0"/>
                      <w:sz w:val="24"/>
                      <w:szCs w:val="24"/>
                    </w:rPr>
                  </w:pPr>
                </w:p>
              </w:tc>
              <w:tc>
                <w:tcPr>
                  <w:tcW w:w="1437" w:type="dxa"/>
                  <w:tcBorders>
                    <w:top w:val="nil"/>
                    <w:left w:val="nil"/>
                    <w:bottom w:val="nil"/>
                    <w:right w:val="nil"/>
                  </w:tcBorders>
                  <w:vAlign w:val="center"/>
                </w:tcPr>
                <w:p>
                  <w:pPr>
                    <w:widowControl/>
                    <w:jc w:val="left"/>
                    <w:rPr>
                      <w:rFonts w:ascii="宋体" w:hAnsi="宋体" w:cs="宋体"/>
                      <w:kern w:val="0"/>
                      <w:sz w:val="24"/>
                      <w:szCs w:val="24"/>
                    </w:rPr>
                  </w:pPr>
                </w:p>
              </w:tc>
              <w:tc>
                <w:tcPr>
                  <w:tcW w:w="847" w:type="dxa"/>
                  <w:tcBorders>
                    <w:top w:val="nil"/>
                    <w:left w:val="nil"/>
                    <w:bottom w:val="nil"/>
                    <w:right w:val="nil"/>
                  </w:tcBorders>
                  <w:vAlign w:val="center"/>
                </w:tcPr>
                <w:p>
                  <w:pPr>
                    <w:widowControl/>
                    <w:jc w:val="left"/>
                    <w:rPr>
                      <w:rFonts w:ascii="宋体" w:hAnsi="宋体" w:cs="宋体"/>
                      <w:kern w:val="0"/>
                      <w:sz w:val="24"/>
                      <w:szCs w:val="24"/>
                    </w:rPr>
                  </w:pPr>
                </w:p>
              </w:tc>
              <w:tc>
                <w:tcPr>
                  <w:tcW w:w="2432"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560" w:lineRule="exact"/>
        <w:jc w:val="center"/>
        <w:outlineLvl w:val="0"/>
        <w:rPr>
          <w:rFonts w:ascii="方正小标宋_GBK" w:eastAsia="方正小标宋_GBK"/>
          <w:b/>
          <w:sz w:val="44"/>
        </w:rPr>
      </w:pPr>
      <w:r>
        <w:rPr>
          <w:rFonts w:hint="eastAsia" w:ascii="方正小标宋_GBK" w:eastAsia="方正小标宋_GBK"/>
          <w:b/>
          <w:sz w:val="44"/>
        </w:rPr>
        <w:t>第五部分：预算绩效信息</w:t>
      </w:r>
    </w:p>
    <w:p>
      <w:pPr>
        <w:spacing w:line="560" w:lineRule="exact"/>
        <w:rPr>
          <w:rFonts w:ascii="黑体" w:hAnsi="黑体" w:eastAsia="黑体" w:cs="Times New Roman"/>
          <w:b/>
          <w:sz w:val="32"/>
          <w:szCs w:val="32"/>
        </w:rPr>
      </w:pPr>
    </w:p>
    <w:p>
      <w:pPr>
        <w:spacing w:line="560" w:lineRule="exact"/>
        <w:jc w:val="center"/>
        <w:outlineLvl w:val="0"/>
        <w:rPr>
          <w:rFonts w:ascii="方正小标宋_GBK" w:eastAsia="方正小标宋_GBK"/>
          <w:b/>
          <w:sz w:val="44"/>
        </w:rPr>
      </w:pPr>
      <w:r>
        <w:rPr>
          <w:rFonts w:hint="eastAsia" w:ascii="方正小标宋_GBK" w:eastAsia="方正小标宋_GBK"/>
          <w:b/>
          <w:sz w:val="44"/>
        </w:rPr>
        <w:t>部门整体</w:t>
      </w:r>
      <w:r>
        <w:rPr>
          <w:rFonts w:ascii="方正小标宋_GBK" w:eastAsia="方正小标宋_GBK"/>
          <w:b/>
          <w:sz w:val="44"/>
        </w:rPr>
        <w:t>绩效目标</w:t>
      </w:r>
    </w:p>
    <w:p>
      <w:pPr>
        <w:spacing w:beforeLines="50" w:afterLines="50" w:line="580" w:lineRule="exact"/>
        <w:ind w:firstLine="643" w:firstLineChars="200"/>
        <w:jc w:val="left"/>
        <w:outlineLvl w:val="1"/>
        <w:rPr>
          <w:rFonts w:ascii="仿宋" w:hAnsi="仿宋" w:eastAsia="仿宋" w:cs="Times New Roman"/>
          <w:b/>
          <w:sz w:val="32"/>
          <w:szCs w:val="32"/>
        </w:rPr>
      </w:pPr>
      <w:bookmarkStart w:id="0" w:name="_Toc66787862"/>
      <w:r>
        <w:rPr>
          <w:rFonts w:hint="eastAsia" w:ascii="仿宋" w:hAnsi="仿宋" w:eastAsia="仿宋" w:cs="Times New Roman"/>
          <w:b/>
          <w:sz w:val="32"/>
          <w:szCs w:val="32"/>
        </w:rPr>
        <w:t>一、总体绩效目标</w:t>
      </w:r>
      <w:bookmarkEnd w:id="0"/>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根据区二届人大五次会议通过的工作报告；审查和批准2020年国民经济和社会发展计划执行情况与2021年国民经济和社会发展计划；审查和批准徐水区2020年财政预算执行情况和2021年财政预算；审议2020年徐水区民生实事项目完成情况；审议决定常务委员会认为应当依法审议、决定的其他重要事项。</w:t>
      </w:r>
    </w:p>
    <w:p>
      <w:pPr>
        <w:spacing w:beforeLines="50" w:afterLines="50" w:line="580" w:lineRule="exact"/>
        <w:ind w:firstLine="643" w:firstLineChars="200"/>
        <w:jc w:val="left"/>
        <w:outlineLvl w:val="1"/>
        <w:rPr>
          <w:rFonts w:ascii="仿宋" w:hAnsi="仿宋" w:eastAsia="仿宋" w:cs="Times New Roman"/>
          <w:b/>
          <w:sz w:val="32"/>
          <w:szCs w:val="32"/>
        </w:rPr>
      </w:pPr>
      <w:bookmarkStart w:id="1" w:name="_Toc66787863"/>
      <w:r>
        <w:rPr>
          <w:rFonts w:ascii="仿宋" w:hAnsi="仿宋" w:eastAsia="仿宋" w:cs="Times New Roman"/>
          <w:b/>
          <w:sz w:val="32"/>
          <w:szCs w:val="32"/>
        </w:rPr>
        <w:t>二、分项绩效目标</w:t>
      </w:r>
      <w:bookmarkEnd w:id="1"/>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（一）人大监督工作促进各项法律法规、人大会议、报告等的落实；促进“一府两院”改进工作；提高规范性文件质量；促进社会和谐稳定。</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绩效目标：保障法律法规有效实施，发挥常委会组成人员及代表的桥梁纽带作用，集中反映民意。</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绩效指标：监督工作任务完成率。</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（二）人大会议工作完善各项会议制度，规范会议程序，提高会议质量，提高人大代表及常委会审议水平。</w:t>
      </w:r>
    </w:p>
    <w:p>
      <w:pPr>
        <w:spacing w:line="580" w:lineRule="exact"/>
        <w:ind w:firstLine="600" w:firstLineChars="200"/>
        <w:jc w:val="left"/>
        <w:rPr>
          <w:rFonts w:ascii="仿宋" w:hAnsi="仿宋" w:eastAsia="仿宋" w:cs="Times New Roman"/>
          <w:spacing w:val="-10"/>
          <w:sz w:val="32"/>
          <w:szCs w:val="32"/>
        </w:rPr>
      </w:pPr>
      <w:r>
        <w:rPr>
          <w:rFonts w:ascii="仿宋" w:hAnsi="仿宋" w:eastAsia="仿宋" w:cs="Times New Roman"/>
          <w:spacing w:val="-10"/>
          <w:sz w:val="32"/>
          <w:szCs w:val="32"/>
        </w:rPr>
        <w:t>绩效目标：完善各项会议制度，规范会议程序，提高会议质量。</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绩效指标：会议召开率，会议任务完成率。</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（三）选举了任免工作确保换届选举工作顺利完成，实现省市和区委人事安排部署；提高组织换届选举工作水平。</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绩效目标：依法依规完成人大选举及常委会人事任免工作。  </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绩效指标：工作完成率、任务实现率。</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（四）人大事务管理工作促进机关自身建设、服务保障能力进一步提升。</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绩效目标：机关自身建设、服务保障能力进一步提升。  </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绩效指标：工作任务完成率。</w:t>
      </w:r>
    </w:p>
    <w:p>
      <w:pPr>
        <w:spacing w:beforeLines="50" w:afterLines="50" w:line="580" w:lineRule="exact"/>
        <w:ind w:firstLine="643" w:firstLineChars="200"/>
        <w:jc w:val="left"/>
        <w:outlineLvl w:val="1"/>
        <w:rPr>
          <w:rFonts w:ascii="仿宋" w:hAnsi="仿宋" w:eastAsia="仿宋" w:cs="Times New Roman"/>
          <w:b/>
          <w:sz w:val="32"/>
          <w:szCs w:val="32"/>
        </w:rPr>
      </w:pPr>
      <w:bookmarkStart w:id="2" w:name="_Toc66787864"/>
      <w:r>
        <w:rPr>
          <w:rFonts w:ascii="仿宋" w:hAnsi="仿宋" w:eastAsia="仿宋" w:cs="Times New Roman"/>
          <w:b/>
          <w:sz w:val="32"/>
          <w:szCs w:val="32"/>
        </w:rPr>
        <w:t>三、工作保障措施</w:t>
      </w:r>
      <w:bookmarkEnd w:id="2"/>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1、加强制度建设。建立健全机关预算绩效管理制度，为全年预算绩效目标的实现奠定制度基础。</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2、加强财务管理。进一步完善财务管理制度，通过科学编制预算、优化支出结构、加快政府采购、加快项目建设、及时拨付资金，确保经费支出进度达到规定标准。</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3、加强内部监督。加强内部监督制度建设，对绩效运行、重大支出事项、资产处置及其他重要经济业务事项决策和执行进行监督，定期开展财务内部审计，确保财政资金使用安全合规。</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4、加强绩效监控。积极开展绩效运行监控，发现问题及时采取措施，确保绩效目标如期保质实现。</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5、做好绩效自评。按要求开展部门预算绩效自评和重点项目评价工作，对评价中发现的问题及时整改。</w:t>
      </w:r>
    </w:p>
    <w:p>
      <w:pPr>
        <w:spacing w:line="58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6、加强宣传培训。加强人员培训，加大宣传力度，强化预算绩效管理意识，促进预算绩效管理水平提升。</w:t>
      </w:r>
    </w:p>
    <w:p>
      <w:pPr>
        <w:spacing w:line="580" w:lineRule="exact"/>
        <w:ind w:firstLine="640" w:firstLineChars="200"/>
        <w:jc w:val="left"/>
        <w:rPr>
          <w:rFonts w:ascii="仿宋" w:hAnsi="仿宋" w:eastAsia="仿宋" w:cs="Times New Roman"/>
          <w:sz w:val="32"/>
          <w:szCs w:val="32"/>
        </w:rPr>
      </w:pPr>
    </w:p>
    <w:p>
      <w:pPr>
        <w:jc w:val="center"/>
        <w:outlineLvl w:val="0"/>
        <w:rPr>
          <w:rFonts w:ascii="方正小标宋_GBK" w:eastAsia="方正小标宋_GBK"/>
          <w:b/>
          <w:sz w:val="44"/>
        </w:rPr>
      </w:pPr>
      <w:r>
        <w:rPr>
          <w:rFonts w:hint="eastAsia" w:ascii="方正小标宋_GBK" w:eastAsia="方正小标宋_GBK"/>
          <w:b/>
          <w:sz w:val="44"/>
        </w:rPr>
        <w:t>预算项目绩效目标</w:t>
      </w:r>
    </w:p>
    <w:p>
      <w:pPr>
        <w:jc w:val="center"/>
        <w:outlineLvl w:val="0"/>
        <w:rPr>
          <w:rFonts w:ascii="方正书宋_GBK" w:eastAsia="方正书宋_GBK"/>
        </w:rPr>
      </w:pPr>
    </w:p>
    <w:p>
      <w:pPr>
        <w:ind w:firstLine="562" w:firstLineChars="200"/>
        <w:jc w:val="left"/>
        <w:outlineLvl w:val="3"/>
        <w:rPr>
          <w:rFonts w:ascii="Times New Roman" w:hAnsi="宋体" w:eastAsia="宋体" w:cs="Times New Roman"/>
          <w:b/>
          <w:sz w:val="28"/>
        </w:rPr>
      </w:pPr>
      <w:bookmarkStart w:id="3" w:name="_Toc69741034"/>
      <w:r>
        <w:rPr>
          <w:rFonts w:ascii="方正仿宋_GBK" w:hAnsi="等线" w:eastAsia="方正仿宋_GBK" w:cs="Times New Roman"/>
          <w:b/>
          <w:sz w:val="28"/>
        </w:rPr>
        <w:t>1.保洁经费绩效目标表</w:t>
      </w:r>
      <w:bookmarkEnd w:id="3"/>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101001人大本级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13062521076KU8RGFVEW1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用于人大</w:t>
            </w:r>
            <w:r>
              <w:rPr>
                <w:rFonts w:hint="eastAsia" w:ascii="方正书宋_GBK" w:hAnsi="等线" w:eastAsia="方正书宋_GBK" w:cs="Times New Roman"/>
                <w:lang w:val="en-US" w:eastAsia="zh-CN"/>
              </w:rPr>
              <w:t>常委会</w:t>
            </w:r>
            <w:r>
              <w:rPr>
                <w:rFonts w:ascii="方正书宋_GBK" w:hAnsi="等线" w:eastAsia="方正书宋_GBK" w:cs="Times New Roman"/>
              </w:rPr>
              <w:t>机关</w:t>
            </w:r>
            <w:bookmarkStart w:id="7" w:name="_GoBack"/>
            <w:r>
              <w:rPr>
                <w:rFonts w:ascii="方正书宋_GBK" w:hAnsi="等线" w:eastAsia="方正书宋_GBK" w:cs="Times New Roman"/>
              </w:rPr>
              <w:t>办公区域日常保洁</w:t>
            </w:r>
            <w:bookmarkEnd w:id="7"/>
            <w:r>
              <w:rPr>
                <w:rFonts w:ascii="方正书宋_GBK" w:hAnsi="等线"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1.为了人大</w:t>
            </w:r>
            <w:r>
              <w:rPr>
                <w:rFonts w:hint="eastAsia" w:ascii="方正书宋_GBK" w:hAnsi="等线" w:eastAsia="方正书宋_GBK" w:cs="Times New Roman"/>
                <w:lang w:val="en-US" w:eastAsia="zh-CN"/>
              </w:rPr>
              <w:t>常委会</w:t>
            </w:r>
            <w:r>
              <w:rPr>
                <w:rFonts w:ascii="方正书宋_GBK" w:hAnsi="等线" w:eastAsia="方正书宋_GBK" w:cs="Times New Roman"/>
              </w:rPr>
              <w:t>机关环境卫生更加干净漂亮。</w:t>
            </w:r>
          </w:p>
          <w:p>
            <w:pPr>
              <w:spacing w:line="300" w:lineRule="exact"/>
              <w:jc w:val="left"/>
              <w:rPr>
                <w:rFonts w:ascii="方正书宋_GBK" w:hAnsi="等线" w:eastAsia="方正书宋_GBK" w:cs="Times New Roman"/>
              </w:rPr>
            </w:pPr>
            <w:r>
              <w:rPr>
                <w:rFonts w:ascii="方正书宋_GBK" w:hAnsi="等线" w:eastAsia="方正书宋_GBK" w:cs="Times New Roman"/>
              </w:rPr>
              <w:t>2.提高工作质量和效率。</w:t>
            </w:r>
          </w:p>
          <w:p>
            <w:pPr>
              <w:spacing w:line="300" w:lineRule="exact"/>
              <w:jc w:val="left"/>
              <w:rPr>
                <w:rFonts w:ascii="方正书宋_GBK" w:hAnsi="等线" w:eastAsia="方正书宋_GBK" w:cs="Times New Roman"/>
              </w:rPr>
            </w:pPr>
            <w:r>
              <w:rPr>
                <w:rFonts w:ascii="方正书宋_GBK" w:hAnsi="等线" w:eastAsia="方正书宋_GBK" w:cs="Times New Roman"/>
              </w:rPr>
              <w:t>3.为职工提供更加舒适的工作环境。</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保洁人员数量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保证政府机关办公环境情况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保障机关环境干净整洁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工作按时完成率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工作按时完成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成本不超标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促进工作的有序进行，保持单位卫生整洁    </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w:t>
            </w:r>
            <w:r>
              <w:rPr>
                <w:rFonts w:hint="eastAsia" w:ascii="方正书宋_GBK" w:hAnsi="等线" w:eastAsia="方正书宋_GBK" w:cs="Times New Roman"/>
                <w:lang w:val="en-US" w:eastAsia="zh-CN"/>
              </w:rPr>
              <w:t>常委会</w:t>
            </w:r>
            <w:r>
              <w:rPr>
                <w:rFonts w:ascii="方正书宋_GBK" w:hAnsi="等线" w:eastAsia="方正书宋_GBK" w:cs="Times New Roman"/>
              </w:rPr>
              <w:t>机关的公共区域日常保洁效率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根据计划标准</w:t>
            </w:r>
          </w:p>
        </w:tc>
      </w:tr>
    </w:tbl>
    <w:p>
      <w:pPr>
        <w:spacing w:line="300" w:lineRule="exact"/>
        <w:jc w:val="left"/>
        <w:rPr>
          <w:rFonts w:ascii="等线" w:hAnsi="等线" w:eastAsia="等线" w:cs="Times New Roman"/>
        </w:rPr>
        <w:sectPr>
          <w:footerReference r:id="rId3" w:type="default"/>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9741035"/>
      <w:r>
        <w:rPr>
          <w:rFonts w:ascii="方正仿宋_GBK" w:hAnsi="等线" w:eastAsia="方正仿宋_GBK" w:cs="Times New Roman"/>
          <w:b/>
          <w:sz w:val="28"/>
        </w:rPr>
        <w:t>2.人大会议绩效目标表</w:t>
      </w:r>
      <w:bookmarkEnd w:id="4"/>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101001人大本级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130625212MCLLXNOYWGNO</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用于区人民代表大会和常务委员会各种会议的筹备、会务工作，负责常委会文件起草、审核把关，常委会会议、主任会议及常委会党组会议决定事项、工作部署、重要文件及领导批示的传达和督办。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w:t>
            </w:r>
            <w:r>
              <w:rPr>
                <w:rFonts w:hint="eastAsia" w:ascii="方正书宋_GBK" w:hAnsi="等线" w:eastAsia="方正书宋_GBK" w:cs="Times New Roman"/>
              </w:rPr>
              <w:t>%</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w:t>
            </w:r>
            <w:r>
              <w:rPr>
                <w:rFonts w:hint="eastAsia" w:ascii="方正书宋_GBK" w:hAnsi="等线" w:eastAsia="方正书宋_GBK" w:cs="Times New Roman"/>
              </w:rPr>
              <w:t>%</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1.完善各项会议制度，规范会议程序。</w:t>
            </w:r>
          </w:p>
          <w:p>
            <w:pPr>
              <w:spacing w:line="300" w:lineRule="exact"/>
              <w:jc w:val="left"/>
              <w:rPr>
                <w:rFonts w:ascii="方正书宋_GBK" w:hAnsi="等线" w:eastAsia="方正书宋_GBK" w:cs="Times New Roman"/>
              </w:rPr>
            </w:pPr>
            <w:r>
              <w:rPr>
                <w:rFonts w:ascii="方正书宋_GBK" w:hAnsi="等线" w:eastAsia="方正书宋_GBK" w:cs="Times New Roman"/>
              </w:rPr>
              <w:t>2.提高会议质量。</w:t>
            </w:r>
          </w:p>
          <w:p>
            <w:pPr>
              <w:spacing w:line="300" w:lineRule="exact"/>
              <w:jc w:val="left"/>
              <w:rPr>
                <w:rFonts w:ascii="方正书宋_GBK" w:hAnsi="等线" w:eastAsia="方正书宋_GBK" w:cs="Times New Roman"/>
              </w:rPr>
            </w:pPr>
            <w:r>
              <w:rPr>
                <w:rFonts w:ascii="方正书宋_GBK" w:hAnsi="等线" w:eastAsia="方正书宋_GBK" w:cs="Times New Roman"/>
              </w:rPr>
              <w:t>3.提高人大代表及常委会审议水平。</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会议完成比例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会议保障完成比例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会议圆满完成比例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会议圆满完成</w:t>
            </w:r>
          </w:p>
          <w:p>
            <w:pPr>
              <w:spacing w:line="300" w:lineRule="exact"/>
              <w:jc w:val="left"/>
              <w:rPr>
                <w:rFonts w:ascii="方正书宋_GBK" w:hAnsi="等线" w:eastAsia="方正书宋_GBK" w:cs="Times New Roman"/>
              </w:rPr>
            </w:pPr>
            <w:r>
              <w:rPr>
                <w:rFonts w:ascii="方正书宋_GBK" w:hAnsi="等线" w:eastAsia="方正书宋_GBK" w:cs="Times New Roman"/>
              </w:rPr>
              <w:t>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会议完成比例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会议完成比例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会议费成本比例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人均会议费成本比例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联席会议和联合检查完成比例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联席会议和联合检查完成比例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9741036"/>
      <w:r>
        <w:rPr>
          <w:rFonts w:hint="eastAsia" w:ascii="方正仿宋_GBK" w:hAnsi="等线" w:eastAsia="方正仿宋_GBK" w:cs="Times New Roman"/>
          <w:b/>
          <w:sz w:val="28"/>
        </w:rPr>
        <w:t>3</w:t>
      </w:r>
      <w:r>
        <w:rPr>
          <w:rFonts w:ascii="方正仿宋_GBK" w:hAnsi="等线" w:eastAsia="方正仿宋_GBK" w:cs="Times New Roman"/>
          <w:b/>
          <w:sz w:val="28"/>
        </w:rPr>
        <w:t>.人大监督绩效目标表</w:t>
      </w:r>
      <w:bookmarkEnd w:id="5"/>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101001人大本级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13062521XO0GZ2GUR5Q5K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用于区人大常委会依据人大监督工作计划和代表工作计划，依法对“一府两院”工作实施监督；进行执法调研和执法检查；开展代表建议督办；指导各级人大相关活动，促进代表作用发挥。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1.保障法律法规有效实施，发挥常委会组成人员及代表的桥梁纽带作用，集中反映民意。</w:t>
            </w:r>
          </w:p>
          <w:p>
            <w:pPr>
              <w:spacing w:line="300" w:lineRule="exact"/>
              <w:jc w:val="left"/>
              <w:rPr>
                <w:rFonts w:ascii="方正书宋_GBK" w:hAnsi="等线" w:eastAsia="方正书宋_GBK" w:cs="Times New Roman"/>
              </w:rPr>
            </w:pPr>
            <w:r>
              <w:rPr>
                <w:rFonts w:ascii="方正书宋_GBK" w:hAnsi="等线" w:eastAsia="方正书宋_GBK" w:cs="Times New Roman"/>
              </w:rPr>
              <w:t>2.促进依法履职。</w:t>
            </w:r>
          </w:p>
          <w:p>
            <w:pPr>
              <w:spacing w:line="300" w:lineRule="exact"/>
              <w:jc w:val="left"/>
              <w:rPr>
                <w:rFonts w:ascii="方正书宋_GBK" w:hAnsi="等线" w:eastAsia="方正书宋_GBK" w:cs="Times New Roman"/>
              </w:rPr>
            </w:pPr>
            <w:r>
              <w:rPr>
                <w:rFonts w:ascii="方正书宋_GBK" w:hAnsi="等线" w:eastAsia="方正书宋_GBK" w:cs="Times New Roman"/>
              </w:rPr>
              <w:t>3.指导各级人大相关活动，促进代表作用发挥。</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完成数量达标率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执法检查任务完成率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实际执法检查数占计划数的比例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按时信访办结率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参与人大事务办结率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建议督办完成率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实际建议督办数占计划数的比例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群众对人大代表的满意率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人大代表依法履职，反映民意比例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附部门政府采购预算表空表。</w:t>
      </w:r>
    </w:p>
    <w:p>
      <w:pPr>
        <w:jc w:val="center"/>
        <w:outlineLvl w:val="1"/>
        <w:rPr>
          <w:rFonts w:ascii="Times New Roman" w:hAnsi="宋体" w:eastAsia="宋体" w:cs="Times New Roman"/>
          <w:sz w:val="32"/>
        </w:rPr>
      </w:pPr>
      <w:bookmarkStart w:id="6" w:name="_Toc69809617"/>
      <w:r>
        <w:rPr>
          <w:rFonts w:ascii="方正小标宋_GBK" w:hAnsi="等线" w:eastAsia="方正小标宋_GBK" w:cs="Times New Roman"/>
          <w:sz w:val="32"/>
        </w:rPr>
        <w:t>部门政府采购预算</w:t>
      </w:r>
      <w:bookmarkEnd w:id="6"/>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保定市徐水区人民代表大会常务委员会办公室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7.25</w:t>
      </w:r>
      <w:r>
        <w:rPr>
          <w:rFonts w:hint="eastAsia" w:ascii="仿宋" w:hAnsi="仿宋" w:eastAsia="仿宋"/>
          <w:sz w:val="32"/>
          <w:szCs w:val="32"/>
        </w:rPr>
        <w:t>万元（详见下表）。</w:t>
      </w:r>
      <w:r>
        <w:rPr>
          <w:rFonts w:ascii="仿宋" w:hAnsi="仿宋" w:eastAsia="仿宋"/>
          <w:sz w:val="32"/>
          <w:szCs w:val="32"/>
        </w:rPr>
        <w:t>本年度拟购置固定资产总额为0万元 。</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rPr>
              <w:t>2020</w:t>
            </w:r>
            <w:r>
              <w:rPr>
                <w:rFonts w:hint="eastAsia" w:ascii="仿宋_GB2312" w:hAnsi="仿宋" w:eastAsia="仿宋_GB2312" w:cs="宋体"/>
                <w:bCs/>
                <w:color w:val="000000" w:themeColor="text1"/>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27.25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7.95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19.3</w:t>
            </w:r>
          </w:p>
        </w:tc>
      </w:tr>
    </w:tbl>
    <w:p>
      <w:pPr>
        <w:outlineLvl w:val="0"/>
        <w:rPr>
          <w:rFonts w:ascii="方正小标宋_GBK" w:eastAsia="方正小标宋_GBK"/>
          <w:sz w:val="44"/>
        </w:rPr>
      </w:pPr>
    </w:p>
    <w:p>
      <w:pPr>
        <w:spacing w:line="600" w:lineRule="exact"/>
        <w:jc w:val="center"/>
        <w:outlineLvl w:val="0"/>
        <w:rPr>
          <w:rFonts w:ascii="方正小标宋_GBK" w:eastAsia="方正小标宋_GBK"/>
          <w:sz w:val="44"/>
        </w:rPr>
      </w:pPr>
    </w:p>
    <w:p>
      <w:pPr>
        <w:spacing w:line="600" w:lineRule="exact"/>
        <w:jc w:val="center"/>
        <w:outlineLvl w:val="0"/>
        <w:rPr>
          <w:rFonts w:ascii="方正小标宋_GBK" w:eastAsia="方正小标宋_GBK"/>
          <w:b/>
          <w:sz w:val="44"/>
        </w:rPr>
      </w:pPr>
      <w:r>
        <w:rPr>
          <w:rFonts w:hint="eastAsia" w:ascii="方正小标宋_GBK" w:eastAsia="方正小标宋_GBK"/>
          <w:b/>
          <w:sz w:val="44"/>
        </w:rPr>
        <w:t>第八部分：名词解释</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600" w:lineRule="exact"/>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600" w:lineRule="exact"/>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600" w:lineRule="exact"/>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600" w:lineRule="exact"/>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cs="Times New Roman"/>
          <w:sz w:val="32"/>
          <w:szCs w:val="32"/>
        </w:rPr>
      </w:pPr>
    </w:p>
    <w:p>
      <w:pPr>
        <w:spacing w:line="600" w:lineRule="exact"/>
        <w:jc w:val="center"/>
        <w:outlineLvl w:val="0"/>
        <w:rPr>
          <w:rFonts w:ascii="方正小标宋_GBK" w:eastAsia="方正小标宋_GBK"/>
          <w:b/>
          <w:sz w:val="44"/>
        </w:rPr>
      </w:pPr>
      <w:r>
        <w:rPr>
          <w:rFonts w:hint="eastAsia" w:ascii="方正小标宋_GBK" w:eastAsia="方正小标宋_GBK"/>
          <w:b/>
          <w:sz w:val="44"/>
        </w:rPr>
        <w:t>第九部分：其他需说明的事项</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016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157262"/>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4YzI5MGM1ODUyZmI4NDU2YWJiYjE0OTEzYzdjYjcifQ=="/>
  </w:docVars>
  <w:rsids>
    <w:rsidRoot w:val="00055F1F"/>
    <w:rsid w:val="00013B8A"/>
    <w:rsid w:val="00044FBC"/>
    <w:rsid w:val="00055F1F"/>
    <w:rsid w:val="000577EF"/>
    <w:rsid w:val="00057F18"/>
    <w:rsid w:val="000A445D"/>
    <w:rsid w:val="000B7052"/>
    <w:rsid w:val="000C178B"/>
    <w:rsid w:val="00103F80"/>
    <w:rsid w:val="00131DEC"/>
    <w:rsid w:val="00136AB3"/>
    <w:rsid w:val="001462BD"/>
    <w:rsid w:val="00152380"/>
    <w:rsid w:val="001638BE"/>
    <w:rsid w:val="00164810"/>
    <w:rsid w:val="00172C7A"/>
    <w:rsid w:val="001813F3"/>
    <w:rsid w:val="00181777"/>
    <w:rsid w:val="001951DC"/>
    <w:rsid w:val="00197C8F"/>
    <w:rsid w:val="001B4688"/>
    <w:rsid w:val="001B6235"/>
    <w:rsid w:val="001F4875"/>
    <w:rsid w:val="00212335"/>
    <w:rsid w:val="00226E94"/>
    <w:rsid w:val="002707DC"/>
    <w:rsid w:val="00290A44"/>
    <w:rsid w:val="002918C6"/>
    <w:rsid w:val="00291EF3"/>
    <w:rsid w:val="0029341B"/>
    <w:rsid w:val="00296524"/>
    <w:rsid w:val="002A4E66"/>
    <w:rsid w:val="002E01F6"/>
    <w:rsid w:val="002F1ACB"/>
    <w:rsid w:val="002F530F"/>
    <w:rsid w:val="00305E97"/>
    <w:rsid w:val="00310532"/>
    <w:rsid w:val="0032782B"/>
    <w:rsid w:val="00334CD4"/>
    <w:rsid w:val="003376FC"/>
    <w:rsid w:val="00340B3D"/>
    <w:rsid w:val="0034253A"/>
    <w:rsid w:val="00365056"/>
    <w:rsid w:val="003669CF"/>
    <w:rsid w:val="00367A30"/>
    <w:rsid w:val="0037663A"/>
    <w:rsid w:val="00380570"/>
    <w:rsid w:val="003A06D2"/>
    <w:rsid w:val="003A4557"/>
    <w:rsid w:val="003A6366"/>
    <w:rsid w:val="003B4845"/>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738F2"/>
    <w:rsid w:val="0048611E"/>
    <w:rsid w:val="004963D8"/>
    <w:rsid w:val="004B6929"/>
    <w:rsid w:val="004E2F43"/>
    <w:rsid w:val="004E3572"/>
    <w:rsid w:val="004E61AE"/>
    <w:rsid w:val="004F3C52"/>
    <w:rsid w:val="00510A1E"/>
    <w:rsid w:val="005158E2"/>
    <w:rsid w:val="00524204"/>
    <w:rsid w:val="0052497D"/>
    <w:rsid w:val="00550049"/>
    <w:rsid w:val="00553236"/>
    <w:rsid w:val="00553F7E"/>
    <w:rsid w:val="00570142"/>
    <w:rsid w:val="0057420B"/>
    <w:rsid w:val="00586C35"/>
    <w:rsid w:val="005B1B6F"/>
    <w:rsid w:val="005B6CCB"/>
    <w:rsid w:val="005C54AA"/>
    <w:rsid w:val="005C7B89"/>
    <w:rsid w:val="005E662F"/>
    <w:rsid w:val="005E6FA7"/>
    <w:rsid w:val="00612FAF"/>
    <w:rsid w:val="0062788A"/>
    <w:rsid w:val="00641F8A"/>
    <w:rsid w:val="0066383B"/>
    <w:rsid w:val="00690E28"/>
    <w:rsid w:val="006A6B9C"/>
    <w:rsid w:val="006A6FA2"/>
    <w:rsid w:val="006B5117"/>
    <w:rsid w:val="006C62DF"/>
    <w:rsid w:val="006F0562"/>
    <w:rsid w:val="006F08EE"/>
    <w:rsid w:val="006F5104"/>
    <w:rsid w:val="006F6549"/>
    <w:rsid w:val="00735B02"/>
    <w:rsid w:val="00743398"/>
    <w:rsid w:val="00747A2B"/>
    <w:rsid w:val="007657C8"/>
    <w:rsid w:val="00767A77"/>
    <w:rsid w:val="00771E49"/>
    <w:rsid w:val="00773B3F"/>
    <w:rsid w:val="00782208"/>
    <w:rsid w:val="00784E1F"/>
    <w:rsid w:val="00791938"/>
    <w:rsid w:val="007A5999"/>
    <w:rsid w:val="007C7FD7"/>
    <w:rsid w:val="007F3746"/>
    <w:rsid w:val="008259A9"/>
    <w:rsid w:val="00833132"/>
    <w:rsid w:val="00845C67"/>
    <w:rsid w:val="008479D3"/>
    <w:rsid w:val="0086454E"/>
    <w:rsid w:val="008672EA"/>
    <w:rsid w:val="00891680"/>
    <w:rsid w:val="008A0099"/>
    <w:rsid w:val="008A0B5F"/>
    <w:rsid w:val="008B5402"/>
    <w:rsid w:val="008D11BC"/>
    <w:rsid w:val="008F589A"/>
    <w:rsid w:val="0090527E"/>
    <w:rsid w:val="00905BB7"/>
    <w:rsid w:val="0090620C"/>
    <w:rsid w:val="00912DA4"/>
    <w:rsid w:val="00917A17"/>
    <w:rsid w:val="009302B8"/>
    <w:rsid w:val="009305C6"/>
    <w:rsid w:val="0094270D"/>
    <w:rsid w:val="0094602F"/>
    <w:rsid w:val="009752AE"/>
    <w:rsid w:val="00982F3D"/>
    <w:rsid w:val="00983232"/>
    <w:rsid w:val="009A278A"/>
    <w:rsid w:val="009B21AC"/>
    <w:rsid w:val="009B6368"/>
    <w:rsid w:val="009E0625"/>
    <w:rsid w:val="009E7D19"/>
    <w:rsid w:val="009F63C4"/>
    <w:rsid w:val="00A16957"/>
    <w:rsid w:val="00A6155C"/>
    <w:rsid w:val="00A8079E"/>
    <w:rsid w:val="00A90328"/>
    <w:rsid w:val="00A92D66"/>
    <w:rsid w:val="00AA4262"/>
    <w:rsid w:val="00AB5A90"/>
    <w:rsid w:val="00AB7449"/>
    <w:rsid w:val="00AE4AA5"/>
    <w:rsid w:val="00AE7FA9"/>
    <w:rsid w:val="00AF47D8"/>
    <w:rsid w:val="00B147EB"/>
    <w:rsid w:val="00B15462"/>
    <w:rsid w:val="00B22155"/>
    <w:rsid w:val="00B76AA9"/>
    <w:rsid w:val="00B80FAB"/>
    <w:rsid w:val="00B81C88"/>
    <w:rsid w:val="00BA5C83"/>
    <w:rsid w:val="00BC6A7D"/>
    <w:rsid w:val="00BD4829"/>
    <w:rsid w:val="00BD6002"/>
    <w:rsid w:val="00BD719F"/>
    <w:rsid w:val="00BF5442"/>
    <w:rsid w:val="00BF59F0"/>
    <w:rsid w:val="00C177A5"/>
    <w:rsid w:val="00C25AB1"/>
    <w:rsid w:val="00C26418"/>
    <w:rsid w:val="00C35FEE"/>
    <w:rsid w:val="00C50535"/>
    <w:rsid w:val="00C6153C"/>
    <w:rsid w:val="00C906EF"/>
    <w:rsid w:val="00CC519C"/>
    <w:rsid w:val="00CC7D74"/>
    <w:rsid w:val="00D02F97"/>
    <w:rsid w:val="00D11E0E"/>
    <w:rsid w:val="00D208D9"/>
    <w:rsid w:val="00D321AD"/>
    <w:rsid w:val="00D45530"/>
    <w:rsid w:val="00D45A0E"/>
    <w:rsid w:val="00D45D23"/>
    <w:rsid w:val="00D723D1"/>
    <w:rsid w:val="00D72664"/>
    <w:rsid w:val="00D7367E"/>
    <w:rsid w:val="00D80C60"/>
    <w:rsid w:val="00D83C37"/>
    <w:rsid w:val="00D84EA3"/>
    <w:rsid w:val="00D8525F"/>
    <w:rsid w:val="00D920DA"/>
    <w:rsid w:val="00DA0C4D"/>
    <w:rsid w:val="00DA5DA7"/>
    <w:rsid w:val="00DA6A94"/>
    <w:rsid w:val="00DE3935"/>
    <w:rsid w:val="00DE6B32"/>
    <w:rsid w:val="00DF26B8"/>
    <w:rsid w:val="00DF726A"/>
    <w:rsid w:val="00E1241E"/>
    <w:rsid w:val="00E12C68"/>
    <w:rsid w:val="00E2325B"/>
    <w:rsid w:val="00E24075"/>
    <w:rsid w:val="00E270C9"/>
    <w:rsid w:val="00E35F38"/>
    <w:rsid w:val="00E46F27"/>
    <w:rsid w:val="00E509CC"/>
    <w:rsid w:val="00E56DC0"/>
    <w:rsid w:val="00E67CF9"/>
    <w:rsid w:val="00E71A04"/>
    <w:rsid w:val="00E90A80"/>
    <w:rsid w:val="00E90DA6"/>
    <w:rsid w:val="00E96342"/>
    <w:rsid w:val="00EA2FEA"/>
    <w:rsid w:val="00EA56CB"/>
    <w:rsid w:val="00EA7853"/>
    <w:rsid w:val="00EE4D5D"/>
    <w:rsid w:val="00F000B1"/>
    <w:rsid w:val="00F012D3"/>
    <w:rsid w:val="00F044C3"/>
    <w:rsid w:val="00F10D04"/>
    <w:rsid w:val="00F169E3"/>
    <w:rsid w:val="00F21F3F"/>
    <w:rsid w:val="00F35D4B"/>
    <w:rsid w:val="00F3746B"/>
    <w:rsid w:val="00F4603A"/>
    <w:rsid w:val="00F572CB"/>
    <w:rsid w:val="00F621AF"/>
    <w:rsid w:val="00F8024E"/>
    <w:rsid w:val="00F82447"/>
    <w:rsid w:val="00F84CAA"/>
    <w:rsid w:val="00F868E5"/>
    <w:rsid w:val="00F9052F"/>
    <w:rsid w:val="00FA5E20"/>
    <w:rsid w:val="00FB2F32"/>
    <w:rsid w:val="00FC3191"/>
    <w:rsid w:val="00FE0F1F"/>
    <w:rsid w:val="00FF3A22"/>
    <w:rsid w:val="00FF5376"/>
    <w:rsid w:val="00FF61F3"/>
    <w:rsid w:val="00FF7BBC"/>
    <w:rsid w:val="081B722C"/>
    <w:rsid w:val="13D410AF"/>
    <w:rsid w:val="14DB0CAF"/>
    <w:rsid w:val="167E1DD4"/>
    <w:rsid w:val="210B396D"/>
    <w:rsid w:val="2D6146E4"/>
    <w:rsid w:val="2F4C791C"/>
    <w:rsid w:val="401F2D1F"/>
    <w:rsid w:val="4A584F42"/>
    <w:rsid w:val="4E5475DD"/>
    <w:rsid w:val="5DE91C13"/>
    <w:rsid w:val="66925AD6"/>
    <w:rsid w:val="7475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55E5-65F6-43FD-9F8E-3B5D62906AF2}">
  <ds:schemaRefs/>
</ds:datastoreItem>
</file>

<file path=docProps/app.xml><?xml version="1.0" encoding="utf-8"?>
<Properties xmlns="http://schemas.openxmlformats.org/officeDocument/2006/extended-properties" xmlns:vt="http://schemas.openxmlformats.org/officeDocument/2006/docPropsVTypes">
  <Template>Normal</Template>
  <Pages>12</Pages>
  <Words>4069</Words>
  <Characters>4454</Characters>
  <Lines>35</Lines>
  <Paragraphs>10</Paragraphs>
  <TotalTime>30</TotalTime>
  <ScaleCrop>false</ScaleCrop>
  <LinksUpToDate>false</LinksUpToDate>
  <CharactersWithSpaces>4535</CharactersWithSpaces>
  <Application>WPS Office_12.1.0.16910_F1E327BC-269C-435d-A152-05C5408002CA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2021-05-31T09:57:00Z</dcterms:created>
  <dc:creator>Windows 用户</dc:creator>
  <cp:lastModifiedBy>风声</cp:lastModifiedBy>
  <cp:lastPrinted>2021-04-14T02:06:00Z</cp:lastPrinted>
  <dcterms:modified xsi:type="dcterms:W3CDTF">2024-06-04T03:45:25Z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BD4EE38D1B014E5C87CD8287B99BF33D</vt:lpwstr>
  </property>
</Properties>
</file>