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保定市徐水区安肃镇人民政府</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一、保定市徐水区XXX基本情况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widowControl w:val="0"/>
        <w:tabs>
          <w:tab w:val="center" w:pos="4381"/>
        </w:tabs>
        <w:spacing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徐水区安肃镇人民政府为正科级行政单位，经费保障形式为财政拨款，下设8个股室，主要职责有（一）执行本级代表大会的决议和上级国家行政机关的决定和命令，发布决定和命令。（二）制定并落实本行政区域内的经济发展计划，加强公共设施的建设和管理，发展各项服务事业。（三）加强水利建设、土地使用管理和环境综合整治，合理利用自然资源，保护、改善生态和生活环境。（四）依法管理镇财政，执行本级预算。（五）管理和发展文化、教育、科学、广播、体育、卫生等事业。（六）保护社会主义的全民所有财产和劳动群众的集体所有财产，保护公民个人所有的合法财产，保护公民的人身权利、民主权力和其他权利，保护各种经济的合法权益。（七）组织实施社会主义与民主法制教育，协调公安、司法行政工作，调解民事纠纷，维护社会秩序。（八）推行计划生育政策，控制人口增长，保护妇女、儿童和老人的合法权益。（九）管理民政事务工作，发展社会福利事业，做好社会保障工作，办理兵役事项。（十）办理上级人民政府交办的其他事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安肃镇人民政府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安肃镇2019年部门整体支出绩效评价指标体系共设置4个一级指标、7个二级指标、25个三级指标，从投入、过程、产出、效果四个方面对安肃镇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安肃镇2019年部门整体支出综合评价得分为90分，评价等级为“优”。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安肃镇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bookmarkStart w:id="1" w:name="_Toc4346"/>
      <w:r>
        <w:rPr>
          <w:rFonts w:hint="eastAsia" w:ascii="仿宋_GB2312" w:eastAsia="仿宋_GB2312" w:cs="DengXian-Regular"/>
          <w:sz w:val="32"/>
          <w:szCs w:val="32"/>
        </w:rPr>
        <w:t>3.提高项目资金使用率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加强日常对项目资金的管理，督促项目进度和资金拨付进度，应拨付的资金及时拨付，提高项目资金使用效率。</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一、保定市徐水区安肃镇人民政府基本情况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安肃镇单位职能配置内设机构和人员编制规定》的通知，保定市徐水区安肃镇人民政府为正科级行政单位，下设8个股室。根据绩效预算管理改革的相关要求，按照“部门职责—工作活动绩效目标”的层级设立了绩效预算架构，职责活动包括协调维护社会稳定和国家安全、综合事务管理、促进土地流转、农村面貌改造提升等共42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按照2019年绩效预算编制要求，我单位设置的年度发展规划总体目标为：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rPr>
          <w:rFonts w:ascii="仿宋_GB2312" w:eastAsia="仿宋_GB2312" w:cs="DengXian-Regular"/>
          <w:sz w:val="32"/>
          <w:szCs w:val="32"/>
        </w:rPr>
      </w:pPr>
      <w:r>
        <w:rPr>
          <w:rFonts w:ascii="仿宋_GB2312" w:eastAsia="仿宋_GB2312" w:cs="DengXian-Regular"/>
          <w:sz w:val="32"/>
          <w:szCs w:val="32"/>
        </w:rPr>
        <w:t>坚持以习近平新时代中国特色社会主义思想为指导，深入贯彻党的十九大和十九届二中、三中、四中全会精神，紧紧围绕全区中心工作和区委重要部署，紧紧围绕全区中心工作和区委重要部署，民主表决，科学决策，坚持以人为本，把维护群众利益、落实精准扶贫政策，改善民生作为乡镇工作的着力点。制定、落实镇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镇工作新局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有效化解不稳定隐患，维护社会稳定。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w:t>
      </w:r>
      <w:r>
        <w:rPr>
          <w:rFonts w:ascii="仿宋_GB2312" w:eastAsia="仿宋_GB2312" w:cs="DengXian-Regular"/>
          <w:sz w:val="32"/>
          <w:szCs w:val="32"/>
        </w:rPr>
        <w:t>促进农村文化建设发展。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搞好服务保障，保障各项工作顺利开展。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ascii="仿宋_GB2312" w:eastAsia="仿宋_GB2312" w:cs="DengXian-Regular"/>
          <w:sz w:val="32"/>
          <w:szCs w:val="32"/>
        </w:rPr>
        <w:t>加强安全生产综合监督管理。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地震群测群防补贴及时足额落实到位，保证工作顺利开展。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eastAsia="仿宋_GB2312" w:cs="DengXian-Regular"/>
          <w:sz w:val="32"/>
          <w:szCs w:val="32"/>
        </w:rPr>
      </w:pPr>
      <w:r>
        <w:rPr>
          <w:rFonts w:hint="eastAsia" w:ascii="仿宋_GB2312" w:eastAsia="仿宋_GB2312" w:cs="DengXian-Regular"/>
          <w:sz w:val="32"/>
          <w:szCs w:val="32"/>
        </w:rPr>
        <w:t>6.</w:t>
      </w:r>
      <w:r>
        <w:rPr>
          <w:rFonts w:ascii="仿宋_GB2312" w:eastAsia="仿宋_GB2312" w:cs="DengXian-Regular"/>
          <w:sz w:val="32"/>
          <w:szCs w:val="32"/>
        </w:rPr>
        <w:t>改善农村空气质量及人居环境。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7.</w:t>
      </w:r>
      <w:r>
        <w:rPr>
          <w:rFonts w:ascii="仿宋_GB2312" w:eastAsia="仿宋_GB2312" w:cs="DengXian-Regular"/>
          <w:sz w:val="32"/>
          <w:szCs w:val="32"/>
        </w:rPr>
        <w:t>保证土地流转资金及时足额发放到位，维护社会稳定。</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color w:val="FF0000"/>
          <w:sz w:val="32"/>
          <w:szCs w:val="32"/>
        </w:rPr>
        <w:t>2019年我单位预算收入2462.66万元，一般公共预算拨款2318.81万元，其中：财政拨款2305.39万元，中央财政提前通知转移支付13.42万元；政府性基金预算拨款143.85万元。预</w:t>
      </w:r>
      <w:r>
        <w:rPr>
          <w:rFonts w:hint="eastAsia" w:ascii="仿宋_GB2312" w:eastAsia="仿宋_GB2312" w:cs="DengXian-Regular"/>
          <w:sz w:val="32"/>
          <w:szCs w:val="32"/>
        </w:rPr>
        <w:t>算收入按功能分类包含：一般公共服务支出1495.64万元，科学技术支出0.74万元，文化体育传媒支出19.97万元，社会保障和就业支出246.87万元，医疗卫生与计划生育支出59.41万元，节能环保支出50万元，城乡社区支出142.85万元，农林水支出365.62万元，住房保障支出77.76万元，灾害防治及应急管理支出2.8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我单位决算收入7944.21万元，其中：财政拨款收入7943.93万元，其他收入0.28万元（全部为利息收入）。决算收入按功能分类包含：一般公共服务支出1806.55万元，占比23%；公共安全支出4.24万元，占比0.05%；教育支出130.32万元，占比1.64%；科学技术支出0.74万元，占比0.01%；文化旅游体育与传媒支出24.52万元，占比0.31%；社会保障和就业支出443.86万元，占比5.59%；卫生健康支出41.33万元，占比0.52%；节能环保支出343.74万元，占比4.32%；城乡社区支出4306.54万元，占比54%；农林水支出758.17万元，占比9.5%；住房保障支出81.11万元，占比1.02%；灾害防治及应急管理支出2.8万元，占比0.04%。具体决算收入详见附件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2019年度区安肃镇决算收入结构图</w:t>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我单位一般公共预算财政拨款决算收入比年初预算增加1318.58万元万元，完成年初预算的157%。决算收入大于预算收入的主要原因为2019年度人员经费和项目支出增加；预算收入与决算收入对比情况见图2。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2019年度区安肃镇预算收入与决算收入对比图</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59264" behindDoc="0" locked="0" layoutInCell="1" allowOverlap="1">
            <wp:simplePos x="0" y="0"/>
            <wp:positionH relativeFrom="column">
              <wp:posOffset>77470</wp:posOffset>
            </wp:positionH>
            <wp:positionV relativeFrom="paragraph">
              <wp:posOffset>126365</wp:posOffset>
            </wp:positionV>
            <wp:extent cx="5122545" cy="2747010"/>
            <wp:effectExtent l="19050" t="0" r="20955" b="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2019年度我单位</w:t>
      </w:r>
      <w:r>
        <w:rPr>
          <w:rFonts w:hint="eastAsia" w:ascii="仿宋_GB2312" w:eastAsia="仿宋_GB2312" w:cs="Times New Roman" w:hAnsiTheme="minorEastAsia"/>
          <w:sz w:val="32"/>
          <w:szCs w:val="32"/>
          <w:u w:color="000000"/>
        </w:rPr>
        <w:t>预算支出安排</w:t>
      </w:r>
      <w:r>
        <w:rPr>
          <w:rFonts w:hint="eastAsia" w:ascii="仿宋_GB2312" w:eastAsia="仿宋_GB2312" w:cs="DengXian-Regular"/>
          <w:sz w:val="32"/>
          <w:szCs w:val="32"/>
        </w:rPr>
        <w:t>2462.66</w:t>
      </w:r>
      <w:r>
        <w:rPr>
          <w:rFonts w:hint="eastAsia" w:ascii="仿宋_GB2312" w:eastAsia="仿宋_GB2312" w:cs="Times New Roman" w:hAnsiTheme="minorEastAsia"/>
          <w:sz w:val="32"/>
          <w:szCs w:val="32"/>
          <w:u w:color="000000"/>
        </w:rPr>
        <w:t>万元，其中：基本支出1784.17万元，项目支出678.49万元。预算支出按功能分类包含：</w:t>
      </w:r>
      <w:r>
        <w:rPr>
          <w:rFonts w:hint="eastAsia" w:ascii="仿宋_GB2312" w:eastAsia="仿宋_GB2312" w:cs="DengXian-Regular"/>
          <w:sz w:val="32"/>
          <w:szCs w:val="32"/>
        </w:rPr>
        <w:t>一般公共服务支出1495.64万元，科学技术支出0.74万元，文化体育传媒支出19.97万元，社会保障和就业支出246.87万元，医疗卫生与计划生育支出59.41万元，节能环保支出50万元，城乡社区支出142.85万元，农林水支出365.62万元，住房保障支出77.76万元，灾害防治及应急管理支出2.8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2019年度我单位</w:t>
      </w:r>
      <w:r>
        <w:rPr>
          <w:rFonts w:hint="eastAsia" w:ascii="仿宋_GB2312" w:eastAsia="仿宋_GB2312" w:cs="Times New Roman" w:hAnsiTheme="minorEastAsia"/>
          <w:sz w:val="32"/>
          <w:szCs w:val="32"/>
          <w:u w:color="000000"/>
        </w:rPr>
        <w:t>决算支出为</w:t>
      </w:r>
      <w:r>
        <w:rPr>
          <w:rFonts w:hint="eastAsia" w:ascii="仿宋_GB2312" w:eastAsia="仿宋_GB2312" w:cs="DengXian-Regular"/>
          <w:sz w:val="32"/>
          <w:szCs w:val="32"/>
        </w:rPr>
        <w:t>8148.47</w:t>
      </w:r>
      <w:r>
        <w:rPr>
          <w:rFonts w:hint="eastAsia" w:ascii="仿宋_GB2312" w:eastAsia="仿宋_GB2312" w:cs="Times New Roman" w:hAnsiTheme="minorEastAsia"/>
          <w:sz w:val="32"/>
          <w:szCs w:val="32"/>
          <w:u w:color="000000"/>
        </w:rPr>
        <w:t>万元，其中：基本支出1768.81万元，项目支出6379.66万元。决算支出按功能分类包含：</w:t>
      </w:r>
      <w:r>
        <w:rPr>
          <w:rFonts w:hint="eastAsia" w:ascii="仿宋_GB2312" w:eastAsia="仿宋_GB2312" w:cs="DengXian-Regular"/>
          <w:sz w:val="32"/>
          <w:szCs w:val="32"/>
        </w:rPr>
        <w:t>一般公共服务支出</w:t>
      </w:r>
      <w:r>
        <w:rPr>
          <w:rFonts w:hint="eastAsia" w:ascii="仿宋_GB2312" w:eastAsia="仿宋_GB2312" w:cs="Times New Roman" w:hAnsiTheme="minorEastAsia"/>
          <w:sz w:val="32"/>
          <w:szCs w:val="32"/>
          <w:u w:color="000000"/>
        </w:rPr>
        <w:t>1830.25万元，占比22.46%；公共安全支出4.24万元，占比0.05%；教育支出130.32万元，占比1.6%；科学技术支出0.74万元，占比0.01%；文化旅游体育与传媒支出25.67万元，占比0.32%；社会保障和就业支出444.04万元，占比5.45%；医疗卫生与计划教育支出41.33万元，占比0.51%；节能环保支出501.61万，占比6.16%；城乡社区支出4296.69万元，占比52.73%；农林水支出788.17万元，占比9.67%；住房保障支出81.11万元，占比1%；灾害防治与应急管理支出2.8万元，占比0.03%；其他支出1.5万元，占比0.01%。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2019年度安肃镇</w:t>
      </w:r>
      <w:r>
        <w:rPr>
          <w:rFonts w:hint="eastAsia" w:asciiTheme="minorEastAsia" w:hAnsiTheme="minorEastAsia" w:eastAsiaTheme="minorEastAsia" w:cstheme="minorEastAsia"/>
          <w:b/>
          <w:bCs/>
          <w:sz w:val="32"/>
          <w:szCs w:val="32"/>
          <w:u w:color="000000"/>
        </w:rPr>
        <w:t>决算支出结构图</w:t>
      </w:r>
    </w:p>
    <w:p>
      <w:pPr>
        <w:spacing w:after="0" w:line="580" w:lineRule="exact"/>
        <w:ind w:firstLine="440" w:firstLineChars="200"/>
        <w:rPr>
          <w:rFonts w:ascii="仿宋_GB2312" w:eastAsia="仿宋_GB2312" w:cs="DengXian-Regular"/>
          <w:sz w:val="32"/>
          <w:szCs w:val="32"/>
        </w:rPr>
      </w:pPr>
      <w:r>
        <w:drawing>
          <wp:anchor distT="0" distB="0" distL="90170" distR="90170" simplePos="0" relativeHeight="251660288" behindDoc="0" locked="0" layoutInCell="1" allowOverlap="1">
            <wp:simplePos x="0" y="0"/>
            <wp:positionH relativeFrom="column">
              <wp:posOffset>143510</wp:posOffset>
            </wp:positionH>
            <wp:positionV relativeFrom="paragraph">
              <wp:posOffset>-90805</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cs="DengXian-Regular"/>
          <w:sz w:val="32"/>
          <w:szCs w:val="32"/>
        </w:rPr>
        <w:t>财政拨款决算支出比年初预算增加5685.75万元。决算支出完成年初预算的331%。</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主要原因为主要是2019年人员经费和项目支出增加。</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anchor distT="0" distB="0" distL="114300" distR="114300" simplePos="0" relativeHeight="251661312" behindDoc="0" locked="0" layoutInCell="1" allowOverlap="1">
            <wp:simplePos x="0" y="0"/>
            <wp:positionH relativeFrom="column">
              <wp:posOffset>144145</wp:posOffset>
            </wp:positionH>
            <wp:positionV relativeFrom="paragraph">
              <wp:posOffset>499745</wp:posOffset>
            </wp:positionV>
            <wp:extent cx="5102225" cy="2717165"/>
            <wp:effectExtent l="4445" t="4445" r="17780" b="21590"/>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2019年度安肃镇</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我单位2019年实际项目支出6379.66万元，决算报表中项目支出6379.66万元，实际支出与决算报表差0万元。</w:t>
      </w:r>
    </w:p>
    <w:p>
      <w:pPr>
        <w:pStyle w:val="4"/>
        <w:spacing w:before="0" w:after="0"/>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我单位“三公”经费预算22万元（公务用车运行维护费14万元，公务接待费8万元），实际支出4.79万元（公务用车运行维护费4.67万元，公务接待费0.12万元），比预算减少17.21万元，节约率78%。2019年“三公”经费预算数与2018年预算数相比无变化，决算数与2018年实际支出相比，减少6.42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安肃镇“三公”经费预算及决算明细表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6.75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4.67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-2.08</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0.12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4.79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-6.42</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我单位车辆合计4辆，其中公务用车4辆，其他用车0辆。2019年公务用车购置及运维费年初预算14万元，全部为公务用车运行维护费，实际支出4.67万元，比预算减少9.33万元，节约率67%。2019年预算数与2018年预算相比无变化，决算数与2018年实际支出相比，减少6.42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2、公务接待：2019年我单位公务接待费年初预算8万元，实际支出0.12万元，比预算减少了7.88万元，节约率98.5%。2019年预算数与2018年预算相比无变化，决算数与2018年实际支出相比，减少4.34万元。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25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投入指标指标分值为12分，下设2个二级指标：绩效目标设定和预算配置，6个三级指标：绩效目标合理性、绩效目标科学性、绩效指标明确性、预算编制完整性、项目预算细化率、在职人员控制率。</w:t>
      </w:r>
      <w:bookmarkStart w:id="21" w:name="_Toc492652772"/>
      <w:bookmarkStart w:id="22" w:name="_Toc30221"/>
    </w:p>
    <w:p>
      <w:pPr>
        <w:spacing w:after="0" w:line="360" w:lineRule="auto"/>
        <w:ind w:firstLine="640" w:firstLineChars="200"/>
        <w:jc w:val="both"/>
        <w:rPr>
          <w:rFonts w:ascii="仿宋_GB2312" w:eastAsia="仿宋_GB2312" w:cs="DengXian-Regular"/>
          <w:sz w:val="32"/>
          <w:szCs w:val="32"/>
        </w:rPr>
      </w:pPr>
      <w:r>
        <w:rPr>
          <w:rFonts w:hint="eastAsia" w:ascii="楷体" w:hAnsi="楷体" w:eastAsia="楷体"/>
          <w:kern w:val="2"/>
          <w:sz w:val="32"/>
        </w:rPr>
        <w:t>（二）过程（48分）</w:t>
      </w:r>
      <w:bookmarkEnd w:id="21"/>
      <w:bookmarkEnd w:id="22"/>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产出指标指标分值为25分，下设1个二级指标：责任履行，3个三级指标：结转结余率、项目资金使用率、实际完成工作及时率。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我单位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安肃镇2019年部门整体支出绩效目标和指标的设置及完成情况；资金预算情况、实际收支情况及结转结余情况；部门履职对社会发展所带来的直接或间接影响及服务对象对部门履职效果的满意程度。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我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安肃镇部门整体支出绩效评价总得分为90分，综合绩效评价等级为“优”。各项得分情况如下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安肃镇单位职能配置内设机构和人员编制规定》和徐水区安肃镇2019年预算文本—部门职责工作活动绩效目标，评价工作组认为安肃镇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根据安肃镇2019年预算文本—部门职责工作活动绩效目标（详见附件4），绩效目标与部门履职、年度工作任务相符；工作活动有明确的绩效目标，绩效目标与部门职责目标、部门年度工作目标一致。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根据安肃镇2019年预算文本—部门职责工作活动绩效目标,该指标实际得分2分。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根据2019年预算文本及相关会计资料，单位所有收入均已纳入部门预算，部门支出按基本支出、项目支出分别编制。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根据2019年预算文本—部门项目支出预算表，安肃镇2019年预算项目共34个（详见附件2-2-2），涉及资金678.49万元，所有项目均细化到具体用款单位及项目资金额度。项目预算细化率=（678.49/678.49）*100%=100%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安肃镇单位职能配置内设机构和人员编制规定》的通知，安肃镇人员编制为77人，根据区2019年决算文本-部门基本情况表，截至2019年底，在职人员107人，在职人员控制率=（107/77）*100%=139%。</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44</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安肃镇的预算指标文件，其中：徐财预指[2019]xxx号追加行政运行办公经费xx万元；徐财预指[2019]xx号追加xxx设备购置及委托业务费合计xx万元；徐财预指[2019]xx号号追加xxx办公经费xx万元、行政运行办公经费及委托业务费合计xx万元，区xxx单位2019年度预算收入的追加数为xx万元，年初预算数为xxx万元，预算收入调整率为xx%，预算调整增加了xx个百分点，扣5.33*0.1*2=1.07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根据安肃镇2019年预算文本、决算文本，2019年收入预算数2462.66万元，收入决算数7944.21万元，收入完成率=（决算数/预算数）*100%=323%。</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财政局下发的预算指标文件，其中：徐财预指[2019]xx号追加行政运行办公经费xx万元；徐财预指[2019]xx号追加xxx设备购置及委托业务费合计xx万元；徐财预指[2019]xx号追加xxx业务办公经费xx万元、行政运行办公经费及委托业务费合计xx万元，安肃镇2019年度预算支出的追加数合计5717.71万元，年初预算数为2462.66万元，预算支出调整率为232%，预算调整</w:t>
      </w:r>
      <w:bookmarkStart w:id="80" w:name="_GoBack"/>
      <w:bookmarkEnd w:id="80"/>
      <w:r>
        <w:rPr>
          <w:rFonts w:hint="eastAsia" w:ascii="仿宋_GB2312" w:eastAsia="仿宋_GB2312" w:cs="DengXian-Regular"/>
          <w:sz w:val="32"/>
          <w:szCs w:val="32"/>
        </w:rPr>
        <w:t>率大于10%。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根据2019年决算文本，部门决算财政拨款支出数8148.41万元，财政拨款收入数7943.93万元，财政拨款支出率=（财政拨款支出数/财政拨款收入数）*100%=103%</w:t>
      </w:r>
      <w:r>
        <w:rPr>
          <w:rFonts w:ascii="Arial" w:hAnsi="Arial" w:eastAsia="仿宋_GB2312" w:cs="Arial"/>
          <w:sz w:val="32"/>
          <w:szCs w:val="32"/>
        </w:rPr>
        <w:t>≥</w:t>
      </w:r>
      <w:r>
        <w:rPr>
          <w:rFonts w:hint="eastAsia" w:ascii="仿宋_GB2312" w:eastAsia="仿宋_GB2312" w:cs="DengXian-Regular"/>
          <w:sz w:val="32"/>
          <w:szCs w:val="32"/>
        </w:rPr>
        <w:t>90%。安肃镇2019年年初结转和结余235.23万元，故支出数大于收入数。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根据安肃镇2019年预算文本及决算文本，“三公”经费年初预算数22万元，年末决算数4.79万元，“三公”经费控制率=（年末决算数/年初预算数）*100%=22%</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根据安肃镇2019年预算文本及决算文本，政府采购年初预算数0万元，年末决算数751.43万元，政府采购执行率为100%。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根据2019年明细账、会计凭证等相关资料，安肃镇资金使用符合相关会计准则和财务制度，资金拨付有完备的审批程序和手续，资金使用符合部门预算批复的用途，未发现截留、挤占、挪用财政资金的情况。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经核查安肃镇2019年决算文本、明细账及总账，安肃镇决算文本数据均与明细账、总账一致。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安肃镇工作制度涵盖了财务制度、网络安全制度、公务用车制度等相关制度，经检查安肃镇付款流程审批单、资产盘点表等资料，安肃镇已按照相关管理制度的规定执行。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安肃镇2019年按政府信息公开的有关要求在保定市徐水区人民政府网公开了2019年的预决算情况、部门责任清单、行政监督清单等相关信息。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根据提供的会计账簿、凭证及其他相关资料，安肃镇会计信息资料真实完整，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安肃镇建立了固定资产台账、无形资产台账，资产保存完整，2019年新增资产26.21万元，包含：通用设备（电脑、打印机、空调、显示屏等）14.49万元、图书4.86万元、家具（办公桌椅、文件柜等）6.86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区区安肃镇2019年一般项目部门绩效自评表，安肃镇2019年开展绩效自评的项目数为33个，年初预算文本项目数33个，要求自评项目个数33个，自评覆盖率为 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安肃镇2019年参评数量33个，绩效评价结果达到优等的数量32个，绩效评价优等率为97%。</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实际完成工作及时率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根据2019年决算文本及相关资料，安肃镇2019年结转结余资金31.91万元，决算收入7944.21万元，结转结余率0.4%，小于5%。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项目资金使用率=（实际支出项目资金总额/计划完成项目资金总数）*100%。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2019年实际支出项目资金总额6379.66万元，年初预算共34个项目，预算数678.49万元，年中追加项目资金5711.03万元，项目资金使用率为99.8%。</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rPr>
        <w:t xml:space="preserve"> </w:t>
      </w:r>
      <w:r>
        <w:rPr>
          <w:rFonts w:hint="eastAsia" w:ascii="仿宋_GB2312" w:eastAsia="仿宋_GB2312" w:cs="DengXian-Regular"/>
          <w:sz w:val="32"/>
          <w:szCs w:val="32"/>
        </w:rPr>
        <w:t>实际完成工作及时率（10分）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该指标主要评价实际完成工作及时率，通过项目资金完成及时率来衡量。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实际完成工作及时率=（实际完成工作数/计划完成工作数）*100%。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2019年实际完成工作数71个项目，年初预算共34个项目，年中追加项目37个，实际完成工作及时率为100%。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该指标实际得分10分。</w:t>
      </w:r>
    </w:p>
    <w:p>
      <w:pPr>
        <w:spacing w:after="0" w:line="360" w:lineRule="auto"/>
        <w:ind w:firstLine="640" w:firstLineChars="200"/>
        <w:jc w:val="both"/>
        <w:textAlignment w:val="baseline"/>
        <w:rPr>
          <w:rFonts w:ascii="仿宋_GB2312" w:eastAsia="仿宋_GB2312" w:cs="DengXian-Regular"/>
          <w:sz w:val="32"/>
          <w:szCs w:val="32"/>
        </w:rPr>
      </w:pP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92652784"/>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经查看相关资料，安肃镇履行职责对社会发展所带来的社会效益一般，有效的提高了社会公众的环保意识，减少了社会不稳定因素。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xx</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xx</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经计算，总体得分为xx分，小于(大于）90分，评价等级为“xx”。</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该指标实际得分xx分。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安肃镇</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4.项目资金使用率方面</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区安肃镇</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2.2019年度保定市徐水区</w:t>
      </w:r>
      <w:r>
        <w:rPr>
          <w:rFonts w:hint="eastAsia" w:ascii="仿宋_GB2312" w:eastAsia="仿宋_GB2312" w:cs="DengXian-Regular"/>
          <w:sz w:val="32"/>
          <w:szCs w:val="32"/>
        </w:rPr>
        <w:t>安肃镇</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hint="eastAsia" w:ascii="仿宋_GB2312" w:eastAsia="仿宋_GB2312" w:cs="Times New Roman" w:hAnsiTheme="minorEastAsia"/>
          <w:sz w:val="32"/>
          <w:szCs w:val="32"/>
          <w:u w:color="000000"/>
        </w:rPr>
        <w:t>2019年徐水区</w:t>
      </w:r>
      <w:r>
        <w:rPr>
          <w:rFonts w:hint="eastAsia" w:ascii="仿宋_GB2312" w:eastAsia="仿宋_GB2312" w:cs="DengXian-Regular"/>
          <w:sz w:val="32"/>
          <w:szCs w:val="32"/>
        </w:rPr>
        <w:t>安肃镇</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FiMDNlYTY3MWViZjQwOWM2YmE5NTZlOTM5MzNkNzMifQ=="/>
  </w:docVars>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81E0A"/>
    <w:rsid w:val="00091D50"/>
    <w:rsid w:val="000935D5"/>
    <w:rsid w:val="0009618D"/>
    <w:rsid w:val="00096195"/>
    <w:rsid w:val="0009756F"/>
    <w:rsid w:val="000A1F67"/>
    <w:rsid w:val="000A2079"/>
    <w:rsid w:val="000A5467"/>
    <w:rsid w:val="000A792B"/>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E41A6"/>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27A01"/>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4554"/>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3C9"/>
    <w:rsid w:val="00292F98"/>
    <w:rsid w:val="002939A0"/>
    <w:rsid w:val="002959A3"/>
    <w:rsid w:val="0029626E"/>
    <w:rsid w:val="00296E59"/>
    <w:rsid w:val="00297CEF"/>
    <w:rsid w:val="002A0364"/>
    <w:rsid w:val="002A1661"/>
    <w:rsid w:val="002A1A25"/>
    <w:rsid w:val="002A563C"/>
    <w:rsid w:val="002A61F9"/>
    <w:rsid w:val="002B05EF"/>
    <w:rsid w:val="002B2E34"/>
    <w:rsid w:val="002B76FA"/>
    <w:rsid w:val="002C029E"/>
    <w:rsid w:val="002C0D76"/>
    <w:rsid w:val="002C2C71"/>
    <w:rsid w:val="002C5A65"/>
    <w:rsid w:val="002C71F3"/>
    <w:rsid w:val="002D2112"/>
    <w:rsid w:val="002D53D7"/>
    <w:rsid w:val="002D5508"/>
    <w:rsid w:val="002D5FC1"/>
    <w:rsid w:val="002D7AB3"/>
    <w:rsid w:val="002E1482"/>
    <w:rsid w:val="002E1D3C"/>
    <w:rsid w:val="002E1F73"/>
    <w:rsid w:val="002E269D"/>
    <w:rsid w:val="002E3460"/>
    <w:rsid w:val="002E70AE"/>
    <w:rsid w:val="002F0C41"/>
    <w:rsid w:val="002F46F6"/>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5592"/>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0B24"/>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1F9E"/>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5E9C"/>
    <w:rsid w:val="005771F7"/>
    <w:rsid w:val="00577B7B"/>
    <w:rsid w:val="00583F7F"/>
    <w:rsid w:val="0058600B"/>
    <w:rsid w:val="00587913"/>
    <w:rsid w:val="00593428"/>
    <w:rsid w:val="00593B65"/>
    <w:rsid w:val="005A039D"/>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644C"/>
    <w:rsid w:val="0067780F"/>
    <w:rsid w:val="00686C30"/>
    <w:rsid w:val="00690FA3"/>
    <w:rsid w:val="0069331D"/>
    <w:rsid w:val="00696DF8"/>
    <w:rsid w:val="0069783E"/>
    <w:rsid w:val="00697E26"/>
    <w:rsid w:val="006A0330"/>
    <w:rsid w:val="006A3AE1"/>
    <w:rsid w:val="006A3B57"/>
    <w:rsid w:val="006A6AB2"/>
    <w:rsid w:val="006A7B7D"/>
    <w:rsid w:val="006B117D"/>
    <w:rsid w:val="006B19B7"/>
    <w:rsid w:val="006B392C"/>
    <w:rsid w:val="006B4CC0"/>
    <w:rsid w:val="006B65B0"/>
    <w:rsid w:val="006C5198"/>
    <w:rsid w:val="006C6A07"/>
    <w:rsid w:val="006D2C34"/>
    <w:rsid w:val="006E0A3D"/>
    <w:rsid w:val="006E27F1"/>
    <w:rsid w:val="006E5BC8"/>
    <w:rsid w:val="006E7CBA"/>
    <w:rsid w:val="006F222F"/>
    <w:rsid w:val="006F7B69"/>
    <w:rsid w:val="0070241F"/>
    <w:rsid w:val="007024A9"/>
    <w:rsid w:val="00703C96"/>
    <w:rsid w:val="00704C40"/>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1F20"/>
    <w:rsid w:val="0079721A"/>
    <w:rsid w:val="007A095C"/>
    <w:rsid w:val="007A0AF8"/>
    <w:rsid w:val="007A283A"/>
    <w:rsid w:val="007A65C8"/>
    <w:rsid w:val="007A6B16"/>
    <w:rsid w:val="007A7AC4"/>
    <w:rsid w:val="007B50A7"/>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45D"/>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E6C1C"/>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494F"/>
    <w:rsid w:val="00934BD9"/>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C380B"/>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1C4"/>
    <w:rsid w:val="00B34A43"/>
    <w:rsid w:val="00B36912"/>
    <w:rsid w:val="00B404A0"/>
    <w:rsid w:val="00B4256A"/>
    <w:rsid w:val="00B432AB"/>
    <w:rsid w:val="00B54D75"/>
    <w:rsid w:val="00B60C2A"/>
    <w:rsid w:val="00B61C81"/>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1393"/>
    <w:rsid w:val="00BC60E6"/>
    <w:rsid w:val="00BE2395"/>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A20"/>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2957"/>
    <w:rsid w:val="00D13F47"/>
    <w:rsid w:val="00D14E66"/>
    <w:rsid w:val="00D159FC"/>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B08"/>
    <w:rsid w:val="00D85F8D"/>
    <w:rsid w:val="00D87F81"/>
    <w:rsid w:val="00D90E39"/>
    <w:rsid w:val="00D97E89"/>
    <w:rsid w:val="00DA3692"/>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20832"/>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195B"/>
    <w:rsid w:val="00E7727F"/>
    <w:rsid w:val="00E83519"/>
    <w:rsid w:val="00E91889"/>
    <w:rsid w:val="00E91F0F"/>
    <w:rsid w:val="00E93EEF"/>
    <w:rsid w:val="00E944E2"/>
    <w:rsid w:val="00E95C54"/>
    <w:rsid w:val="00E96103"/>
    <w:rsid w:val="00EA027D"/>
    <w:rsid w:val="00EA5A2D"/>
    <w:rsid w:val="00EB22CF"/>
    <w:rsid w:val="00EB3414"/>
    <w:rsid w:val="00EB39DD"/>
    <w:rsid w:val="00EB40E4"/>
    <w:rsid w:val="00EB67BA"/>
    <w:rsid w:val="00EC16F8"/>
    <w:rsid w:val="00EC306F"/>
    <w:rsid w:val="00EC408E"/>
    <w:rsid w:val="00EC41F2"/>
    <w:rsid w:val="00EC4EB3"/>
    <w:rsid w:val="00EC5617"/>
    <w:rsid w:val="00EC7C9E"/>
    <w:rsid w:val="00ED090B"/>
    <w:rsid w:val="00ED230D"/>
    <w:rsid w:val="00ED2440"/>
    <w:rsid w:val="00ED7F40"/>
    <w:rsid w:val="00EE1C0B"/>
    <w:rsid w:val="00EE59D0"/>
    <w:rsid w:val="00EE7DB3"/>
    <w:rsid w:val="00EE7FF3"/>
    <w:rsid w:val="00EF26BF"/>
    <w:rsid w:val="00EF4861"/>
    <w:rsid w:val="00EF4EC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1AFA"/>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BB0"/>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A4B39"/>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2019</a:t>
            </a:r>
            <a:r>
              <a:rPr lang="zh-CN" altLang="en-US" sz="1400" b="0">
                <a:latin typeface="仿宋" panose="02010609060101010101" pitchFamily="3" charset="-122"/>
                <a:ea typeface="仿宋" panose="02010609060101010101" pitchFamily="3" charset="-122"/>
                <a:cs typeface="仿宋" panose="02010609060101010101" pitchFamily="3" charset="-122"/>
              </a:rPr>
              <a:t>年度预算收入与决算收入对比图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27550004525"/>
          <c:y val="0.174797092671109"/>
          <c:w val="0.684520830835232"/>
          <c:h val="0.388237431859482"/>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681895093061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238132224"/>
        <c:axId val="237929600"/>
      </c:barChart>
      <c:catAx>
        <c:axId val="2381322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929600"/>
        <c:crosses val="autoZero"/>
        <c:auto val="1"/>
        <c:lblAlgn val="ctr"/>
        <c:lblOffset val="100"/>
        <c:noMultiLvlLbl val="0"/>
      </c:catAx>
      <c:valAx>
        <c:axId val="23792960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1322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2018</a:t>
            </a:r>
            <a:r>
              <a:rPr lang="zh-CN" altLang="en-US" sz="1400" b="0">
                <a:latin typeface="仿宋" panose="02010609060101010101" pitchFamily="3" charset="-122"/>
                <a:ea typeface="仿宋" panose="02010609060101010101" pitchFamily="3" charset="-122"/>
                <a:cs typeface="仿宋" panose="02010609060101010101" pitchFamily="3" charset="-122"/>
              </a:rPr>
              <a:t>年度决算支出结构图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2018</a:t>
            </a:r>
            <a:r>
              <a:rPr lang="zh-CN" altLang="en-US" sz="1400" b="0">
                <a:latin typeface="仿宋" panose="02010609060101010101" pitchFamily="3" charset="-122"/>
                <a:ea typeface="仿宋" panose="02010609060101010101" pitchFamily="3" charset="-122"/>
                <a:cs typeface="仿宋" panose="02010609060101010101" pitchFamily="3" charset="-122"/>
              </a:rPr>
              <a:t>年预算支出与决算支出对比图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12023186761504"/>
          <c:y val="0.00789265982636148"/>
        </c:manualLayout>
      </c:layout>
      <c:overlay val="0"/>
    </c:title>
    <c:autoTitleDeleted val="0"/>
    <c:plotArea>
      <c:layout>
        <c:manualLayout>
          <c:layoutTarget val="inner"/>
          <c:xMode val="edge"/>
          <c:yMode val="edge"/>
          <c:x val="0.176327804291726"/>
          <c:y val="0.151059495972789"/>
          <c:w val="0.677196941205967"/>
          <c:h val="0.388318863456989"/>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681895093061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0"/>
          <c:showBubbleSize val="0"/>
        </c:dLbls>
        <c:gapWidth val="150"/>
        <c:axId val="237959424"/>
        <c:axId val="238092288"/>
      </c:barChart>
      <c:catAx>
        <c:axId val="2379594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092288"/>
        <c:crosses val="autoZero"/>
        <c:auto val="1"/>
        <c:lblAlgn val="ctr"/>
        <c:lblOffset val="100"/>
        <c:noMultiLvlLbl val="0"/>
      </c:catAx>
      <c:valAx>
        <c:axId val="238092288"/>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9594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3608362" y="174387"/>
          <a:ext cx="566046" cy="103787"/>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4857751" y="400050"/>
          <a:ext cx="762000"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0FA5-592F-48A3-BC49-E6CC61B98F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12030</Words>
  <Characters>13223</Characters>
  <Lines>108</Lines>
  <Paragraphs>30</Paragraphs>
  <TotalTime>669</TotalTime>
  <ScaleCrop>false</ScaleCrop>
  <LinksUpToDate>false</LinksUpToDate>
  <CharactersWithSpaces>13389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2020-08-10T02:34:00Z</cp:lastPrinted>
  <dcterms:modified xsi:type="dcterms:W3CDTF">2024-06-04T02:49:21Z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44EE0423E96C4B9098A66EE0DA99C20D_12</vt:lpwstr>
  </property>
</Properties>
</file>